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29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800" w:right="1940" w:hanging="441"/>
        <w:spacing w:after="0" w:line="261"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2014</w:t>
      </w:r>
    </w:p>
    <w:p>
      <w:pPr>
        <w:spacing w:after="0" w:line="200" w:lineRule="exact"/>
        <w:rPr>
          <w:sz w:val="24"/>
          <w:szCs w:val="24"/>
          <w:color w:val="auto"/>
        </w:rPr>
      </w:pPr>
    </w:p>
    <w:p>
      <w:pPr>
        <w:spacing w:after="0" w:line="254"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11"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6340" w:type="dxa"/>
            <w:vAlign w:val="bottom"/>
            <w:gridSpan w:val="10"/>
          </w:tcPr>
          <w:p>
            <w:pPr>
              <w:spacing w:after="0"/>
              <w:rPr>
                <w:sz w:val="20"/>
                <w:szCs w:val="20"/>
                <w:color w:val="auto"/>
              </w:rPr>
            </w:pPr>
            <w:r>
              <w:rPr>
                <w:rFonts w:ascii="Arial" w:cs="Arial" w:eastAsia="Arial" w:hAnsi="Arial"/>
                <w:sz w:val="18"/>
                <w:szCs w:val="18"/>
                <w:color w:val="auto"/>
              </w:rPr>
              <w:t>For the transition period from</w:t>
            </w:r>
          </w:p>
        </w:tc>
        <w:tc>
          <w:tcPr>
            <w:tcW w:w="4300" w:type="dxa"/>
            <w:vAlign w:val="bottom"/>
            <w:gridSpan w:val="6"/>
          </w:tcPr>
          <w:p>
            <w:pPr>
              <w:ind w:left="100"/>
              <w:spacing w:after="0"/>
              <w:rPr>
                <w:sz w:val="20"/>
                <w:szCs w:val="20"/>
                <w:color w:val="auto"/>
              </w:rPr>
            </w:pPr>
            <w:r>
              <w:rPr>
                <w:rFonts w:ascii="Arial" w:cs="Arial" w:eastAsia="Arial" w:hAnsi="Arial"/>
                <w:sz w:val="18"/>
                <w:szCs w:val="18"/>
                <w:color w:val="auto"/>
              </w:rPr>
              <w:t>to</w:t>
            </w:r>
          </w:p>
        </w:tc>
      </w:tr>
      <w:tr>
        <w:trPr>
          <w:trHeight w:val="385"/>
        </w:trPr>
        <w:tc>
          <w:tcPr>
            <w:tcW w:w="2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1"/>
              </w:rPr>
              <w:t>Commission file number: 001-36246</w:t>
            </w:r>
          </w:p>
        </w:tc>
        <w:tc>
          <w:tcPr>
            <w:tcW w:w="3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53"/>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w w:val="91"/>
              </w:rPr>
              <w:t>Civeo Corporation</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78"/>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534"/>
        </w:trPr>
        <w:tc>
          <w:tcPr>
            <w:tcW w:w="2440" w:type="dxa"/>
            <w:vAlign w:val="bottom"/>
          </w:tcPr>
          <w:p>
            <w:pPr>
              <w:spacing w:after="0"/>
              <w:rPr>
                <w:sz w:val="24"/>
                <w:szCs w:val="24"/>
                <w:color w:val="auto"/>
              </w:rPr>
            </w:pPr>
          </w:p>
        </w:tc>
        <w:tc>
          <w:tcPr>
            <w:tcW w:w="8200" w:type="dxa"/>
            <w:vAlign w:val="bottom"/>
            <w:gridSpan w:val="15"/>
          </w:tcPr>
          <w:p>
            <w:pPr>
              <w:jc w:val="center"/>
              <w:ind w:right="32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160" w:type="dxa"/>
            <w:vAlign w:val="bottom"/>
            <w:gridSpan w:val="6"/>
          </w:tcPr>
          <w:p>
            <w:pPr>
              <w:spacing w:after="0"/>
              <w:rPr>
                <w:sz w:val="24"/>
                <w:szCs w:val="24"/>
                <w:color w:val="auto"/>
              </w:rPr>
            </w:pPr>
          </w:p>
        </w:tc>
        <w:tc>
          <w:tcPr>
            <w:tcW w:w="4300" w:type="dxa"/>
            <w:vAlign w:val="bottom"/>
            <w:gridSpan w:val="6"/>
          </w:tcPr>
          <w:p>
            <w:pPr>
              <w:jc w:val="right"/>
              <w:ind w:right="2680"/>
              <w:spacing w:after="0"/>
              <w:rPr>
                <w:sz w:val="20"/>
                <w:szCs w:val="20"/>
                <w:color w:val="auto"/>
              </w:rPr>
            </w:pPr>
            <w:r>
              <w:rPr>
                <w:rFonts w:ascii="Arial" w:cs="Arial" w:eastAsia="Arial" w:hAnsi="Arial"/>
                <w:sz w:val="18"/>
                <w:szCs w:val="18"/>
                <w:color w:val="auto"/>
              </w:rPr>
              <w:t>46-3831207</w:t>
            </w:r>
          </w:p>
        </w:tc>
      </w:tr>
      <w:tr>
        <w:trPr>
          <w:trHeight w:val="20"/>
        </w:trPr>
        <w:tc>
          <w:tcPr>
            <w:tcW w:w="2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3900" w:type="dxa"/>
            <w:vAlign w:val="bottom"/>
            <w:gridSpan w:val="9"/>
          </w:tcPr>
          <w:p>
            <w:pPr>
              <w:jc w:val="center"/>
              <w:ind w:right="1120"/>
              <w:spacing w:after="0"/>
              <w:rPr>
                <w:sz w:val="20"/>
                <w:szCs w:val="20"/>
                <w:color w:val="auto"/>
              </w:rPr>
            </w:pPr>
            <w:r>
              <w:rPr>
                <w:rFonts w:ascii="Arial" w:cs="Arial" w:eastAsia="Arial" w:hAnsi="Arial"/>
                <w:sz w:val="18"/>
                <w:szCs w:val="18"/>
                <w:color w:val="auto"/>
                <w:w w:val="93"/>
              </w:rPr>
              <w:t>(State or other jurisdiction of</w:t>
            </w:r>
          </w:p>
        </w:tc>
        <w:tc>
          <w:tcPr>
            <w:tcW w:w="380" w:type="dxa"/>
            <w:vAlign w:val="bottom"/>
          </w:tcPr>
          <w:p>
            <w:pPr>
              <w:spacing w:after="0"/>
              <w:rPr>
                <w:sz w:val="19"/>
                <w:szCs w:val="19"/>
                <w:color w:val="auto"/>
              </w:rPr>
            </w:pPr>
          </w:p>
        </w:tc>
        <w:tc>
          <w:tcPr>
            <w:tcW w:w="3920" w:type="dxa"/>
            <w:vAlign w:val="bottom"/>
            <w:gridSpan w:val="5"/>
          </w:tcPr>
          <w:p>
            <w:pPr>
              <w:jc w:val="center"/>
              <w:ind w:right="2300"/>
              <w:spacing w:after="0"/>
              <w:rPr>
                <w:sz w:val="20"/>
                <w:szCs w:val="20"/>
                <w:color w:val="auto"/>
              </w:rPr>
            </w:pPr>
            <w:r>
              <w:rPr>
                <w:rFonts w:ascii="Arial" w:cs="Arial" w:eastAsia="Arial" w:hAnsi="Arial"/>
                <w:sz w:val="18"/>
                <w:szCs w:val="18"/>
                <w:color w:val="auto"/>
                <w:w w:val="92"/>
              </w:rPr>
              <w:t>(I.R.S. Employer</w:t>
            </w:r>
          </w:p>
        </w:tc>
      </w:tr>
      <w:tr>
        <w:trPr>
          <w:trHeight w:val="230"/>
        </w:trPr>
        <w:tc>
          <w:tcPr>
            <w:tcW w:w="2440" w:type="dxa"/>
            <w:vAlign w:val="bottom"/>
          </w:tcPr>
          <w:p>
            <w:pPr>
              <w:spacing w:after="0"/>
              <w:rPr>
                <w:sz w:val="20"/>
                <w:szCs w:val="20"/>
                <w:color w:val="auto"/>
              </w:rPr>
            </w:pPr>
          </w:p>
        </w:tc>
        <w:tc>
          <w:tcPr>
            <w:tcW w:w="3900" w:type="dxa"/>
            <w:vAlign w:val="bottom"/>
            <w:gridSpan w:val="9"/>
          </w:tcPr>
          <w:p>
            <w:pPr>
              <w:jc w:val="center"/>
              <w:ind w:right="1120"/>
              <w:spacing w:after="0"/>
              <w:rPr>
                <w:sz w:val="20"/>
                <w:szCs w:val="20"/>
                <w:color w:val="auto"/>
              </w:rPr>
            </w:pPr>
            <w:r>
              <w:rPr>
                <w:rFonts w:ascii="Arial" w:cs="Arial" w:eastAsia="Arial" w:hAnsi="Arial"/>
                <w:sz w:val="18"/>
                <w:szCs w:val="18"/>
                <w:color w:val="auto"/>
                <w:w w:val="93"/>
              </w:rPr>
              <w:t>incorporation or organization)</w:t>
            </w:r>
          </w:p>
        </w:tc>
        <w:tc>
          <w:tcPr>
            <w:tcW w:w="380" w:type="dxa"/>
            <w:vAlign w:val="bottom"/>
          </w:tcPr>
          <w:p>
            <w:pPr>
              <w:spacing w:after="0"/>
              <w:rPr>
                <w:sz w:val="20"/>
                <w:szCs w:val="20"/>
                <w:color w:val="auto"/>
              </w:rPr>
            </w:pPr>
          </w:p>
        </w:tc>
        <w:tc>
          <w:tcPr>
            <w:tcW w:w="3920" w:type="dxa"/>
            <w:vAlign w:val="bottom"/>
            <w:gridSpan w:val="5"/>
          </w:tcPr>
          <w:p>
            <w:pPr>
              <w:jc w:val="center"/>
              <w:ind w:right="230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6340" w:type="dxa"/>
            <w:vAlign w:val="bottom"/>
            <w:gridSpan w:val="10"/>
          </w:tcPr>
          <w:p>
            <w:pPr>
              <w:jc w:val="center"/>
              <w:ind w:left="1230"/>
              <w:spacing w:after="0"/>
              <w:rPr>
                <w:sz w:val="20"/>
                <w:szCs w:val="20"/>
                <w:color w:val="auto"/>
              </w:rPr>
            </w:pPr>
            <w:r>
              <w:rPr>
                <w:rFonts w:ascii="Arial" w:cs="Arial" w:eastAsia="Arial" w:hAnsi="Arial"/>
                <w:sz w:val="18"/>
                <w:szCs w:val="18"/>
                <w:color w:val="auto"/>
                <w:w w:val="90"/>
              </w:rPr>
              <w:t>Three Allen Center, 333 Clay Street, Suite 4980,</w:t>
            </w:r>
          </w:p>
        </w:tc>
        <w:tc>
          <w:tcPr>
            <w:tcW w:w="960" w:type="dxa"/>
            <w:vAlign w:val="bottom"/>
            <w:gridSpan w:val="3"/>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2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60" w:type="dxa"/>
            <w:vAlign w:val="bottom"/>
            <w:gridSpan w:val="8"/>
          </w:tcPr>
          <w:p>
            <w:pPr>
              <w:jc w:val="center"/>
              <w:ind w:right="1960"/>
              <w:spacing w:after="0" w:line="196" w:lineRule="exact"/>
              <w:rPr>
                <w:sz w:val="20"/>
                <w:szCs w:val="20"/>
                <w:color w:val="auto"/>
              </w:rPr>
            </w:pPr>
            <w:r>
              <w:rPr>
                <w:rFonts w:ascii="Arial" w:cs="Arial" w:eastAsia="Arial" w:hAnsi="Arial"/>
                <w:sz w:val="18"/>
                <w:szCs w:val="18"/>
                <w:color w:val="auto"/>
                <w:w w:val="87"/>
              </w:rPr>
              <w:t>Houston, Texas</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center"/>
              <w:ind w:right="268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328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6340" w:type="dxa"/>
            <w:vAlign w:val="bottom"/>
            <w:gridSpan w:val="10"/>
          </w:tcPr>
          <w:p>
            <w:pPr>
              <w:jc w:val="center"/>
              <w:ind w:left="1230"/>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5500" w:type="dxa"/>
            <w:vAlign w:val="bottom"/>
            <w:gridSpan w:val="8"/>
          </w:tcPr>
          <w:p>
            <w:pPr>
              <w:jc w:val="center"/>
              <w:ind w:left="4290"/>
              <w:spacing w:after="0"/>
              <w:rPr>
                <w:sz w:val="20"/>
                <w:szCs w:val="20"/>
                <w:color w:val="auto"/>
              </w:rPr>
            </w:pPr>
            <w:r>
              <w:rPr>
                <w:rFonts w:ascii="Arial" w:cs="Arial" w:eastAsia="Arial" w:hAnsi="Arial"/>
                <w:sz w:val="18"/>
                <w:szCs w:val="18"/>
                <w:color w:val="auto"/>
                <w:w w:val="90"/>
              </w:rPr>
              <w:t>(713) 510-2400</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503" w:right="239" w:bottom="1440" w:gutter="0" w:footer="0" w:header="0"/>
        </w:sectPr>
      </w:pP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 [ ]</w:t>
      </w:r>
    </w:p>
    <w:p>
      <w:pPr>
        <w:spacing w:after="0" w:line="200" w:lineRule="exact"/>
        <w:rPr>
          <w:sz w:val="24"/>
          <w:szCs w:val="24"/>
          <w:color w:val="auto"/>
        </w:rPr>
      </w:pPr>
    </w:p>
    <w:p>
      <w:pPr>
        <w:sectPr>
          <w:pgSz w:w="11900" w:h="16838" w:orient="portrait"/>
          <w:cols w:equalWidth="0" w:num="2">
            <w:col w:w="6140" w:space="720"/>
            <w:col w:w="4560"/>
          </w:cols>
          <w:pgMar w:left="240" w:top="503"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 ]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6140" w:space="720"/>
            <w:col w:w="4560"/>
          </w:cols>
          <w:pgMar w:left="240" w:top="50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54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ectPr>
          <w:pgSz w:w="11900" w:h="16838" w:orient="portrait"/>
          <w:cols w:equalWidth="0" w:num="1">
            <w:col w:w="11420"/>
          </w:cols>
          <w:pgMar w:left="240" w:top="503"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106,695,984 shares of common stock outstanding as of August 8, 2014.</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0" w:type="dxa"/>
            <w:vAlign w:val="bottom"/>
          </w:tcPr>
          <w:p>
            <w:pPr>
              <w:jc w:val="center"/>
              <w:spacing w:after="0"/>
              <w:rPr>
                <w:sz w:val="20"/>
                <w:szCs w:val="20"/>
                <w:color w:val="auto"/>
              </w:rPr>
            </w:pPr>
            <w:r>
              <w:rPr>
                <w:rFonts w:ascii="Arial" w:cs="Arial" w:eastAsia="Arial" w:hAnsi="Arial"/>
                <w:sz w:val="18"/>
                <w:szCs w:val="18"/>
                <w:color w:val="auto"/>
                <w:w w:val="95"/>
              </w:rPr>
              <w:t>CIVEO CORPORATION</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0" w:type="dxa"/>
            <w:vAlign w:val="bottom"/>
          </w:tcPr>
          <w:p>
            <w:pPr>
              <w:jc w:val="center"/>
              <w:spacing w:after="0"/>
              <w:rPr>
                <w:sz w:val="20"/>
                <w:szCs w:val="20"/>
                <w:color w:val="auto"/>
              </w:rPr>
            </w:pPr>
            <w:r>
              <w:rPr>
                <w:rFonts w:ascii="Arial" w:cs="Arial" w:eastAsia="Arial" w:hAnsi="Arial"/>
                <w:sz w:val="18"/>
                <w:szCs w:val="18"/>
                <w:color w:val="auto"/>
              </w:rPr>
              <w:t>INDEX</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Part I -- FINANCIAL INFORMATION</w:t>
            </w: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Financial Statements</w:t>
            </w: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Unaudited Consolidated Statements of Income for the Three and Six Month Periods Ended June 30, 2014 and 2013</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Unaudited Consolidated Statements of Comprehensive Income for the Three and Six Month Periods Ended June 30, 2014 and 2013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Consolidated Balance Sheets – June 30, 2014 (unaudited) and December 31, 2013</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7"/>
              </w:rPr>
              <w:t>Unaudited Consolidated Statements of Changes in Stockholders’ Equity / Net Investment for the Six Months Ended June 30,</w:t>
            </w:r>
          </w:p>
        </w:tc>
        <w:tc>
          <w:tcPr>
            <w:tcW w:w="740" w:type="dxa"/>
            <w:vAlign w:val="bottom"/>
            <w:tcBorders>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2014 and 2013</w:t>
            </w:r>
          </w:p>
        </w:tc>
        <w:tc>
          <w:tcPr>
            <w:tcW w:w="74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Unaudited Consolidated Statements of Cash Flows for the Six Months Ended June 30, 2014 and 2013</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 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   Controls and Procedures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ind w:left="460"/>
              <w:spacing w:after="0"/>
              <w:rPr>
                <w:sz w:val="20"/>
                <w:szCs w:val="20"/>
                <w:color w:val="auto"/>
              </w:rPr>
            </w:pPr>
            <w:r>
              <w:rPr>
                <w:rFonts w:ascii="Arial" w:cs="Arial" w:eastAsia="Arial" w:hAnsi="Arial"/>
                <w:sz w:val="18"/>
                <w:szCs w:val="18"/>
                <w:color w:val="auto"/>
              </w:rPr>
              <w:t>Part II -- OTHER INFORMATION</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1000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5"/>
              </w:rPr>
              <w:t>Item 1A.</w:t>
            </w:r>
          </w:p>
        </w:tc>
        <w:tc>
          <w:tcPr>
            <w:tcW w:w="1000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10000" w:type="dxa"/>
            <w:vAlign w:val="bottom"/>
          </w:tcPr>
          <w:p>
            <w:pPr>
              <w:ind w:left="10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(a) Index of 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60" w:type="dxa"/>
            <w:vAlign w:val="bottom"/>
            <w:gridSpan w:val="2"/>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66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223,927</w:t>
            </w:r>
          </w:p>
        </w:tc>
        <w:tc>
          <w:tcPr>
            <w:tcW w:w="14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237,242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462,840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242,990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479,932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537,528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127,736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262,488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21,708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16,898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37,853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Spin-off and formation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42,413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41,411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82,012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Other operating expense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191,358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51,632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69,086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(4,624)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(11,360)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Civeo Corporation</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Per Share Data (see Note 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income per share attributable to Civeo Corporation common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Diluted net income per share attributable to Civeo Corporation common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106,293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106,294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106,460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50,881</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(132,208)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54,140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(132,208)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w w:val="99"/>
              </w:rPr>
              <w:t>Comprehensive (income) loss attributable to noncontrolling 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JUNE 30,</w:t>
            </w:r>
          </w:p>
        </w:tc>
        <w:tc>
          <w:tcPr>
            <w:tcW w:w="8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285,494</w:t>
            </w:r>
          </w:p>
        </w:tc>
        <w:tc>
          <w:tcPr>
            <w:tcW w:w="12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20,614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527,826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439,744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1,414,551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66,156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2,313,629</w:t>
            </w:r>
          </w:p>
        </w:tc>
        <w:tc>
          <w:tcPr>
            <w:tcW w:w="12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300"/>
              <w:spacing w:after="0"/>
              <w:rPr>
                <w:sz w:val="20"/>
                <w:szCs w:val="20"/>
                <w:color w:val="auto"/>
              </w:rPr>
            </w:pPr>
            <w:r>
              <w:rPr>
                <w:rFonts w:ascii="Arial" w:cs="Arial" w:eastAsia="Arial" w:hAnsi="Arial"/>
                <w:sz w:val="18"/>
                <w:szCs w:val="18"/>
                <w:color w:val="auto"/>
              </w:rPr>
              <w:t>LIABILITIES AND STOCKHOLDERS’ EQUITY / NET INVESTMENT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60,548</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27,391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debt to affiliates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78,016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996,572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Stockholders’ Equity / Net investment: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9"/>
              </w:rPr>
              <w:t>Common stock ($0.01 par value, 550,000,000 shares authorized, 106,691,058 shares and zero shares both</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1,311,395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Oil States International, Inc. net investment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Civeo Corporation stockholders’ equity / Oil States International, Inc. net investment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1,315,132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1,591,034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stockholders’ equity / net investment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1,317,057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1,592,745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 / net investment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2,313,629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STOCKHOLDERS’ EQUITY / NET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4"/>
            <w:vMerge w:val="restart"/>
          </w:tcPr>
          <w:p>
            <w:pPr>
              <w:jc w:val="right"/>
              <w:ind w:right="290"/>
              <w:spacing w:after="0"/>
              <w:rPr>
                <w:sz w:val="20"/>
                <w:szCs w:val="20"/>
                <w:color w:val="auto"/>
              </w:rPr>
            </w:pPr>
            <w:r>
              <w:rPr>
                <w:rFonts w:ascii="Arial" w:cs="Arial" w:eastAsia="Arial" w:hAnsi="Arial"/>
                <w:sz w:val="18"/>
                <w:szCs w:val="18"/>
                <w:b w:val="1"/>
                <w:bCs w:val="1"/>
                <w:color w:val="auto"/>
                <w:w w:val="99"/>
              </w:rPr>
              <w:t>Common Stock</w:t>
            </w:r>
          </w:p>
        </w:tc>
        <w:tc>
          <w:tcPr>
            <w:tcW w:w="242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w w:val="92"/>
              </w:rPr>
              <w:t>Attributable to Civeo</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vMerge w:val="restart"/>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Oil States</w:t>
            </w:r>
          </w:p>
        </w:tc>
        <w:tc>
          <w:tcPr>
            <w:tcW w:w="24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c>
          <w:tcPr>
            <w:tcW w:w="128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Comprehensive</w:t>
            </w:r>
          </w:p>
        </w:tc>
        <w:tc>
          <w:tcPr>
            <w:tcW w:w="15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9"/>
              </w:rPr>
              <w:t>Noncontrolling</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Equity / 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1,302,664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107,733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96,782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(137,940)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 States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88,270</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88,270</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Inc.</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Balance, June 30, 2013</w:t>
            </w: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1,487,716</w:t>
            </w:r>
          </w:p>
        </w:tc>
        <w:tc>
          <w:tcPr>
            <w:tcW w:w="2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(30,207)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1,458,876</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1,651,013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(59,979)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41,681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54,142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 States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Inc.</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369,219</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Distribution to Oil States International,</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Inc.</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Oil States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Inc. Net Investment to</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1,311,913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(1,311,913)</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at the Spin-</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Off</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Balance, June 30, 2014</w:t>
            </w: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1,067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1,311,395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8,507</w:t>
            </w: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(5,837)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1,925</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1,317,057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Shares in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Common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Stock</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2"/>
              </w:rPr>
              <w:t>Issuance of common stock at the Spin-Off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106,538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153</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Balance, June 30, 2014</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106,691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50,881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82,012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provision (benefit)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Non-cash compensation charge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on disposals of assets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Provision for loss on receivables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(12,622)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21,405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(141,667)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Revolving credit borrowings and (repayments),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borrowings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repayments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Distributions to Oil States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Oil States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cash flows provided by (used in) financing activities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44,064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285,494</w:t>
            </w:r>
          </w:p>
        </w:tc>
        <w:tc>
          <w:tcPr>
            <w:tcW w:w="12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6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May 5, 2014, the Oil States International, Inc. (Oil States) board of directors approved the separation of its Accommodations Segment (Accommodations) into a standalone, publicly traded company, Civeo Corporation (Civeo).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(the Form 10).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8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For further discussion, see Note 6 – Debt.</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a result of the Spin-Off, we incurred certain costs in the three month and six month periods ended June 30, 2014. We recognized a loss on the termination of debt of approximately $3.5 million related to unamortized debt issuance costs, which is included in Loss on extinguishment of debt on the accompanying unaudited consolidated statements of income. We recorded transition and formation costs associated with the Spin-Off of approximately $1.9 million and $2.5 million for the three month and six month periods ended June 30, 2014, respectively, which are included in Spin-off and formation costs on the accompanying unaudited consolidated statements of income. We recognized a $9.0 million impairment of an intangible asset in Australia, which is included in Impairment expense on the accompanying unaudited consolidated statements of income. Due to the Spin-Off, and the resulting rebranding of our Australian operations from The MAC to Civeo, it was determined that the fair value of an intangible asset associated with The MAC brand had been reduced to nil. Additionally, we recognized an impairment totaling $2.6 million on assets that are in the custody of a non-paying client in Mexico and for which the return or reimbursement is uncertain.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right="100" w:hanging="324"/>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consolidated statements of income and comprehensive income for the three months ended June 30, 2014 consist of the consolidated results of Civeo for the month ended June 30, 2014, and the combined results of the Oil States’ Accommodations business for the two months ended May 30, 2014. Our consolidated statements of income and comprehensive income for the six months ended June 30, 2014 consist of the consolidated results of Civeo for the one month ended June 30, 2014 and of the combined results of the Oil States’ Accommodations business for the five months ended May 30, 2014. Our consolidated statements of income and comprehensive income for the three and six months ended June 30, 2013 consist entirely of the combined results of the Oil States’ Accommodations business.</w:t>
      </w:r>
    </w:p>
    <w:p>
      <w:pPr>
        <w:spacing w:after="0" w:line="178"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balance sheet at June 30, 2014 consists of the consolidated balances of Civeo, while at December 31, 2013, it consists entirely of the combined balances of the Oil States’ Accommodations business.</w:t>
      </w:r>
    </w:p>
    <w:p>
      <w:pPr>
        <w:spacing w:after="0" w:line="170" w:lineRule="exact"/>
        <w:rPr>
          <w:rFonts w:ascii="Arial" w:cs="Arial" w:eastAsia="Arial" w:hAnsi="Arial"/>
          <w:sz w:val="18"/>
          <w:szCs w:val="18"/>
          <w:color w:val="auto"/>
        </w:rPr>
      </w:pPr>
    </w:p>
    <w:p>
      <w:pPr>
        <w:ind w:left="980" w:right="160" w:hanging="32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consolidated statements of cash flows and changes in stockholders’ equity / net investment for the six months ended June 30, 2014 consist of the consolidated results of Civeo for the one month ended June 30, 2014, and the combined results of the Oil States’ Accommodations business for the five months ended May 30, 2014. Our consolidated statements of cash flows and changes in stockholders’ equity / net investment for the six months ended June 30, 2013 consist entirely of the combined results of the Oil States’ Accommodations business.</w:t>
      </w:r>
    </w:p>
    <w:p>
      <w:pPr>
        <w:spacing w:after="0" w:line="154"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Civeo is performing these functions using its own resources or purchased services. For an interim period, however, some of these functions will continue to be provided by Oil States under a Transition Services Agreement, which extends for a period of up to nine months from the date of the Spin-Off, depending on the service being provided. See Note 13 – Related Party Transactions.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Oil States uses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6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 pertaining to interim financial information. Certain information in footnote disclosures normally included in financial statements prepared in accordance with U.S. GAAP has been condensed or omitted pursuant to these rules and regulations. The unaudited financial statements included in this report reflect all the adjustments, consisting of normal recurring adjustments, which we consider necessary for a fair presentation of the results of operations for the interim periods covered and for our financial condition at the date of the interim balance sheet. Results for the interim periods are not necessarily indicative of results for the full year. Certain reclassifications have been made to the December 31, 2013 consolidated balance sheet to conform to current year presentation.</w:t>
      </w:r>
    </w:p>
    <w:p>
      <w:pPr>
        <w:spacing w:after="0" w:line="16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the audited financial statements and accompanying notes for the year ended December 31, 2013 included in our Form 10.</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4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fair value of our long-term debt to affiliates is estimated based on analysis of similar instruments (Level 2 fair value measurements). The carrying values and fair values of this debt are as follows for the periods indicated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2014</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2013</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ind w:right="745"/>
              <w:spacing w:after="0" w:line="191" w:lineRule="exact"/>
              <w:rPr>
                <w:sz w:val="20"/>
                <w:szCs w:val="20"/>
                <w:color w:val="auto"/>
              </w:rPr>
            </w:pPr>
            <w:r>
              <w:rPr>
                <w:rFonts w:ascii="Arial" w:cs="Arial" w:eastAsia="Arial" w:hAnsi="Arial"/>
                <w:sz w:val="18"/>
                <w:szCs w:val="18"/>
                <w:b w:val="1"/>
                <w:bCs w:val="1"/>
                <w:color w:val="auto"/>
                <w:w w:val="94"/>
              </w:rPr>
              <w:t>Carrying</w:t>
            </w:r>
          </w:p>
        </w:tc>
        <w:tc>
          <w:tcPr>
            <w:tcW w:w="860" w:type="dxa"/>
            <w:vAlign w:val="bottom"/>
          </w:tcPr>
          <w:p>
            <w:pPr>
              <w:jc w:val="center"/>
              <w:ind w:right="35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right="745"/>
              <w:spacing w:after="0"/>
              <w:rPr>
                <w:sz w:val="20"/>
                <w:szCs w:val="20"/>
                <w:color w:val="auto"/>
              </w:rPr>
            </w:pPr>
            <w:r>
              <w:rPr>
                <w:rFonts w:ascii="Arial" w:cs="Arial" w:eastAsia="Arial" w:hAnsi="Arial"/>
                <w:sz w:val="18"/>
                <w:szCs w:val="18"/>
                <w:b w:val="1"/>
                <w:bCs w:val="1"/>
                <w:color w:val="auto"/>
                <w:w w:val="87"/>
              </w:rPr>
              <w:t>Value</w:t>
            </w:r>
          </w:p>
        </w:tc>
        <w:tc>
          <w:tcPr>
            <w:tcW w:w="1220" w:type="dxa"/>
            <w:vAlign w:val="bottom"/>
            <w:gridSpan w:val="3"/>
          </w:tcPr>
          <w:p>
            <w:pPr>
              <w:jc w:val="center"/>
              <w:ind w:right="725"/>
              <w:spacing w:after="0"/>
              <w:rPr>
                <w:sz w:val="20"/>
                <w:szCs w:val="20"/>
                <w:color w:val="auto"/>
              </w:rPr>
            </w:pPr>
            <w:r>
              <w:rPr>
                <w:rFonts w:ascii="Arial" w:cs="Arial" w:eastAsia="Arial" w:hAnsi="Arial"/>
                <w:sz w:val="18"/>
                <w:szCs w:val="18"/>
                <w:b w:val="1"/>
                <w:bCs w:val="1"/>
                <w:color w:val="auto"/>
                <w:w w:val="87"/>
              </w:rPr>
              <w:t>Value</w:t>
            </w: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361,264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As of June 30, 2014, we believe the carrying value of our floating-rate debt outstanding under our $775 million term loan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6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June 30, 2014 and December 31, 2013 is presented below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9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145,200</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128,781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(4,981)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(3,656)</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191,901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17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3,852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Raw materials</w:t>
            </w:r>
          </w:p>
        </w:tc>
        <w:tc>
          <w:tcPr>
            <w:tcW w:w="1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Land</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57,714</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49,384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1,535,407</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45,538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28,755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1,821,127</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(576,727)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(495,260)</w:t>
            </w: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1,414,551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1,325,867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4" w:right="199" w:bottom="1440" w:gutter="0" w:footer="0" w:header="0"/>
        </w:sectPr>
      </w:pPr>
    </w:p>
    <w:bookmarkStart w:id="11" w:name="page12"/>
    <w:bookmarkEnd w:id="11"/>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CIVEO CORPORATION</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32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rPr>
              <w:t>NOTES TO UNAUDITED CONSOLIDATED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FINANCIAL STATEMENTS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(Continued)</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Accrued compensation</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23,295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21,988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taxes, other than income taxes</w:t>
            </w:r>
          </w:p>
        </w:tc>
        <w:tc>
          <w:tcPr>
            <w:tcW w:w="2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Accrued interest</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27,391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EARNINGS PER SHARE</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 Our calculation of diluted earnings per share excludes 44,773 shares issuable pursuant to outstanding stock options, due to their antidilutive effect.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earnings per share attributable to the Company is presented below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attributable to Civeo</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13,949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32,970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50,188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attributable to Civeo</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13,910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32,894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50,060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96,560</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106,293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106,294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Civeo’s common stockholders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50,060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for the six month period ended June 30, 2014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Canadian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Australian</w:t>
            </w:r>
          </w:p>
        </w:tc>
        <w:tc>
          <w:tcPr>
            <w:tcW w:w="28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261,056</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10,940</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10,826</w:t>
            </w:r>
          </w:p>
        </w:tc>
        <w:tc>
          <w:tcPr>
            <w:tcW w:w="144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271,882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Pr>
          <w:p>
            <w:pPr>
              <w:spacing w:after="0"/>
              <w:rPr>
                <w:sz w:val="21"/>
                <w:szCs w:val="21"/>
                <w:color w:val="auto"/>
              </w:rPr>
            </w:pPr>
          </w:p>
        </w:tc>
      </w:tr>
      <w:tr>
        <w:trPr>
          <w:trHeight w:val="656"/>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12</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4" w:right="1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June 30, 2014 and December 31, 2013, long-term debt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 term loan, which matures on May 28, 2019, of $775 million; 1.25% of aggregate principal</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3"/>
              </w:rPr>
              <w:t>repayable per quarter beginning September 30, 2015; weighted average interest rate of 2.5% for the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six month period ended June 30, 2014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U.S revolving credit facility, which matures on May 28, 2019, with available commitments up to $450</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million; no borrowings outstanding during the six month period ended June 30, 2014</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$100 million; no borrowings outstanding during the six month period ended June 30, 2014</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Australian revolving credit facility, which matures May 28, 2019, with available commitments up to</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$100 million; no borrowings outstanding during the six month period ended June 30, 2014</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775,000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Interest expense on the consolidated statements of income is net of capitalized interest of $1.0 million and $0.2 million for the three months ended June 30, 2014 and 2013, respectively. Interest expense on the consolidated statements of income is net of capitalized interest of $1.3 million and $0.5 million for the six months ended June 30,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May 27, 2014, in conjunction with the Spin-Off, our affiliate debt with Oil States was settled through a non-cash capital contribution. See Note 13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Civeo was a party to an Oil States credit facility agreement together with Oil States that had separate Canadian borrowing limits that served as debt financing for the Canadian operations of Civeo (Oil States Credit Facility). As of December 31, 2013, we had no outstanding balance under the Canadian portion of the credit facility and $0.9 million of outstanding letters of credit. Additionally, Civeo had a separate Australian credit facility (The MAC Group Credit Facility) that was used exclusively to support our Australian operations. As of December 31, 2013, we had no outstanding balance under the Australian credit facility. On May 28, 2014, the Oil States Credit Facility and The MAC Group Credit Facility were terminated. We recognized a loss on the termination during the second quarter 2014 of approximately $3.5 million related to unamortized debt issuance costs, which is included in Loss on extinguishment of debt on the accompanying unaudited consolidated statements of income.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May 28, 2014, we entered into (i) a $650.0 million, 5-year revolving credit facility which is allocated as follows: (A) a $450.0 million senior secured revolving credit facility in favor of Civeo, as borrower (the U.S. facility), (B) a $100.0 million senior secured revolving credit facility in favor of certain of our Canadian subsidiaries, as borrowers (the Canadian facility), and (C) a $100.0 million senior secured revolving credit facility in favor of one of our Australian subsidiaries, as borrower (the Australian facility), and (ii) a $775.0 million, 5-year term loan facility in favor of Civeo (collectively, the Credit Agreement). U.S. Dollar amounts outstanding under the Credit Agreement bear interest at a variable rate equal to LIBOR plus a margin of 1.75% to 2.75%, or a base rate plus 0.75% to 1.75%, in each case based on a ratio of our total leverage to EBITDA (as defined in the Credit Agreement). Canadian Dollar amounts outstanding under the Credit Agreement bear interest at a variable rate equal to CDOR (as defined in the Credit Agreement) plus a margin of 1.75% to 2.75%, or a base rate plus a margin of 0.75% to 1.75%, in each case based on a ratio of our total leverage to EBITDA (as defined in the Credit Agreement). Australian Dollar amounts outstanding under the Credit Agreement bear interest at a variable rate equal to BBSY (as defined in the Credit Agreement) plus a margin of 1.75% to 2.75%, based on a ratio of our total leverage to EBITDA (as defined in the Credit Agreement). We paid certain customary fees with respect to the Credit Agreement. We have 15 lenders in our Credit Agreement with commitments ranging from $20 million to $195 million. As of June 30, 2014, we had outstanding letters of credit of $0.7 million under the U.S facility and $6.2 million under the Canadian facility.</w:t>
      </w:r>
    </w:p>
    <w:p>
      <w:pPr>
        <w:spacing w:after="0" w:line="16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Each of the factors considered in the calculations of these ratios are defined in the Credit Agreement. EBITDA and consolidated interest, as defined, exclude goodwill impairments, debt discount amortization and other non-cash charges. Borrowings under the Credit Agreement are secured by a pledge of substantially all of our assets and the assets of our subsidiaries. Obligations under the Credit Agreement are guaranteed by our significant subsidiaries.</w:t>
      </w:r>
    </w:p>
    <w:p>
      <w:pPr>
        <w:spacing w:after="0" w:line="239" w:lineRule="exact"/>
        <w:rPr>
          <w:sz w:val="20"/>
          <w:szCs w:val="20"/>
          <w:color w:val="auto"/>
        </w:rPr>
      </w:pPr>
    </w:p>
    <w:p>
      <w:pPr>
        <w:ind w:right="460" w:firstLine="324"/>
        <w:spacing w:after="0" w:line="358" w:lineRule="auto"/>
        <w:rPr>
          <w:sz w:val="20"/>
          <w:szCs w:val="20"/>
          <w:color w:val="auto"/>
        </w:rPr>
      </w:pPr>
      <w:r>
        <w:rPr>
          <w:rFonts w:ascii="Arial" w:cs="Arial" w:eastAsia="Arial" w:hAnsi="Arial"/>
          <w:sz w:val="19"/>
          <w:szCs w:val="19"/>
          <w:color w:val="auto"/>
        </w:rPr>
        <w:t>In addition to the Credit Agreement, we have an Australian $30 million line of credit facility, which matures December 10, 2015. There were no letters of credit outstanding under this facility during the six month period ended June 30, 2014.</w:t>
      </w:r>
    </w:p>
    <w:p>
      <w:pPr>
        <w:spacing w:after="0" w:line="9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compute our quarterly taxes under the effective tax rate method based on applying an anticipated annual effective rate to our year-to-date income, except for significant unusual or extraordinary transactions. Income taxes for significant unusual or extraordinary transactions are computed and recorded in the period that the specific transaction occurs.</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income tax expense for the six months ended June 30, 2014 totaled $7.4 million, or 12.7% of pretax income, compared to income tax expense of $31.9 million, or 24.7% of pretax income, for the six months ended June 30, 2013. Generally, our effective tax rates are lower than U.S. statutory rates because of lower foreign income tax rates. The decrease in the effective tax rate from the prior year was largely the result of a change in the earnings mix between different tax jurisdictions. In addition, the effective tax rate was reduced due to changes in our corporate structure, including the contribution by Oil States of our affiliate debt (as further described in Note 13 – Related Party Transactions).</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income tax benefit for the three months ended June 30, 2014 totaled $4.9 million, or (52.4%) of pretax income, compared to income tax expense of $11.4 million, or 25.4% of pretax income, for the three months ended June 30, 2013. The negative effective tax rate for the three months ended June 30, 2014 is due to a reduction in the 2014 annual effective tax rate from March 31, 2014 to June 30, 2014 due to changes in our corporate structure, including the contribution by Oil States of our affiliate debt. Under ASC 740-270, Accounting for Income Taxes, the quarterly tax provision is based on our current estimate of the annual effective tax rate less the prior quarter’s year-to-date tax provision.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Our accumulated other comprehensive loss decreased $54.2 million from a $60.0 million accumulated loss at December 31, 2013 to a $5.8 million accumulated loss at June 30, 2014, as a result of foreign currency exchange rate differences. Changes in the other comprehensive loss during the first half of 2014 were primarily driven by the Australian dollar increasing in value compared to the U.S. dollar. Excluding intercompany balances, our Canadian dollar and Australian dollar functional currency net assets totaled approximately C$1.0 billion and A$972 million, respectively, at June 30,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income statements. Effective May 30, 2014, our employees and non-employee directors began participating in the 2014 Equity Participation Plan of Civeo Corporation (the Civeo Plan). The Civeo Plan authorizes the Board of Directors to grant options, awards of restricted stock, performance awards, dividend equivalents, awards of deferred stock, and stock payments to our employees and non-employee directors. No more than 4 million shares of Civeo common stock may be awarded under the Civeo Plan.</w:t>
      </w:r>
    </w:p>
    <w:p>
      <w:pPr>
        <w:spacing w:after="0" w:line="17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 total of 120,799 Oil States stock options were converted to 554,738 Civeo stock options at May 30, 2014.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stock options recognized in the three month periods ended June 30, 2014 and 2013 totaled $0.2 million and $0.4 million, respectively. Compensation expense associated with stock options recognized in the six month periods ended June 30, 2014 and 2013 totaled $0.3 million and $0.8 million, respectively.</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June 30, 2014, unrecognized compensation cost related to stock options was $0.8 million, which is expected to be recognized over a weighted average period of 2.1 years.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b w:val="1"/>
          <w:bCs w:val="1"/>
          <w:i w:val="1"/>
          <w:iCs w:val="1"/>
          <w:color w:val="auto"/>
        </w:rPr>
        <w:t xml:space="preserve">Restricted Stock Awards. </w:t>
      </w:r>
      <w:r>
        <w:rPr>
          <w:rFonts w:ascii="Arial" w:cs="Arial" w:eastAsia="Arial" w:hAnsi="Arial"/>
          <w:sz w:val="17"/>
          <w:szCs w:val="17"/>
          <w:color w:val="auto"/>
        </w:rPr>
        <w:t>A total of 94,936 unvested Oil States restricted stock awards were converted to 435,999 unvested Civeo restricted stock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May 30, 2014. Included in this total were 20,000 Oil States performance based restricted stock awards, which vested in an amount that depended on Oil States achievement of specified performance objectives. In conjunction with the Spin-Off transaction, the awards were cancelled and the holders were granted 91,848 unvested Civeo restricted stock awards, of which half vest in February 2015 and the other half vest in February 2016.</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May 30, 2014, we granted 149,256 restricted stock awards 37,947 of the awards vest on May 30, 2015 and the remaining 111,309 vest in four equal annual installments beginning on May 30, 2015.</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Compensation expense associated with restricted stock awards recognized in the three month periods ended June 30, 2014 and 2013 totaled $1.1 million and $0.3 million, respectively. Compensation expense associated with restricted stock awards recognized in the six month periods ended June 30, 2014 and 2013 totaled $1.8 million and $0.6 million, respectively. The total fair value of restricted stock awards that vested during the three months ended June 30, 2014 and 2013 was de minimis. The total fair value of restricted stock awards that vested during the six months ended June 30, 2014 and 2013 was $2.5 million and $0.9 million, respectively.</w:t>
      </w:r>
    </w:p>
    <w:p>
      <w:pPr>
        <w:spacing w:after="0" w:line="18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At June 30, 2014, unrecognized compensation cost related to restricted stock awards was $9.5 million, which is expected to be recognized over a weighted average period of 3.2 years.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A total of 123,183 awards granted under the Canadian Long-Term Incentive Plan were converted to 565,706 units that entitle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recipient to a lump sum cash payment equal to the fair market value of a share of Civeo’s common stock on the respective vesting date. These awards are accounted for as a liability that is remeasured at each reporting date until paid.</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May 30, 2014, we granted 4,337 phantom stock awards, all of which vest in three equal annual installments beginning on May 30, 2015. Compensation expense associated with phantom shares recognized in the three month periods ended June 30, 2014 and 2013 totaled $4.1 million and $1.0 million, respectively. Compensation expense associated with phantom shares recognized in the six month periods ended June 30, 2014 and 2013 totaled $5.5 million and $1.8 million, respectively.</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June 30, 2014, unrecognized compensation cost related to phantom shares was $9.6 million, as remeasured at June 30, 2014, which is expected to be recognized over a weighted average period of 2.1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14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six months ended June 30, 2014 and 2013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Less: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Intersegment</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c>
          <w:tcPr>
            <w:tcW w:w="8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2014</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156,527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156,479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25,424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71,868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(22,288)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(3,767)</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(22,336)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22,336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(5,226)</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227,133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227,133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42,413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16,226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78,142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2,313,629</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Three months ended June 30, 2013</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160,952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49,971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64,043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16,598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17,527</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23,907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(12,529)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12,529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1,981,444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337,108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336,803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41,341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67,466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131,834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72,685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(39,403)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33,282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9,649</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(5,428)</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(39,708)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39,708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(8,590)</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(3,429)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479,932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479,932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69,086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141,667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2,313,629</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Six months ended June 30, 2013</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371,384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368,603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90,784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131,772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33,705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37,093</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39,589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(13,282)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13,282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1,981,444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related parties included Oil States until May 30, 2014, the effective date of the Spin-Off.</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May 27, 2014, in connection with the Spin-off, we entered into several agreements with Oil States that govern the Spin-Off and the relationship of the parties following the Spin-Off. Because the terms of these agreements were entered into in the context of a related party transaction, the terms may not be comparable to terms that would be obtained in a transaction between unaffiliated parties.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Separation and Distribution Agreement between us and Oil States contains the key provisions relating to the separation of our business from Oil States and the distribution of our common stock to Oil States stockholders. The Separation and Distribution Agreement identifies the assets that were transferred or sold, liabilities that were assumed or sold and contracts that were assigned to us by Oil States or by us to Oil States in the Spin-Off and describes how these transfers, sales, assumptions and assignments occurred. Pursuant to the Separation and Distribution Agreement, on May 28, 2014, we made a cash distribution to Oil States of $750 million.</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Indemnification and Release Agreement governs the treatment of all aspects relating to indemnification, insurance, litigation responsibility and management, and litigation document sharing and cooperation. Generally, the Indemnification and Release Agreement provides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See Note 9.</w:t>
      </w:r>
    </w:p>
    <w:p>
      <w:pPr>
        <w:spacing w:after="0" w:line="18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Tax Sharing Agreement governs the respective rights, responsibilities and obligations of Oil States and us with respect to taxes and tax benefits, the filing of tax returns, the control of audits, restrictions on us to preserve the tax-free status of the Spin-Off and other tax matters.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Employee Matters Agreement provides that each company has responsibility for its own employees and compensation plans. The agreement also contains provisions regarding stock-based compensation. See Note 11.</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Transition Services Agreement sets forth the terms on which Oil States will provide to us, and we will provide to Oil States, on a temporary basis, certain services or functions that the companies historically have shared. Transition services provided to us by Oil States may include administrative, payroll, legal, human resources, data processing, financial audit support, financial transaction support, and other support services, information technology systems and various other corporate services. Transition services provided to Oil States by us may include information technology systems, financial audit support, tax support and other corporate services. The agreement provides for the provision of specified transition services, generally for a period of up to nine months from the date of the Spin-Off, with a possible extension of 1 month (an aggregate of 10 months) at a predetermined fee based on estimated cost to Oil States. We incurred costs totaling $0.2 million under the Transition Services Agreement for June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three months ended June 30, 2014 and 2013, $8.7 million and $33.9 million, respectively, of expenditures for services received from Oil States or funding for expenditures provided by Oil States were included in the consolidated financial statements. During the six months ended June 30, 2014 and 2013, $41.7 million and $63.7 million, respectively, of expenditures for services received from Oil States or funding for expenditures provided by Oil States were included in the consolidated financial statements.</w:t>
      </w:r>
    </w:p>
    <w:p>
      <w:pPr>
        <w:spacing w:after="0" w:line="18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Prior to the Spin-Off, the consolidated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three months ended June 30, 2014 and 2013, we were allocated $1.2 million and $1.3 million, respectively, in respect of these corporate expenses which are included within selling, general and administrative expenses in the consolidated statements of income. During the six months ended June 30, 2014 and 2013, we were allocated $2.8 million and $2.7 million, respectively, in respect of these corporate expenses which are included within selling, general and administrative expenses in the consolidated statements of income.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consolidated balance sheets. The components of the change in Oil States net investment for the six months ended June 30, 2014 and 2013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(13,255)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63,671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allocations, including income tax provision (1)</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increase in Oil States net investment</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32,420</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88,270</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202" w:lineRule="exact"/>
        <w:rPr>
          <w:sz w:val="20"/>
          <w:szCs w:val="20"/>
          <w:color w:val="auto"/>
        </w:rPr>
      </w:pPr>
    </w:p>
    <w:p>
      <w:pPr>
        <w:ind w:left="240" w:hanging="232"/>
        <w:spacing w:after="0" w:line="259"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$2.8 million and $2.7 million for the six months ended June 30, 2014 and 2013,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accordance with the Separation and Distribution Agreement, our affiliate debt with Oil States, which totaled approximately $336.8 million as of May 30, 2014, including accrued interest, was settled through a non-cash capital contribution.</w:t>
      </w:r>
    </w:p>
    <w:p>
      <w:pPr>
        <w:spacing w:after="0" w:line="1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July 29, 2014, we announced that our board of directors had declared a quarterly cash dividend of $0.13 per share of common stock, payable on August 29, 2014 to shareholders of record on August 15,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9" w:name="page20"/>
    <w:bookmarkEnd w:id="19"/>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Amendment No. 5 to our registration statement on Form 10 filed with the Securities and Exchange Commission on May 8, 2014.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stockholders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to “Civeo”, “the Company,” “us,” “our” or “we” for the time period prior to the separation mean the Accommodations business of Oil States. For time periods after the separation, these terms refer to the legal entity Civeo Corporation and its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May 5, 2014, the Oil States International, Inc. (Oil States) board of directors approved the separation of its Accommodations segment (Accommodations) into a standalone, publicly traded company, Civeo Corporation. In accordance with the Separation and Distribution Agreement, the two companies were separated by Oil States distributing to its stockholders all 106,538,044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(the Form 10).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right="120" w:firstLine="324"/>
        <w:spacing w:after="0" w:line="264"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For further discussion, please see “Liquidity and Capital Resources” below and Note 6 – Debt to the accompanying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Prior to the Spin-Off, our financial position, results of operations and cash flows consisted of the Oil States’ Accommodations business, which represented a combined reporting entity. The combined financial statements included in this quarterly report on Form 10-Q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right="60" w:hanging="324"/>
        <w:spacing w:after="0" w:line="273"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consolidated statements of income and comprehensive income for the three months ended June 30, 2014 consist of the consolidated results of Civeo for the month ended June 30, 2014, and the combined results of the Oil States’ Accommodations business for the two months ended May 31, 2014. Our consolidated statements of income and comprehensive income for the six months ended June 30, 2014 consist of the consolidated results of Civeo for the one month ended June 30, 2014 and of the combined results of the Oil States’ Accommodations business for the five months ended May 31, 2014. Our consolidated statements of income and comprehensive income for the three and six months ended June 30, 2013 consist entirely of the combined results of the Oil States’ Accommodations business.</w:t>
      </w:r>
    </w:p>
    <w:p>
      <w:pPr>
        <w:spacing w:after="0" w:line="17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consolidated balance sheet at June 30, 2014, consists of the consolidated balances of Civeo, while at December 31, 2013, it consists entirely of the combined balances of the Oil States’ Accommodations business.</w:t>
      </w:r>
    </w:p>
    <w:p>
      <w:pPr>
        <w:spacing w:after="0" w:line="170" w:lineRule="exact"/>
        <w:rPr>
          <w:rFonts w:ascii="Arial" w:cs="Arial" w:eastAsia="Arial" w:hAnsi="Arial"/>
          <w:sz w:val="18"/>
          <w:szCs w:val="18"/>
          <w:color w:val="auto"/>
        </w:rPr>
      </w:pPr>
    </w:p>
    <w:p>
      <w:pPr>
        <w:ind w:left="980" w:right="120" w:hanging="324"/>
        <w:spacing w:after="0" w:line="30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consolidated statements of cash flows and changes in stockholders’ equity / net investment for the six months ended June 30, 2014 consist of the consolidated results of Civeo for the one month ended June 30, 2014, and the combined results of the Oil States’ Accommodations business for the five months ended May 31, 2013. Our consolidated statements of cash flows and changes in stockholders’ equity / net investment for the six months ended June 30, 2013 consist entirely of the combined results of the Oil States’ Accommodations business.</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assets and liabilities in our consolidated financial statements have been reflected on a historical basis, as immediately prior to the Spin-Off all of the assets and liabilities presented where wholly owned by Oil States and were transferred within the Oil States consolidated group. All significant intercompany transactions and accounts have been eliminated. All affiliate transactions between Civeo and Oil States have been included in the consolidated financial statements included in this quarterly report on Form 10-Q.</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1" w:name="page22"/>
    <w:bookmarkEnd w:id="21"/>
    <w:p>
      <w:pPr>
        <w:ind w:firstLine="324"/>
        <w:spacing w:after="0" w:line="269"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Civeo is performing these functions using its own resources or purchased services. For an interim period, however, some of these functions will continue to be provided by Oil States under a Transition Services Agreement, which extends for a period of up to 9 months, depending on the service being provided. See Note 13 – Related Party Transactions to the accompanying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Canada, Western Canadian Select (WCS) crude is the benchmark price for our oil sands accommodations’ customers. Pricing for WCS is driven by several factors. A significant factor affecting WCS pricing is the underlying price for West Texas Intermediate (WTI). As WTI prices have increased over the past few years with the global economic recovery, WCS prices have also increased. Another significant factor affecting WCS pricing has been the availability of transportation infrastructure. Historically, WCS has traded at a discount to WTI, creating a “WCS Basis Differential,” due to transportation costs and limited capacity to move growing Canadian heavy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slightly decreased. WCS prices in the second quarter of 2014 averaged $83.78 per barrel compared to $77.76 per barrel in the first quarter of 2014. The WCS Basis Differential expanded modestly from $20.01 per barrel at the end of the first quarter of 2014 to $21.00 per barrel by the end of the second quarter of 2014, due to increased demand from U.S. refineries, a continued increase in crude by rail volumes and a number of pipeline capacity improvements and expansion projects. As of July 14, 2014, the WCS Basis Differential was $22.50. Should the price of WTI decline or the WCS Basis Differential widen, our oil sands customers may delay additional investments or reduce their spending in the oil sands region.</w:t>
      </w:r>
    </w:p>
    <w:p>
      <w:pPr>
        <w:spacing w:after="0" w:line="18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Given the historical volatility of WTI crude prices and the WCS Basis Differential, there remains a risk that prices in the oil sands could deteriorate going forward due to slowing economic growth in China, fiscal and financial uncertainty in the U.S. and various European countries, potentially negative effects on the U.S. economy due to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firstLine="369"/>
        <w:spacing w:after="0" w:line="286" w:lineRule="auto"/>
        <w:rPr>
          <w:sz w:val="20"/>
          <w:szCs w:val="20"/>
          <w:color w:val="auto"/>
        </w:rPr>
      </w:pPr>
      <w:r>
        <w:rPr>
          <w:rFonts w:ascii="Arial" w:cs="Arial" w:eastAsia="Arial" w:hAnsi="Arial"/>
          <w:sz w:val="16"/>
          <w:szCs w:val="16"/>
          <w:color w:val="auto"/>
        </w:rPr>
        <w:t>Natural gas prices and WTI crude oil pricing, discussed above, have an impact on the demand for our U.S. accommodations. Prices for natural gas in the U.S. averaged $4.58 per mcf in the second quarter of 2014, a 14% increase over the second quarter 2013 average price. Natural gas prices remain elevated on a year over year basis due to the above average storage withdrawals experienced during the extremely cold winter weather in many parts of the U.S., lower net imports from Canada and higher residential, commercial and industrial demand. During the quarter, natural gas prices ranged from a low of $4.28 per mcf to a high of $4.83 per mcf. Natural gas prices have declined for more recent periods, trading at approximately $3.96 per mcf as of August 8, 2014. The improvement in demand for natural gas, largely as a result of extreme winter weather, has resulted in significant declines in natural gas inventories in the U.S. Currently, natural gas in storage in the US is 29% below the 5 year average. In spite of the increases in natural gas prices, additional customer spending in the natural gas shale plays has been limited as natural gas production from already developed unconventional natural gas resources in North America remained high during the quarter. As a result of natural gas production growth outpacing demand in the U.S., natural gas prices continue to be weak relative to prices experienced in 2006 through 2008 and are expected to remain below levels considered economic for new investments in numerous natural gas fields. Consequently, the U.S. natural gas-related working rig count has declined from more than 430 rigs at the beginning of 2013 to 316 rigs as of August 8, 2014.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7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Australian villages in the Bowen Basin primarily serve coal mines in that region. Met coal pricing and growth in production in the Bowen Basin region is influenced by levels of global steel production. Because Chinese steel production has been growing at a slower pace than that experienced in 2011 and early 2012, Chinese demand for imported steel inputs such as met coal and iron ore continued to decrease during the second quarter of 2014 compared to the second quarter of 2013. As a result, spot met coal prices have decreased materially from over $160/metric ton at the beginning of 2013 to approximately $115/metric ton at the end of the second quarter of 2014.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However, steel consumption per capita in China is less than one-third of the amount installed in the U.S. economy, suggesting a favorable outlook for Chinese steel production and met coal demand over a longer time horizon.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103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3"/>
              </w:rPr>
              <w:t>Henry</w:t>
            </w:r>
          </w:p>
        </w:tc>
        <w:tc>
          <w:tcPr>
            <w:tcW w:w="80" w:type="dxa"/>
            <w:vAlign w:val="bottom"/>
          </w:tcPr>
          <w:p>
            <w:pPr>
              <w:spacing w:after="0"/>
              <w:rPr>
                <w:sz w:val="16"/>
                <w:szCs w:val="16"/>
                <w:color w:val="auto"/>
              </w:rPr>
            </w:pPr>
          </w:p>
        </w:tc>
      </w:tr>
      <w:tr>
        <w:trPr>
          <w:trHeight w:val="216"/>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left="410"/>
              <w:spacing w:after="0"/>
              <w:rPr>
                <w:sz w:val="20"/>
                <w:szCs w:val="20"/>
                <w:color w:val="auto"/>
              </w:rPr>
            </w:pPr>
            <w:r>
              <w:rPr>
                <w:rFonts w:ascii="Arial" w:cs="Arial" w:eastAsia="Arial" w:hAnsi="Arial"/>
                <w:sz w:val="18"/>
                <w:szCs w:val="18"/>
                <w:b w:val="1"/>
                <w:bCs w:val="1"/>
                <w:color w:val="auto"/>
              </w:rPr>
              <w:t>WTI</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353"/>
              <w:spacing w:after="0"/>
              <w:rPr>
                <w:sz w:val="20"/>
                <w:szCs w:val="20"/>
                <w:color w:val="auto"/>
              </w:rPr>
            </w:pPr>
            <w:r>
              <w:rPr>
                <w:rFonts w:ascii="Arial" w:cs="Arial" w:eastAsia="Arial" w:hAnsi="Arial"/>
                <w:sz w:val="18"/>
                <w:szCs w:val="18"/>
                <w:b w:val="1"/>
                <w:bCs w:val="1"/>
                <w:color w:val="auto"/>
                <w:w w:val="95"/>
              </w:rPr>
              <w:t>WCS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Hard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Coking Coal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Natural</w:t>
            </w:r>
          </w:p>
        </w:tc>
        <w:tc>
          <w:tcPr>
            <w:tcW w:w="80" w:type="dxa"/>
            <w:vAlign w:val="bottom"/>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18"/>
                <w:szCs w:val="18"/>
                <w:color w:val="auto"/>
              </w:rPr>
            </w:pPr>
          </w:p>
        </w:tc>
        <w:tc>
          <w:tcPr>
            <w:tcW w:w="1160" w:type="dxa"/>
            <w:vAlign w:val="bottom"/>
          </w:tcPr>
          <w:p>
            <w:pPr>
              <w:jc w:val="center"/>
              <w:ind w:left="410"/>
              <w:spacing w:after="0"/>
              <w:rPr>
                <w:sz w:val="20"/>
                <w:szCs w:val="20"/>
                <w:color w:val="auto"/>
              </w:rPr>
            </w:pPr>
            <w:r>
              <w:rPr>
                <w:rFonts w:ascii="Arial" w:cs="Arial" w:eastAsia="Arial" w:hAnsi="Arial"/>
                <w:sz w:val="18"/>
                <w:szCs w:val="18"/>
                <w:b w:val="1"/>
                <w:bCs w:val="1"/>
                <w:color w:val="auto"/>
                <w:w w:val="96"/>
              </w:rPr>
              <w:t>Crude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353"/>
              <w:spacing w:after="0"/>
              <w:rPr>
                <w:sz w:val="20"/>
                <w:szCs w:val="20"/>
                <w:color w:val="auto"/>
              </w:rPr>
            </w:pPr>
            <w:r>
              <w:rPr>
                <w:rFonts w:ascii="Arial" w:cs="Arial" w:eastAsia="Arial" w:hAnsi="Arial"/>
                <w:sz w:val="18"/>
                <w:szCs w:val="18"/>
                <w:b w:val="1"/>
                <w:bCs w:val="1"/>
                <w:color w:val="auto"/>
                <w:w w:val="92"/>
              </w:rPr>
              <w:t>Crude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(Met Coal)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Gas</w:t>
            </w:r>
          </w:p>
        </w:tc>
        <w:tc>
          <w:tcPr>
            <w:tcW w:w="80" w:type="dxa"/>
            <w:vAlign w:val="bottom"/>
          </w:tcPr>
          <w:p>
            <w:pPr>
              <w:spacing w:after="0"/>
              <w:rPr>
                <w:sz w:val="18"/>
                <w:szCs w:val="18"/>
                <w:color w:val="auto"/>
              </w:rPr>
            </w:pPr>
          </w:p>
        </w:tc>
      </w:tr>
      <w:tr>
        <w:trPr>
          <w:trHeight w:val="234"/>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1"/>
              </w:rPr>
              <w:t>(per bbl)</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b w:val="1"/>
                <w:bCs w:val="1"/>
                <w:color w:val="auto"/>
                <w:w w:val="94"/>
              </w:rPr>
              <w:t>(per bbl)</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(per ton)</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3/31/2014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98.68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9/30/2013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105.83</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6/30/2013</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3/31/2013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94.33</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9/30/2012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92.17</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76.75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92"/>
              </w:rPr>
              <w:t>3/31/2012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102.85</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82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95" w:lineRule="exact"/>
        <w:rPr>
          <w:sz w:val="20"/>
          <w:szCs w:val="20"/>
          <w:color w:val="auto"/>
        </w:rPr>
      </w:pPr>
    </w:p>
    <w:p>
      <w:pPr>
        <w:ind w:left="340" w:right="80" w:hanging="8"/>
        <w:spacing w:after="0" w:line="277" w:lineRule="auto"/>
        <w:tabs>
          <w:tab w:leader="none" w:pos="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Queensland hard coking coal index from Bloomberg.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As noted above, demand for our services is primarily tied to the long-term outlook for crude oil and met coal prices. Other factors that can affect our business and financial results include the general global economic environment and regulatory changes in the U.S., Canada and Australia and in other markets.</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months to several years.</w:t>
      </w:r>
    </w:p>
    <w:p>
      <w:pPr>
        <w:spacing w:after="0" w:line="193"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w:t>
      </w:r>
    </w:p>
    <w:p>
      <w:pPr>
        <w:spacing w:after="0" w:line="14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Recent announcements of certain new and expanded oil sands projects can create the opportunity to extend existing accommodations contracts and incremental contracts for us in Canada. For example, we were recently awarded a three-year contract in January 2014 to provide accommodations in support of a new oil sand mining project. We will serve this client at our new McClelland Lake Lodge, which began operations in the second quarter of 2014 and will have 1,977 rooms by year end. However, given the WCS discount to WTI, several oil sands customers have announced the deferral of certain new oil sands projects, which could negatively affect our ability to expand our oil sands room count or our occupancy levels in the near term.</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production from higher cost mines and delay or materially reduce their growth plans. This has negatively affected our ability to expand our room count and has led to a decrease in occupancy levels. It has also caused one of our customers to reduce their forward room commitments in return for contract amendment payments beginning in March 2014, which is being recognized as additional revenue on a straight-line basis over the remaining life of the customer contracts.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The Canadian dollar was valued at an average exchange rate of U.S. $0.91 for the first half of 2014 compared to U.S. $0.98 for the first half of 2013, a decrease of approximately 7%. The Australian dollar was valued at an average exchange rate of U.S. $0.92 for the first half of 2014 compared to U.S. $1.02 for the first half of 2013, a decrease of approximately 10%.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We currently expect that our 2014 capital expenditures will total approximately $300 million to $350 million, compared to 2013 capital expenditures of $292 million. Please see “Liquidity and Capital Resources” below for further discussion of 2014 capital expenditures.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six-month period ended June 30, 2014, is based on a comparison with the corresponding period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June 30, 2014 Compared to Three Months Ended June 30,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8"/>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Canada</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156,479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160,952</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227,133</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133,305</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132,594</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Spin-off and formation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210,907</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191,358</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(7,161)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(11,360)</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 attributable to Civeo</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reported net income attributable to Civeo for the quarter ended June 30, 2014 of $13.9 million, or $0.13 per diluted share. As further discussed in Impairment expense and Interest expense and income, net, below, net income included $12.2 million of after-tax charges, or $0.12 per diluted share, resulting from the Spin-Off. In addition, we incurred severance costs of $4.1 million, or $0.03 per diluted share, included in Selling, general and administrative expenses below and impairment costs of $2.6 million, or $0.02 per diluted share, included in Impairment expense below. These results compare to net income attributable to Civeo for the quarter ended June 30, 2013 of $33.0 million, or $0.31 per diluted share. This included $1.2 million, or $0.01 per diluted share, of losses incurred on extinguishment of debt.</w:t>
      </w:r>
    </w:p>
    <w:p>
      <w:pPr>
        <w:spacing w:after="0" w:line="189"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$15.9 million, or 7%, in the second quarter of 2014 compared to the second quarter of 2013. This decline</w:t>
      </w:r>
      <w:r>
        <w:rPr>
          <w:rFonts w:ascii="Arial" w:cs="Arial" w:eastAsia="Arial" w:hAnsi="Arial"/>
          <w:sz w:val="18"/>
          <w:szCs w:val="18"/>
          <w:b w:val="1"/>
          <w:bCs w:val="1"/>
          <w:color w:val="auto"/>
        </w:rPr>
        <w:t xml:space="preserve"> </w:t>
      </w:r>
      <w:r>
        <w:rPr>
          <w:rFonts w:ascii="Arial" w:cs="Arial" w:eastAsia="Arial" w:hAnsi="Arial"/>
          <w:sz w:val="18"/>
          <w:szCs w:val="18"/>
          <w:color w:val="auto"/>
        </w:rPr>
        <w:t>was largely driven by decreases in both Canada, due to weaker Canadian exchange rates and lower RevPAR, and Australia, due to weaker Australian exchange rates and lower occupancy, as further described in the segment discussion below.</w:t>
      </w:r>
    </w:p>
    <w:p>
      <w:pPr>
        <w:spacing w:after="0" w:line="176"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$0.7 million, or 1%, in the second quarter of 2014 compared to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2013 primarily due to increases in Canada, due to weaker Canadian exchange rates, offset by decreases in the United States, due to lower occupancy levels. Please see further description in segment discussion below.</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Selling, general and administrative (SG&amp;A) expense increased $4.8 million, or 28%, in the second</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quarter of 2014 compared to the second quarter of 2013 primarily due to severance costs associated with the termination of an executive totaling $4.1 million.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ind w:right="58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$1.9 million relate to transition costs incurred during the second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becoming a stand-alone company.</w:t>
      </w:r>
    </w:p>
    <w:p>
      <w:pPr>
        <w:spacing w:after="0" w:line="162"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increased $1.0 million, or 2%, in the second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second quarter of 2013 primarily due to capital expenditures made during the last twelve months.</w:t>
      </w:r>
    </w:p>
    <w:p>
      <w:pPr>
        <w:spacing w:after="0" w:line="162" w:lineRule="exact"/>
        <w:rPr>
          <w:sz w:val="20"/>
          <w:szCs w:val="20"/>
          <w:color w:val="auto"/>
        </w:rPr>
      </w:pPr>
    </w:p>
    <w:p>
      <w:pPr>
        <w:jc w:val="both"/>
        <w:ind w:right="60" w:firstLine="324"/>
        <w:spacing w:after="0" w:line="281"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Impairment expense of $11.6 million in the second quarter of 2014 consisted of a $9.0 million impairment of an intangible asset</w:t>
      </w:r>
      <w:r>
        <w:rPr>
          <w:rFonts w:ascii="Arial" w:cs="Arial" w:eastAsia="Arial" w:hAnsi="Arial"/>
          <w:sz w:val="17"/>
          <w:szCs w:val="17"/>
          <w:b w:val="1"/>
          <w:bCs w:val="1"/>
          <w:color w:val="auto"/>
        </w:rPr>
        <w:t xml:space="preserve"> </w:t>
      </w:r>
      <w:r>
        <w:rPr>
          <w:rFonts w:ascii="Arial" w:cs="Arial" w:eastAsia="Arial" w:hAnsi="Arial"/>
          <w:sz w:val="17"/>
          <w:szCs w:val="17"/>
          <w:color w:val="auto"/>
        </w:rPr>
        <w:t>in Australia. Due to the Spin-Off, and the resulting rebranding of our Australian operations from The MAC to Civeo, it was determined that the fair value of an intangible asset associated with The MAC brand was nil. Additionally, we recognized an impairment totaling $2.6 million on assets that are in the custody of non-paying customers in Mexico, and for which the return or reimbursement is unlikely.</w:t>
      </w:r>
    </w:p>
    <w:p>
      <w:pPr>
        <w:spacing w:after="0" w:line="165"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$35.4 million, or 69%, in the second quarter of 2014 compared to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2013 primarily as a result of the lower revenue described above and in the segment discussion below, as well as the impairment expense and severance costs discussed above.</w:t>
      </w:r>
    </w:p>
    <w:p>
      <w:pPr>
        <w:spacing w:after="0" w:line="176"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including interest expense and income to/from affiliates, increased by $0.4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6%, in the second quarter of 2014 compared to the second quarter of 2013 primarily due to the write-off of $3.5 million debt issuance costs associated with the credit agreement that was terminated in conjunction with the Spin-Off partially offset by repayment of the Australian revolving credit facility and the Canadian term loan in the first half of 2013. The Company wrote-off $1.2 million of debt issuance costs associated with the Canadian term loan repayment. Interest income increased as a result of higher cash balances during second quarter of 2014 compared to 2013.</w:t>
      </w:r>
    </w:p>
    <w:p>
      <w:pPr>
        <w:spacing w:after="0" w:line="168"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Income Tax Provision. </w:t>
      </w:r>
      <w:r>
        <w:rPr>
          <w:rFonts w:ascii="Arial" w:cs="Arial" w:eastAsia="Arial" w:hAnsi="Arial"/>
          <w:sz w:val="17"/>
          <w:szCs w:val="17"/>
          <w:color w:val="auto"/>
        </w:rPr>
        <w:t>Our income tax benefit for the three months ended June 30, 2014 totaled $4.9 million, or (52.4%) of pretax income,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expense of $11.4 million, or 25.4% of pretax income, for the three months ended June 30, 2013. The negative effective tax rate for the three months ended June 30, 2014 is due to a reduction in the 2014 annual effective tax rate from March 31, 2014 to June 30, 2014 due to changes in our corporate structure, including the contribution by Oil States of our affiliate debt. Under ASC 740-270, Accounting for Income Taxes, the quarterly tax provision is based on our current estimate of the annual effective tax rate less the prior quarter’s year-to-date tax provision.</w:t>
      </w:r>
    </w:p>
    <w:p>
      <w:pPr>
        <w:spacing w:after="0" w:line="16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$173.3 million in the second quarter of 2014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2013 primarily as a result of foreign currency translation adjustments due to changes in the Canadian and Australian dollar exchange rates compared to the U.S. dollar. The Canadian dollar exchange rate compared to the U.S. dollar increased 4% in the second quarter of 2014 compared to a 3% decrease in the second quarter of 2013. The Australian dollar exchange rate compared to the U.S. dollar increased 2% in the second quarter of 2014 compared to a 12% decrease in the second quarter of 2013.</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6" w:name="page27"/>
    <w:bookmarkEnd w:id="26"/>
    <w:tbl>
      <w:tblPr>
        <w:tblLayout w:type="fixed"/>
        <w:tblInd w:w="34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tcPr>
          <w:p>
            <w:pPr>
              <w:jc w:val="center"/>
              <w:ind w:left="57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122,709</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133,935</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27,017</w:t>
            </w: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156,479</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160,952</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96,573</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94,773</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RevPAR for Lodges (3)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Occupancy in Lodges (4)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0.917</w:t>
            </w:r>
          </w:p>
        </w:tc>
        <w:tc>
          <w:tcPr>
            <w:tcW w:w="2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0.977</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926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Canadian segment reported revenues in the second quarter of 2014 that were $4.5 million, or 3%, lower than the second quarter of 2013. The weakening of the Canadian dollar relative to the U.S. dollar by 6% in the second quarter of 2014 compared to the second quarter of 2013 resulted in a $10.2 million year-over-year reduction in revenues. In addition, excluding the impact of the weaker Canadian exchange rates, the segment experienced a 2% decline in lodge revenues primarily due to a 9% year-over-year decrease in RevPAR largely related to contracted room rate reductions and the shutdown of Lakeside Lodge during the second quarter of 2014. In addition, revenues were reduced by approximately $4.9 million due to a contract amendment. Lodge revenues in the second quarter of 2014 were partially offset by a 7% increase year-over-year in average available rooms.</w:t>
      </w:r>
    </w:p>
    <w:p>
      <w:pPr>
        <w:spacing w:after="0" w:line="178"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Our Canadian segment cost of sales and services increased $1.8 million, or 2%, in the second quarter of 2014 compared to the second quarter of 2013. Although revenue decreased due to lower contracted room rates, a corresponding decrease did not occur in cost of sales and services, as average available rooms increased. This was partially offset by the weakening of the average exchange rates.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41% in the second quarter of 2013 to 38% in the second quarter of 2014 primarily due to lower contracted room rates and the contract amendment.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 w:name="page28"/>
    <w:bookmarkEnd w:id="27"/>
    <w:tbl>
      <w:tblPr>
        <w:tblLayout w:type="fixed"/>
        <w:tblInd w:w="34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tcPr>
          <w:p>
            <w:pPr>
              <w:jc w:val="center"/>
              <w:ind w:left="57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54,383</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64,043</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sales ($ in thousands)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24,950</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Average Available Village Rooms (2)</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RevPAR for Villages (3)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Occupancy in Villages (4)</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0.933</w:t>
            </w:r>
          </w:p>
        </w:tc>
        <w:tc>
          <w:tcPr>
            <w:tcW w:w="2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0.991</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1029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Australian segment reported revenues in the second quarter of 2014 that were $9.7 million, or 15%, lower than the second quarter of 2013. The weakening of the average exchange rates for Australian dollars relative to the U.S. dollar by 6% in the second quarter of 2014 compared to the second quarter of 2013 resulted in a $3.4 million year-over-year reduction in revenues. Village revenues in the second quarter of 2014 were also negatively impacted by lower occupancy levels compared to the second quarter of 2013, primarily as a result of the continued slowdown in mining activity, partially offset by the contributions of Boggabri Village, which commenced operations in the fourth quarter 2013.</w:t>
      </w:r>
    </w:p>
    <w:p>
      <w:pPr>
        <w:spacing w:after="0" w:line="173"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Our Australian segment cost of sales decreased by less than $0.1 million in the second quarter of 2014 compared to the second quarter of 2013. The weakening of the Australian dollar was completely offset by increased repair and maintenance costs associated with a water treatment facility as well as higher development expenses.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Australian segment gross margin as a percentage of revenues declined from 61% in the second quarter of 2013 to 54% in the second quarter of 2014. The decline is largely due to increased repair and maintenance costs associated with a water treatment facility as well as costs incurred for a proposed development that will not move forward.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Results of Operations – United States Segment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United States segment reported revenues in the second quarter of 2014 of $16.3 million, which were $1.7 million, or 10%, lower than the second quarter of 2013. Mobile camp revenues in the second quarter of 2014 were negatively impacted by lower occupancy levels and pricing compared to the second quarter of 2013, primarily as a result of increased competition, but were positively affected by the addition of two new lodges that were not operating in the second quarter of 2013.</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United States cost of sales decreased $1.0 million, or 8%, in the second quarter of 2014 compared to the second quarter of 2013. The decrease was driven by lower occupancy levels.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29% in the second quarter of 2013 to 28% in the second quarter of 2014 primarily due to lower contracted room rates and lower occupancy levels in the United States.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Consolidated Results of Operations – Six Months Ended June 30, 2014 Compared to Six Months Ended June 30, 2013</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8"/>
          </w:tcPr>
          <w:p>
            <w:pPr>
              <w:jc w:val="center"/>
              <w:ind w:left="630"/>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Canada</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336,803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368,603</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479,932</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537,528</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276,815</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283,042</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Spin-off and formation costs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(3,571)</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410,846</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395,135</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142,393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(13,570)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129,425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(31,932)</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 attributable to Civeo</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50,188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96,782</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reported net income attributable to Civeo for the six months ended June 30, 2014 of $50.2 million, or $0.47 per diluted share. As further discussed in Impairment expense and Interest expense and income, net, below, net income included $12.7 million of after-tax charges, or $0.12 per diluted share, resulting from the Spin-Off. In addition, we also incurred severance costs of $4.1 million, or $0.03 per diluted share, included in Selling, general and administrative expenses below and impairment costs of $2.6 million, or $0.02 per diluted share, included in Impairment expense below. These results compare to net income attributable to Civeo for the six months ended June 30, 2013 of $96.8 million, or $0.91 per diluted share, including a pre-tax gain of $4.0 million, or $0.03 per diluted share after-tax from a decrease to a liability associated with contingent acquisition consideration. 2013 net income also included $1.2 million, or $0.01 per diluted share, of losses incurred on extinguishment of debt.</w:t>
      </w:r>
    </w:p>
    <w:p>
      <w:pPr>
        <w:spacing w:after="0" w:line="174"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$57.6 million, or 11%, in the first half of 2014 compared to the first half of 2013. This decline was largely</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decreases in both Canada, due to weaker Canadian exchange rates and lower RevPAR, and Australia, due to weaker Australian exchange rates and lower occupancy, as further described in the segment discussion below.</w:t>
      </w:r>
    </w:p>
    <w:p>
      <w:pPr>
        <w:spacing w:after="0" w:line="176"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consolidated cost of sales decreased $6.2 million, or 2%, in the first half of 2014 compared to the first half of 2013</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variable costs related to lower occupancy in Australia and decreases in Australia due to exchange rate fluctuations. Please see further segment discussion below.</w:t>
      </w:r>
    </w:p>
    <w:p>
      <w:pPr>
        <w:spacing w:after="0" w:line="176" w:lineRule="exact"/>
        <w:rPr>
          <w:sz w:val="20"/>
          <w:szCs w:val="20"/>
          <w:color w:val="auto"/>
        </w:rPr>
      </w:pPr>
    </w:p>
    <w:p>
      <w:pPr>
        <w:ind w:right="40" w:firstLine="324"/>
        <w:spacing w:after="0" w:line="313"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Selling, general and administrative (SG&amp;A) expense increased $4.7 million, or 14%, in the first half of</w:t>
      </w:r>
      <w:r>
        <w:rPr>
          <w:rFonts w:ascii="Arial" w:cs="Arial" w:eastAsia="Arial" w:hAnsi="Arial"/>
          <w:sz w:val="17"/>
          <w:szCs w:val="17"/>
          <w:b w:val="1"/>
          <w:bCs w:val="1"/>
          <w:color w:val="auto"/>
        </w:rPr>
        <w:t xml:space="preserve"> </w:t>
      </w:r>
      <w:r>
        <w:rPr>
          <w:rFonts w:ascii="Arial" w:cs="Arial" w:eastAsia="Arial" w:hAnsi="Arial"/>
          <w:sz w:val="17"/>
          <w:szCs w:val="17"/>
          <w:color w:val="auto"/>
        </w:rPr>
        <w:t>2014 compared to the first half of 2013 primarily due to severance costs associated with the termination of an executive totaling $4.1 million.</w:t>
      </w:r>
    </w:p>
    <w:p>
      <w:pPr>
        <w:spacing w:after="0" w:line="138"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$2.5 million relate to transition costs incurred associated with becoming a stand-alone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 w:name="page30"/>
    <w:bookmarkEnd w:id="29"/>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$0.5 million, or less than one percent, in the first half of</w:t>
      </w:r>
      <w:r>
        <w:rPr>
          <w:rFonts w:ascii="Arial" w:cs="Arial" w:eastAsia="Arial" w:hAnsi="Arial"/>
          <w:sz w:val="18"/>
          <w:szCs w:val="18"/>
          <w:b w:val="1"/>
          <w:bCs w:val="1"/>
          <w:color w:val="auto"/>
        </w:rPr>
        <w:t xml:space="preserve"> </w:t>
      </w:r>
      <w:r>
        <w:rPr>
          <w:rFonts w:ascii="Arial" w:cs="Arial" w:eastAsia="Arial" w:hAnsi="Arial"/>
          <w:sz w:val="18"/>
          <w:szCs w:val="18"/>
          <w:color w:val="auto"/>
        </w:rPr>
        <w:t>2014 compared to the first half of 2013 primarily due to lower depreciation expense in our Canadian and Australian segments due to the weakening of the average exchange rates for Canadian and Australian dollars relative to the U.S. dollar and the extension of a land lease for two of our Canadian lodges. This was partially offset by capital expenditures made during the last twelve months.</w:t>
      </w:r>
    </w:p>
    <w:p>
      <w:pPr>
        <w:spacing w:after="0" w:line="180" w:lineRule="exact"/>
        <w:rPr>
          <w:sz w:val="20"/>
          <w:szCs w:val="20"/>
          <w:color w:val="auto"/>
        </w:rPr>
      </w:pPr>
    </w:p>
    <w:p>
      <w:pPr>
        <w:jc w:val="both"/>
        <w:ind w:right="60" w:firstLine="324"/>
        <w:spacing w:after="0" w:line="281"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Impairment expense of $11.6 million, in the second quarter of 2014 consisted of a $9.0 million impairment of an intangible asset</w:t>
      </w:r>
      <w:r>
        <w:rPr>
          <w:rFonts w:ascii="Arial" w:cs="Arial" w:eastAsia="Arial" w:hAnsi="Arial"/>
          <w:sz w:val="17"/>
          <w:szCs w:val="17"/>
          <w:b w:val="1"/>
          <w:bCs w:val="1"/>
          <w:color w:val="auto"/>
        </w:rPr>
        <w:t xml:space="preserve"> </w:t>
      </w:r>
      <w:r>
        <w:rPr>
          <w:rFonts w:ascii="Arial" w:cs="Arial" w:eastAsia="Arial" w:hAnsi="Arial"/>
          <w:sz w:val="17"/>
          <w:szCs w:val="17"/>
          <w:color w:val="auto"/>
        </w:rPr>
        <w:t>in Australia. Due to the Spin-Off, and the resulting rebranding of our Australian operations from The MAC to Civeo, it was determined that the fair value of an intangible asset associated with The MAC brand was nil. Additionally, we recognized an impairment totaling $2.6 million on assets that are in the custody of non-paying customers in Mexico, and for which the return or reimbursement is unlikely.</w:t>
      </w:r>
    </w:p>
    <w:p>
      <w:pPr>
        <w:spacing w:after="0" w:line="165" w:lineRule="exact"/>
        <w:rPr>
          <w:sz w:val="20"/>
          <w:szCs w:val="20"/>
          <w:color w:val="auto"/>
        </w:rPr>
      </w:pPr>
    </w:p>
    <w:p>
      <w:pPr>
        <w:ind w:firstLine="324"/>
        <w:spacing w:after="0" w:line="347" w:lineRule="auto"/>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Consolidated operating income decreased $73.3 million, or 51%, in the first half of 2014 compared to the first half of 2013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as a result of lower revenue described above and in the segment discussion below, as well as the impairment expense and severance costs discussed above.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including interest expense and income to/from affiliates, increased by $1.8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13%, in the first half of 2014 compared to the first half of 2013 primarily due to the repayment of the Australian revolving credit facility and the Canadian term loan in the first half of 2013, partially offset by the write-off of $3.5 million debt issuance costs associated with the credit agreement that was terminated in conjunction with the Spin-Off. The Company wrote-off $1.2 million of debt issuance costs associated with the Canadian term loan repayment. Interest income increased as a result of higher cash balances during the first half of 2014 compared to 2013.</w:t>
      </w:r>
    </w:p>
    <w:p>
      <w:pPr>
        <w:spacing w:after="0" w:line="16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7"/>
          <w:szCs w:val="17"/>
          <w:b w:val="1"/>
          <w:bCs w:val="1"/>
          <w:color w:val="auto"/>
        </w:rPr>
        <w:t xml:space="preserve">Income Tax Provision. </w:t>
      </w:r>
      <w:r>
        <w:rPr>
          <w:rFonts w:ascii="Arial" w:cs="Arial" w:eastAsia="Arial" w:hAnsi="Arial"/>
          <w:sz w:val="17"/>
          <w:szCs w:val="17"/>
          <w:color w:val="auto"/>
        </w:rPr>
        <w:t>Our income tax expense for the six months ended June 30, 2014 totaled $7.4 million, or 12.7% of pretax income,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expense of $31.9 million, or 24.7% of pretax income, for the six months ended June 30, 2013. Generally, our effective tax rates are lower than U.S. statutory rates because of lower foreign income tax rates. The decrease in the effective tax rate from the prior year was largely the result of a change in the earnings mix between different tax jurisdictions. In addition, the effective tax rate was reduced due to changes in our corporate structure, including the contribution by Oil States of our affiliate debt (as further described in Note 13 – Related Party Transactions).</w:t>
      </w:r>
    </w:p>
    <w:p>
      <w:pPr>
        <w:spacing w:after="0" w:line="168"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$192.2 million in the first half of 2014 compared to the first half of 2013</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foreign currency translation adjustments due to offsetting changes in the Canadian and Australian dollar exchange rates compared to the U.S. dollar. The Canadian dollar exchange rate compared to the U.S. dollar decreased 0.4% in the first half of 2014 compared to a 5% decrease in the first half of 2013. The Australian dollar exchange rate compared to the U.S. dollar increased 6% in the first half of 2014 compared to a 12% decrease in the first half of 2013.</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0" w:name="page31"/>
    <w:bookmarkEnd w:id="30"/>
    <w:tbl>
      <w:tblPr>
        <w:tblLayout w:type="fixed"/>
        <w:tblInd w:w="34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245,099</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277,805</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(32,706)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91,704</w:t>
            </w: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90,798</w:t>
            </w: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336,803</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368,603</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206,268</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205,410</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12,082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RevPAR for Lodges (3)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Occupancy in Lodges (4)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0.912</w:t>
            </w:r>
          </w:p>
        </w:tc>
        <w:tc>
          <w:tcPr>
            <w:tcW w:w="2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0.985</w:t>
            </w:r>
          </w:p>
        </w:tc>
        <w:tc>
          <w:tcPr>
            <w:tcW w:w="1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1029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Canadian segment reported revenues in the first half of 2014 that were $31.8 million, or 9%, lower than the first half of 2013. The weakening of the Canadian dollar relative to the U.S. dollar by 7% in the first half of 2014 compared to the first half of 2013 resulted in a $27.1 million year-over-year reduction in revenues. In addition, excluding the impact of the weaker Canadian exchange rates, the segment experienced a 5% decline in lodge revenues primarily due to a 10% year-over-year decrease in RevPAR largely related to contracted room rate reductions. In addition, revenues were reduced by approximately $4.9 million due to a contract amendment. Lodge revenues in the first half of 2014 were positively affected by a 6% increase year-over-year in average available rooms.</w:t>
      </w:r>
    </w:p>
    <w:p>
      <w:pPr>
        <w:spacing w:after="0" w:line="193"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Canadian segment cost of sales and services increased $0.9 million, or less than 1%, in the first half of 2014 compared to the first half of 2013. Although revenue decreased due to lower contracted room rates, a corresponding decrease did not occur in cost of sales and services, as occupancy levels remained constant. This was slightly offset by the weakening of the average exchange rates</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Canadian segment gross margin as a percentage of revenues decreased from 44% in the first half of 2013 to 39% in the first half of 2014 primarily due to lower contracted room rates in Canada. In addition, certain short-term, high margin contracts for mobile camps that occurred early in 2013 did not recur in 2014.</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1" w:name="page32"/>
    <w:bookmarkEnd w:id="31"/>
    <w:tbl>
      <w:tblPr>
        <w:tblLayout w:type="fixed"/>
        <w:tblInd w:w="34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4"/>
              </w:rPr>
              <w:t>JUNE 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109,847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131,772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(21,925)</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sales ($ in thousands)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45,978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51,341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Average Available Village Rooms (2)</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9,260</w:t>
            </w:r>
          </w:p>
        </w:tc>
        <w:tc>
          <w:tcPr>
            <w:tcW w:w="2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8,733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RevPAR for Villages (3)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Occupancy in Villages (4)</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0.915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1.015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1029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Our Australian segment reported revenues in the first half of 2014 that were $21.9 million, or 17%, lower than the first half of 2013. The weakening of the average exchange rates for Australian dollars relative to the U.S. dollar by 10% in the first half of 2014 compared to the first half of 2013 resulted in a $12.2 million year-over-year reduction in revenues. Village revenues in the first half of 2014 were also negatively impacted by lower occupancy levels compared to the first half of 2013, primarily as a result of lower met coal prices and the resultant slowdown in mining activity partially offset by the contributions of the Boggabri Village, which commenced operations in the fourth quarter of 2013.</w:t>
      </w:r>
    </w:p>
    <w:p>
      <w:pPr>
        <w:spacing w:after="0" w:line="17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Australian segment cost of sales decreased $5.4 million, or 10%, in the first half of 2014 compared to the first half of 2013. The decrease was driven by the weakening of the Australian dollar as well as lower occupancy levels.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declined from 61% in the first half of 2013 to 58% in the first half of 2014. This decrease was due to lower occupancy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Results of Operations – United States Segment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United States segment reported revenues in the first half of 2014 of $33.3 million, which were $3.9 million, or 10%, lower than the first half of 2013. Mobile camp revenues in the first half of 2014 were negatively impacted by lower occupancy levels compared to the first half of 2013, primarily as a result of increased competition, but were positively affected by the addition of two new lodges that were not operating in the first half of 2013.</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United States cost of sales decreased $1.7 million, or 6%, in the first half of 2014 compared to the first half of 2013. The decrease was driven by lower occupancy levels.</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29% in the first half of 2013 to 26% in the first half of 2014 primarily due to lower contracted room rates and lower occupancy levels in the United States.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paying dividends and for general working capital needs. In addition, capital has been used to repay debt and fund strategic business acquisitions. Historically, our primary sources of funds have been cash flow from operations, credit facilities in Australia and Canada and liquidity provided by Oil States. Looking forward, we expect our primary sources of funds to be available cash, cash flow from operations, borrowings under our new credit facility and capital markets transactions.</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345"/>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 xml:space="preserve">Australia </w:t>
            </w:r>
            <w:r>
              <w:rPr>
                <w:rFonts w:ascii="Arial" w:cs="Arial" w:eastAsia="Arial" w:hAnsi="Arial"/>
                <w:sz w:val="30"/>
                <w:szCs w:val="30"/>
                <w:b w:val="1"/>
                <w:bCs w:val="1"/>
                <w:color w:val="auto"/>
                <w:w w:val="90"/>
                <w:vertAlign w:val="superscript"/>
              </w:rPr>
              <w:t>(1)</w:t>
            </w:r>
          </w:p>
        </w:tc>
        <w:tc>
          <w:tcPr>
            <w:tcW w:w="28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color w:val="auto"/>
              </w:rPr>
              <w:t>Borrowings against revolver capacity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letters of credit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(6,876)</w:t>
            </w:r>
          </w:p>
        </w:tc>
      </w:tr>
      <w:tr>
        <w:trPr>
          <w:trHeight w:val="20"/>
        </w:trPr>
        <w:tc>
          <w:tcPr>
            <w:tcW w:w="4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Unused capacity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449,285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93,839</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643,124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56,468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131,512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97,514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285,494</w:t>
            </w:r>
          </w:p>
        </w:tc>
      </w:tr>
      <w:tr>
        <w:trPr>
          <w:trHeight w:val="20"/>
        </w:trPr>
        <w:tc>
          <w:tcPr>
            <w:tcW w:w="4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Total available liquidity as of June 30, 2014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505,753</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225,351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197,514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928,618</w:t>
            </w: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  Australia also has a A$30 million line of credit facility. There were no letters of credit outstanding under this facility as of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10293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Cash totaling $154.7 million was provided by operations during the first half of 2014 compared to $160.3 million provided by operations during the first half of 2013. The decrease in operating cash flow in 2014 compared to 2013 was primarily due to lower occupancy levels in lodges and villages, partially offset by lower cash used by working capital. During the first half of 2014, $6.9 million was provided by working capital. During the first half of 2013, $28.7 million was used for working capital, primarily due to $19 million in changes in taxes payable in Canada, as well as a $13 million change in accrued interest on affiliate debt.</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Cash was used in investing activities during the six months ended June 30, 2014 in the amount of $141.1 million compared to cash used in investing activities during the six months ended June 30, 2013 in the amount of $159.3 million. Capital expenditures totaled $141.7 million and $160.6 million during the six months ended June 30, 2014 and 2013, respectively. Capital expenditures in both years consisted principally of construction and installation of assets for our lodges primarily in support of Canadian oil sands projects.</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expect our capital expenditures for the entire year will total approximately $300 million to $350 million, compared to 2013 capital expenditures of $292 million. The majority of the 2014 capital expenditures amount relates to room expansions in Canada, including the McClelland Lake Lodge in the Athabasca oil sands region. Whether planned expenditures will actually be spent in 2014 depends on industry conditions, project approvals and schedules, customer room commitments and vendor delivery timing. We expect to fund these capital expenditures with available cash, internally generated funds and borrowings under our new credit facility. The foregoing capital expenditure forecast does not include any funds for strategic acquisitions, which the Company could pursue depending on the economic environment in our industry and the availability of transactions at prices deemed to be attractive to the Company.</w:t>
      </w:r>
    </w:p>
    <w:p>
      <w:pPr>
        <w:spacing w:after="0" w:line="16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June 30, 2014, we had cash totaling $229.0 million held by foreign subsidiaries, primarily in Canada and Australia, where we have assumed permanent reinvestment of earnings and have not recorded a U.S. tax liability upon the assumed repatriation of foreign earnings. Our intent is to utilize these cash balances for future investment outside the United States.</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Net cash of $44.1 million was provided by financing activities during the six months ended June 30, 2014, in part due to contributions from Oil States of $28.2 million. Borrowings of $775 million under our new term loan facility funded the cash distribution of $750.0 million to Oil States on May 28, 2014. Net cash of $46.3 million was used in financing activities during the six months ended June 30, 2013, due to $130.7 million in repayments of the Australian revolving credit facility and the Canadian term loan offset by $84.4 million in net contributions from Oil States.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3" w:name="page34"/>
    <w:bookmarkEnd w:id="33"/>
    <w:p>
      <w:pPr>
        <w:ind w:firstLine="324"/>
        <w:spacing w:after="0" w:line="289" w:lineRule="auto"/>
        <w:rPr>
          <w:sz w:val="20"/>
          <w:szCs w:val="20"/>
          <w:color w:val="auto"/>
        </w:rPr>
      </w:pPr>
      <w:r>
        <w:rPr>
          <w:rFonts w:ascii="Arial" w:cs="Arial" w:eastAsia="Arial" w:hAnsi="Arial"/>
          <w:sz w:val="16"/>
          <w:szCs w:val="16"/>
          <w:color w:val="auto"/>
        </w:rPr>
        <w:t>We believe that cash on hand, cash flow from operations and available borrowings under our new credit facility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163"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b w:val="1"/>
          <w:bCs w:val="1"/>
          <w:color w:val="auto"/>
        </w:rPr>
        <w:t xml:space="preserve">Credit Facilities and Long-Term Debt. </w:t>
      </w:r>
      <w:r>
        <w:rPr>
          <w:rFonts w:ascii="Arial" w:cs="Arial" w:eastAsia="Arial" w:hAnsi="Arial"/>
          <w:sz w:val="16"/>
          <w:szCs w:val="16"/>
          <w:color w:val="auto"/>
        </w:rPr>
        <w:t>We historically relied on Oil States for financial support and cash management. Following the Spin-Off, our</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structure and sources of liquidity changed. In conjunction with the Spin-Off, on May 28, 2014, we entered into (i) a $650.0 million, 5-year revolving credit facility which is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favor of Civeo (collectively, the Credit Agreement). U.S. Dollar amounts outstanding under the credit facilities bear interest at a variable rate equal to LIBOR plus a margin of 1.75% to</w:t>
      </w:r>
    </w:p>
    <w:p>
      <w:pPr>
        <w:spacing w:after="0" w:line="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2.75%, or a base rate plus 0.75% to 1.75%, in each case based on a ratio of our total leverage to EBITDA (as defined in the credit facilities). Canadian Dollar amounts outstanding under the credit facilities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bear interest at a variable rate equal to BBSY plus a margin of 1.75% to 2.75%, based on a ratio of our total leverage to EBITDA (as defined in the credit facilities). We paid certain customary fees with respect to the Credit Agreement. We have 15 lenders in our Credit Agreement with commitments ranging from $20 million to $195 million.</w:t>
      </w:r>
    </w:p>
    <w:p>
      <w:pPr>
        <w:spacing w:after="0" w:line="19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Credit Agreement) to consolidated interest expense. of at least 3.0 to 1.0 and our maximum leverage ratio, defined as the ratio of total debt to consolidated EBITDA, of no greater than 3.5 to 1.0. Each of the factors considered in the calculations of these ratios are defined in the Credit Agreement. EBITDA and consolidated interest, as defined, exclude goodwill impairments, debt discount amortization and other non-cash charges. We expect to be in compliance with our debt covenants during the remainder of 2014. Borrowings under the Credit Agreement are secured by a pledge of substantially all of our assets and the assets of our subsidiaries. Obligations under the Credit Agreement are guaranteed by our significant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2014, we had no off-balance sheet arrangements as defined in Item 303(a)(4)(ii)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520" w:firstLine="324"/>
        <w:spacing w:after="0" w:line="254"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contained in the Information Statement included in Amendment No. 5 to the Form 10. As of June 30, 2014, except for the settlement of affiliate debt to Oil States in connection with the Spin-Off and the incurrence of debt under our credit facilities as described above, there were no material changes to this disclosure regarding our contractual obligations made in the Form 10.</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Amendment No. 5 to the Form 10.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0"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June 30, 2014, we had floating-rate obligations totaling $775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$7.75 million annually based on our floating-rate debt obligations as of June 30,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operations are conducted in various countries around the world and we receive revenue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C$1.0 billion and A$972 million, respectively, at June 30, 2014.</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a sensitivity analysis model to measure the impact of a 10% adverse movement of foreign currency exchange rates against the United States dollar. A hypothetical 10% adverse change in the value of the Canadian dollar and Australian dollar relative to the United States dollar as of June 30, 2014 would result in a $94 million and $92 million translation adjustment,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2014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During the three months ended June 30, 2014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 w:name="page37"/>
    <w:bookmarkEnd w:id="36"/>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the Information Statement included in Amendment No. 5 to the Form 10.</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40" w:type="dxa"/>
            <w:vAlign w:val="bottom"/>
          </w:tcPr>
          <w:p>
            <w:pPr>
              <w:spacing w:after="0"/>
              <w:rPr>
                <w:sz w:val="17"/>
                <w:szCs w:val="17"/>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5"/>
              </w:rPr>
              <w:t>Separation and Distribution Agreement by and between Oil States International, Inc. and Civeo Corporation, dated May 27,</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3"/>
              </w:rPr>
              <w:t>2014 (incorporated herein by reference to Exhibit 2.1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tcPr>
          <w:p>
            <w:pPr>
              <w:ind w:left="620"/>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2"/>
              </w:rPr>
              <w:t>Amended and Restated Certificate of Incorporation of Civeo Corporation (incorporated herein by reference to Exhibit 3.1 to the</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Registration Statement on Form 10 (File No. 001-36246) filed on May 6, 2014).</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7"/>
              </w:rPr>
              <w:t>Amended and Restated Bylaws of Civeo Corporation (incorporated herein by reference to Exhibit 3.2 to the Registration</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Statement on Form 10 (File No. 001-36246) filed on May 6, 2014).</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4"/>
              </w:rPr>
              <w:t>Indemnification and Release Agreement by and between Oil States International, Inc. and Civeo Corporation, dated May 27,</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2"/>
              </w:rPr>
              <w:t>2014 (incorporated herein by reference to Exhibit 10.1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tcPr>
          <w:p>
            <w:pPr>
              <w:ind w:left="620"/>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10.2</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1"/>
              </w:rPr>
              <w:t>Tax Sharing Agreement by and between Oil States International, Inc. and Civeo Corporation, dated May 27, 2014 (incorporated</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herein by reference to Exhibit 10.2 to the Current Report on Form 8-K (File No. 001-36246) filed on June 2, 2014).</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10.3</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8"/>
              </w:rPr>
              <w:t>Employee Matters Agreement by and between Oil States International, Inc. and Civeo Corporation, dated May 27, 2014</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6"/>
              </w:rPr>
              <w:t>(incorporated herein by reference to Exhibit 10.3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tcPr>
          <w:p>
            <w:pPr>
              <w:ind w:left="620"/>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7"/>
              </w:rPr>
              <w:t>Transition Services Agreement by and between Oil States International, Inc. and Civeo Corporation, dated May 27, 2014</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6"/>
              </w:rPr>
              <w:t>(incorporated herein by reference to Exhibit 10.4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20" w:type="dxa"/>
            <w:vAlign w:val="bottom"/>
          </w:tcPr>
          <w:p>
            <w:pPr>
              <w:ind w:left="620"/>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10.5</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1"/>
              </w:rPr>
              <w:t>Syndicated Facility Agreement, dated as of May 28, 2014, among Civeo Corporation, Civeo Canada Inc., Civeo Premium Camp</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Services Ltd. And Civeo Australia Pty Limited, as Borrowers, the Lenders named therein, Royal Bank of Canada, as</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3"/>
              </w:rPr>
              <w:t>Administrative Agent, U.S. Collateral Agent, Canadian Administrative Agent, Canadian Collateral Agent and an Issuing Bank,</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4"/>
              </w:rPr>
              <w:t>and RBC Europe Limited, as Australian Administrative Agent, Australian Collateral Agent and an Issuing Bank (incorporated</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herein by reference to Exhibit 10.5 to the Current Report on Form 8-K (File No. 001-36246) filed on June 2, 2014).</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Form of Indemnification Agreement (as of July 25, 2014).</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8"/>
              </w:rPr>
              <w:t>Settlement Agreement and Release, dated as of June 26, 2014, by and between Civeo Corporation and Ronald Green.</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10.8</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w w:val="98"/>
              </w:rPr>
              <w:t>2014 Equity Participation Plan of Civeo Corporation (incorporated herein by reference to Exhibit 4.4 to the Registration</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Statement on Form S-8 (File No. 333-196292) filed on May 27, 2014).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6"/>
              </w:rPr>
              <w:t>—  Certification of Chief Executive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6"/>
              </w:rPr>
              <w:t>—  Certification of Chief Executive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3"/>
          </w:tcPr>
          <w:p>
            <w:pPr>
              <w:ind w:left="620"/>
              <w:spacing w:after="0"/>
              <w:rPr>
                <w:sz w:val="20"/>
                <w:szCs w:val="20"/>
                <w:color w:val="auto"/>
              </w:rPr>
            </w:pPr>
            <w:r>
              <w:rPr>
                <w:rFonts w:ascii="Arial" w:cs="Arial" w:eastAsia="Arial" w:hAnsi="Arial"/>
                <w:sz w:val="18"/>
                <w:szCs w:val="18"/>
                <w:color w:val="auto"/>
              </w:rPr>
              <w:t>Exchange Act of 1934.</w:t>
            </w:r>
          </w:p>
        </w:tc>
      </w:tr>
      <w:tr>
        <w:trPr>
          <w:trHeight w:val="729"/>
        </w:trPr>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ind w:left="4120"/>
              <w:spacing w:after="0"/>
              <w:rPr>
                <w:sz w:val="20"/>
                <w:szCs w:val="20"/>
                <w:color w:val="auto"/>
              </w:rPr>
            </w:pPr>
            <w:r>
              <w:rPr>
                <w:rFonts w:ascii="Arial" w:cs="Arial" w:eastAsia="Arial" w:hAnsi="Arial"/>
                <w:sz w:val="18"/>
                <w:szCs w:val="18"/>
                <w:color w:val="auto"/>
              </w:rPr>
              <w:t>38</w:t>
            </w:r>
          </w:p>
        </w:tc>
        <w:tc>
          <w:tcPr>
            <w:tcW w:w="9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05"/>
        </w:trPr>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61"/>
        </w:trPr>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w w:val="95"/>
              </w:rPr>
              <w:t>—  XBRL Taxonomy Extension Calculation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w w:val="97"/>
              </w:rPr>
              <w:t>—  XBRL Taxonomy Extension Definition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August 13, 2014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3200" w:space="560"/>
            <w:col w:w="1260" w:space="720"/>
            <w:col w:w="780" w:space="720"/>
            <w:col w:w="4180"/>
          </w:cols>
          <w:pgMar w:left="240" w:top="580" w:right="239" w:bottom="1440" w:gutter="0" w:footer="0" w:header="0"/>
          <w:type w:val="continuous"/>
        </w:sectPr>
      </w:pPr>
    </w:p>
    <w:p>
      <w:pPr>
        <w:jc w:val="center"/>
        <w:ind w:left="490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-130810</wp:posOffset>
            </wp:positionV>
            <wp:extent cx="4467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line="3" w:lineRule="exact"/>
        <w:rPr>
          <w:sz w:val="20"/>
          <w:szCs w:val="20"/>
          <w:color w:val="auto"/>
        </w:rPr>
      </w:pPr>
    </w:p>
    <w:p>
      <w:pPr>
        <w:jc w:val="center"/>
        <w:ind w:left="4900"/>
        <w:spacing w:after="0"/>
        <w:rPr>
          <w:sz w:val="20"/>
          <w:szCs w:val="20"/>
          <w:color w:val="auto"/>
        </w:rPr>
      </w:pPr>
      <w:r>
        <w:rPr>
          <w:rFonts w:ascii="Arial" w:cs="Arial" w:eastAsia="Arial" w:hAnsi="Arial"/>
          <w:sz w:val="16"/>
          <w:szCs w:val="16"/>
          <w:b w:val="1"/>
          <w:bCs w:val="1"/>
          <w:color w:val="auto"/>
        </w:rPr>
        <w:t>Senior Vice President, Chief Financial Officer and</w:t>
      </w:r>
    </w:p>
    <w:p>
      <w:pPr>
        <w:spacing w:after="0" w:line="32" w:lineRule="exact"/>
        <w:rPr>
          <w:sz w:val="20"/>
          <w:szCs w:val="20"/>
          <w:color w:val="auto"/>
        </w:rPr>
      </w:pPr>
    </w:p>
    <w:p>
      <w:pPr>
        <w:jc w:val="center"/>
        <w:ind w:left="4900"/>
        <w:spacing w:after="0"/>
        <w:rPr>
          <w:sz w:val="20"/>
          <w:szCs w:val="20"/>
          <w:color w:val="auto"/>
        </w:rPr>
      </w:pPr>
      <w:r>
        <w:rPr>
          <w:rFonts w:ascii="Arial" w:cs="Arial" w:eastAsia="Arial" w:hAnsi="Arial"/>
          <w:sz w:val="16"/>
          <w:szCs w:val="16"/>
          <w:b w:val="1"/>
          <w:bCs w:val="1"/>
          <w:color w:val="auto"/>
        </w:rPr>
        <w:t>Treasurer (Duly Authorized Officer and Principal</w:t>
      </w:r>
    </w:p>
    <w:p>
      <w:pPr>
        <w:spacing w:after="0" w:line="32"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60" w:type="dxa"/>
            <w:vAlign w:val="bottom"/>
            <w:gridSpan w:val="5"/>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3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40" w:type="dxa"/>
            <w:vAlign w:val="bottom"/>
          </w:tcPr>
          <w:p>
            <w:pPr>
              <w:spacing w:after="0"/>
              <w:rPr>
                <w:sz w:val="24"/>
                <w:szCs w:val="24"/>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5"/>
              </w:rPr>
              <w:t>Separation and Distribution Agreement by and between Oil States International, Inc. and Civeo Corporation, dated May 27,</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3"/>
              </w:rPr>
              <w:t>2014 (incorporated herein by reference to Exhibit 2.1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tcPr>
          <w:p>
            <w:pPr>
              <w:ind w:left="620"/>
              <w:spacing w:after="0"/>
              <w:rPr>
                <w:sz w:val="20"/>
                <w:szCs w:val="20"/>
                <w:color w:val="auto"/>
              </w:rPr>
            </w:pPr>
            <w:r>
              <w:rPr>
                <w:rFonts w:ascii="Arial" w:cs="Arial" w:eastAsia="Arial" w:hAnsi="Arial"/>
                <w:sz w:val="18"/>
                <w:szCs w:val="18"/>
                <w:color w:val="auto"/>
              </w:rPr>
              <w:t>2014).</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2"/>
              </w:rPr>
              <w:t>Amended and Restated Certificate of Incorporation of Civeo Corporation (incorporated herein by reference to Exhibit 3.1 to the</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Registration Statement on Form 10 (File No. 001-36246) filed on May 6, 2014).</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7"/>
              </w:rPr>
              <w:t>Amended and Restated Bylaws of Civeo Corporation (incorporated herein by reference to Exhibit 3.2 to the Registration</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Statement on Form 10 (File No. 001-36246) filed on May 6, 2014).</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4"/>
              </w:rPr>
              <w:t>Indemnification and Release Agreement by and between Oil States International, Inc. and Civeo Corporation, dated May 27,</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2"/>
              </w:rPr>
              <w:t>2014 (incorporated herein by reference to Exhibit 10.1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tcPr>
          <w:p>
            <w:pPr>
              <w:ind w:left="620"/>
              <w:spacing w:after="0"/>
              <w:rPr>
                <w:sz w:val="20"/>
                <w:szCs w:val="20"/>
                <w:color w:val="auto"/>
              </w:rPr>
            </w:pPr>
            <w:r>
              <w:rPr>
                <w:rFonts w:ascii="Arial" w:cs="Arial" w:eastAsia="Arial" w:hAnsi="Arial"/>
                <w:sz w:val="18"/>
                <w:szCs w:val="18"/>
                <w:color w:val="auto"/>
              </w:rPr>
              <w:t>2014).</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10.2</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1"/>
              </w:rPr>
              <w:t>Tax Sharing Agreement by and between Oil States International, Inc. and Civeo Corporation, dated May 27, 2014 (incorporated</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herein by reference to Exhibit 10.2 to the Current Report on Form 8-K (File No. 001-36246) filed on June 2, 2014).</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10.3</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8"/>
              </w:rPr>
              <w:t>Employee Matters Agreement by and between Oil States International, Inc. and Civeo Corporation, dated May 27, 2014</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6"/>
              </w:rPr>
              <w:t>(incorporated herein by reference to Exhibit 10.3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tcPr>
          <w:p>
            <w:pPr>
              <w:ind w:left="620"/>
              <w:spacing w:after="0"/>
              <w:rPr>
                <w:sz w:val="20"/>
                <w:szCs w:val="20"/>
                <w:color w:val="auto"/>
              </w:rPr>
            </w:pPr>
            <w:r>
              <w:rPr>
                <w:rFonts w:ascii="Arial" w:cs="Arial" w:eastAsia="Arial" w:hAnsi="Arial"/>
                <w:sz w:val="18"/>
                <w:szCs w:val="18"/>
                <w:color w:val="auto"/>
              </w:rPr>
              <w:t>2014).</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7"/>
              </w:rPr>
              <w:t>Transition Services Agreement by and between Oil States International, Inc. and Civeo Corporation, dated May 27, 2014</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6"/>
              </w:rPr>
              <w:t>(incorporated herein by reference to Exhibit 10.4 to the Current Report on Form 8-K (File No. 001-36246) filed on June 2,</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tcPr>
          <w:p>
            <w:pPr>
              <w:ind w:left="620"/>
              <w:spacing w:after="0"/>
              <w:rPr>
                <w:sz w:val="20"/>
                <w:szCs w:val="20"/>
                <w:color w:val="auto"/>
              </w:rPr>
            </w:pPr>
            <w:r>
              <w:rPr>
                <w:rFonts w:ascii="Arial" w:cs="Arial" w:eastAsia="Arial" w:hAnsi="Arial"/>
                <w:sz w:val="18"/>
                <w:szCs w:val="18"/>
                <w:color w:val="auto"/>
              </w:rPr>
              <w:t>2014).</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10.5</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1"/>
              </w:rPr>
              <w:t>Syndicated Facility Agreement, dated as of May 28, 2014, among Civeo Corporation, Civeo Canada Inc., Civeo Premium Camp</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Services Ltd. And Civeo Australia Pty Limited, as Borrowers, the Lenders named therein, Royal Bank of Canada, as</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3"/>
              </w:rPr>
              <w:t>Administrative Agent, U.S. Collateral Agent, Canadian Administrative Agent, Canadian Collateral Agent and an Issuing Bank,</w:t>
            </w:r>
          </w:p>
        </w:tc>
      </w:tr>
      <w:tr>
        <w:trPr>
          <w:trHeight w:val="216"/>
        </w:trPr>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4"/>
              </w:rPr>
              <w:t>and RBC Europe Limited, as Australian Administrative Agent, Australian Collateral Agent and an Issuing Bank (incorporated</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herein by reference to Exhibit 10.5 to the Current Report on Form 8-K (File No. 001-36246) filed on June 2, 2014).</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Form of Indemnification Agreement (as of July 25, 2014).</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8"/>
              </w:rPr>
              <w:t>Settlement Agreement and Release, dated as of June 26, 2014, by and between Civeo Corporation and Ronald Green.</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w w:val="96"/>
              </w:rPr>
              <w:t>10.8</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w w:val="98"/>
              </w:rPr>
              <w:t>2014 Equity Participation Plan of Civeo Corporation (incorporated herein by reference to Exhibit 4.4 to the Registration</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Statement on Form S-8 (File No. 333-196292) filed on May 27, 2014).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960" w:type="dxa"/>
            <w:vAlign w:val="bottom"/>
            <w:gridSpan w:val="5"/>
          </w:tcPr>
          <w:p>
            <w:pPr>
              <w:ind w:left="260"/>
              <w:spacing w:after="0"/>
              <w:rPr>
                <w:sz w:val="20"/>
                <w:szCs w:val="20"/>
                <w:color w:val="auto"/>
              </w:rPr>
            </w:pPr>
            <w:r>
              <w:rPr>
                <w:rFonts w:ascii="Arial" w:cs="Arial" w:eastAsia="Arial" w:hAnsi="Arial"/>
                <w:sz w:val="18"/>
                <w:szCs w:val="18"/>
                <w:color w:val="auto"/>
                <w:w w:val="96"/>
              </w:rPr>
              <w:t>—  Certification of Chief Executive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960" w:type="dxa"/>
            <w:vAlign w:val="bottom"/>
            <w:gridSpan w:val="5"/>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13a-14(a) or 15d-14(a)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960" w:type="dxa"/>
            <w:vAlign w:val="bottom"/>
            <w:gridSpan w:val="5"/>
          </w:tcPr>
          <w:p>
            <w:pPr>
              <w:ind w:left="260"/>
              <w:spacing w:after="0"/>
              <w:rPr>
                <w:sz w:val="20"/>
                <w:szCs w:val="20"/>
                <w:color w:val="auto"/>
              </w:rPr>
            </w:pPr>
            <w:r>
              <w:rPr>
                <w:rFonts w:ascii="Arial" w:cs="Arial" w:eastAsia="Arial" w:hAnsi="Arial"/>
                <w:sz w:val="18"/>
                <w:szCs w:val="18"/>
                <w:color w:val="auto"/>
                <w:w w:val="96"/>
              </w:rPr>
              <w:t>—  Certification of Chief Executive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Exchange Act of 1934.</w:t>
            </w: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960" w:type="dxa"/>
            <w:vAlign w:val="bottom"/>
            <w:gridSpan w:val="5"/>
          </w:tcPr>
          <w:p>
            <w:pPr>
              <w:ind w:left="260"/>
              <w:spacing w:after="0"/>
              <w:rPr>
                <w:sz w:val="20"/>
                <w:szCs w:val="20"/>
                <w:color w:val="auto"/>
              </w:rPr>
            </w:pPr>
            <w:r>
              <w:rPr>
                <w:rFonts w:ascii="Arial" w:cs="Arial" w:eastAsia="Arial" w:hAnsi="Arial"/>
                <w:sz w:val="18"/>
                <w:szCs w:val="18"/>
                <w:color w:val="auto"/>
                <w:w w:val="96"/>
              </w:rPr>
              <w:t>—  Certification of Chief Financial Officer of Civeo Corporation. pursuant to Rules 13a-14(b) or 15d-14(b) under the Securities</w:t>
            </w:r>
          </w:p>
        </w:tc>
      </w:tr>
      <w:tr>
        <w:trPr>
          <w:trHeight w:val="230"/>
        </w:trPr>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gridSpan w:val="5"/>
          </w:tcPr>
          <w:p>
            <w:pPr>
              <w:ind w:left="620"/>
              <w:spacing w:after="0"/>
              <w:rPr>
                <w:sz w:val="20"/>
                <w:szCs w:val="20"/>
                <w:color w:val="auto"/>
              </w:rPr>
            </w:pPr>
            <w:r>
              <w:rPr>
                <w:rFonts w:ascii="Arial" w:cs="Arial" w:eastAsia="Arial" w:hAnsi="Arial"/>
                <w:sz w:val="18"/>
                <w:szCs w:val="18"/>
                <w:color w:val="auto"/>
              </w:rPr>
              <w:t>Exchange Act of 1934.</w:t>
            </w:r>
          </w:p>
        </w:tc>
      </w:tr>
      <w:tr>
        <w:trPr>
          <w:trHeight w:val="729"/>
        </w:trPr>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2"/>
          </w:tcPr>
          <w:p>
            <w:pPr>
              <w:ind w:left="41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05"/>
        </w:trPr>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40" w:type="dxa"/>
            <w:vAlign w:val="bottom"/>
          </w:tcPr>
          <w:p>
            <w:pPr>
              <w:spacing w:after="0"/>
              <w:rPr>
                <w:sz w:val="9"/>
                <w:szCs w:val="9"/>
                <w:color w:val="auto"/>
              </w:rPr>
            </w:pPr>
          </w:p>
        </w:tc>
      </w:tr>
      <w:tr>
        <w:trPr>
          <w:trHeight w:val="61"/>
        </w:trPr>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67" w:right="19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w w:val="95"/>
              </w:rPr>
              <w:t>—  XBRL Taxonomy Extension Calculation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w w:val="97"/>
              </w:rPr>
              <w:t>—  XBRL Taxonomy Extension Definition Linkbase Document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219"/>
          </w:cols>
          <w:pgMar w:left="240" w:top="584" w:right="1440"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by and between Civeo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promises made in this Agreement, and for other good and valuable consideration, receipt of which is hereby acknowledged, the Company and Indemnitee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Third Party Proceedings</w:t>
      </w:r>
      <w:r>
        <w:rPr>
          <w:rFonts w:ascii="Arial" w:cs="Arial" w:eastAsia="Arial" w:hAnsi="Arial"/>
          <w:sz w:val="16"/>
          <w:szCs w:val="16"/>
          <w:color w:val="auto"/>
        </w:rPr>
        <w:t>. The Company shall indemnify Indemnitee if Indemnitee is or was a party or is threatened to be made a party to any threatened, pending or completed action, suit or proceeding, whether civil, criminal, administrative or investigative (other than an action by or in the right of the Company) by reason of the fact that Indemnitee is or was a director, officer, employee or agent of the Company, or any subsidiary of the Company, by reason of any action or inaction on the part of Indemnitee while an officer or director or by reason of the fact that Indemnitee is or was serving at the request of the Company as a director, officer, employee or agent of another corporation, partnership, joint venture, trust or other enterprise, against expenses (including attorneys’ fees), judgments, fines and amounts paid in settlement (if such settlement is approved in advance by the Company, which approval shall not be unreasonably withheld) actually and reasonably incurred by Indemnitee in connection with such action, suit or proceeding if Indemnitee acted in good faith and in a manner Indemnitee reasonably believed to be in or not opposed to the best interests of the Company, and, with respect to any criminal action or proceeding, had no reasonable cause to believe Indemnitee’s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Company, or, with respect to any criminal action or proceeding, that Indemnitee had reasonable cause to believe that Indemnitee’s conduct was unlawful.</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Proceedings by or in the Right of the Company</w:t>
      </w:r>
      <w:r>
        <w:rPr>
          <w:rFonts w:ascii="Arial" w:cs="Arial" w:eastAsia="Arial" w:hAnsi="Arial"/>
          <w:sz w:val="17"/>
          <w:szCs w:val="17"/>
          <w:color w:val="auto"/>
        </w:rPr>
        <w:t>. The Company shall indemnify Indemnitee if Indemnitee was or is a party or is threatened to be made a party to any threatened, pending or completed action or proceeding by or in the right of the Company or any subsidiary of the Company to procure a judgment in its favor by reason of the fact that Indemnitee is or was a director, officer, employee or agent of the Company, or any subsidiary of the Company, by reason of any action or inaction on the part of Indemnitee while an officer or director or by reason of the fact that Indemnitee is or was serving at the request of the Company as a director, officer, employee or agent of another corporation, partnership, joint venture, trust or other enterprise, against expenses (including attorneys’ fees) and, to the fullest extent permitted by law, amounts paid in settlement (if such settlement is approved in advance by the Company, which approval shall not be unreasonably withheld), in each case to the extent actually and reasonably incurred by Indemnitee in connection with the defense or settlement of such action or suit if Indemnitee acted in good faith and in a manner Indemnitee reasonably believed to be in or not opposed to the best interests of the Company and its stockholders, except that no indemnification shall be made in respect of any claim, issue or matter as to which Indemnitee shall have been finally adjudicated by court order or judgment to be liable to the Company in the performance of Indemnitee’s duty to the Company and its stockholders unless and only to the extent that the court in which such action or proceeding is or was pending shall determine upon application that, in view of all the circumstances of the case, Indemnitee is fairly and reasonably entitled to indemnity for such expenses which such court shall deem proper.</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Mandatory Payment of Expenses</w:t>
      </w:r>
      <w:r>
        <w:rPr>
          <w:rFonts w:ascii="Arial" w:cs="Arial" w:eastAsia="Arial" w:hAnsi="Arial"/>
          <w:sz w:val="18"/>
          <w:szCs w:val="18"/>
          <w:color w:val="auto"/>
        </w:rPr>
        <w:t xml:space="preserve">. To the extent that Indemnitee has been successful on the merits or otherwise in defense of any action, suit or proceeding referred to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the defense of any claim, issue or matter therein, Indemnitee shall be indemnified against expenses (including attorneys’ fees) actually and reasonably incurred by Indemnitee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EMPLOYMENT RIGHTS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contained in this Agreement is intended to create in Indemnitee any right to continued employment.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INDEMNIFICATION PROCEDURE</w:t>
      </w:r>
    </w:p>
    <w:p>
      <w:pPr>
        <w:spacing w:after="0" w:line="20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color w:val="auto"/>
        </w:rPr>
        <w:t xml:space="preserve">. The Company shall advance all expenses incurred by Indemnitee in connection with the investigation, defense, settlement or appeal of any civil or criminal action, suit or proceeding referred to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(including amounts actually paid in settlement of any such action, suit or proceeding). Indemnitee hereby undertakes to repay such amounts advanced only if, and to the extent that, it shall ultimately be determined that Indemnitee is not entitled to be indemnified by the Company as authorized hereby.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Notice Cooperation by Indemnitee</w:t>
      </w:r>
      <w:r>
        <w:rPr>
          <w:rFonts w:ascii="Arial" w:cs="Arial" w:eastAsia="Arial" w:hAnsi="Arial"/>
          <w:sz w:val="16"/>
          <w:szCs w:val="16"/>
          <w:color w:val="auto"/>
        </w:rPr>
        <w:t xml:space="preserve">. Indemnitee shall, as a condition precedent to his or her right to be indemnified under this Agreement, give the Company notice in writing as soon as practicable of any claim made against Indemnitee for which indemnification will or could be sought under this Agreement. Notice to the Company shall be directed to the Chief Executive Officer of the Company (unless the Indemnitee is then the Chief Executive Officer, in which event then to the Chief Financial Officer of the Company) and shall be given in accordance with the provisions of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below. In addition, Indemnitee shall give the Company such information and cooperation as it may reasonably require and as shall be within Indemnitee’s power.</w:t>
      </w:r>
    </w:p>
    <w:p>
      <w:pPr>
        <w:spacing w:after="0" w:line="1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Procedure</w:t>
      </w:r>
      <w:r>
        <w:rPr>
          <w:rFonts w:ascii="Arial" w:cs="Arial" w:eastAsia="Arial" w:hAnsi="Arial"/>
          <w:sz w:val="17"/>
          <w:szCs w:val="17"/>
          <w:color w:val="auto"/>
        </w:rPr>
        <w:t xml:space="preserve">. Any indemnification and advances provided for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made no later than twenty (20) days after receipt of the written request of Indemnitee. If a claim under this Agreement, under any statute, or under any provision of the Company’s Certificate of Incorporation or Bylaws providing for indemnification, is not paid in full by the Company within twenty (20) days after a written request for payment thereof has first been received by the Company, Indemnitee may, but need not, at any time thereafter bring an action against the Company to recover the unpaid amount of the claim and,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 Indemnitee shall also be entitled to be paid for the expenses (including attorneys’ fees) of bringing such action. It shall be a defense to any such action (other than an action brought to enforce a claim for expenses incurred in connection with any action, suit or proceeding in advance of its final disposition) that Indemnitee has not met the standards of conduct which make it permissible under applicable law for the Company to indemnify Indemnitee for the amount claimed, but the burden of proving such defense shall be on the Company and Indemnitee shall be entitled to receive interim payments of expenses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unless and until such defense may be finally adjudicated by court order or judgment from which no further right of appeal exists.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 In addition, to the fullest extent permitted by law and prior to a final adjudication by court order or judgment from which no further right of appeal exists as to Indemnitee’s right to indemnification, Indemnitee shall have the right to receive advancement, on the same terms and subject to the same obligation to repay as the advancement of expenses pursuant to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any amounts that Indemnitee pays for which Indemnitee would be entitled to indemnification under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hereof if Indemnitee has met the applicable standard of conduct (including, without limitation, the costs of providing any bond in connection with the appeal of any proceeding); provided, however, that Indemnitee shall only be entitled to such advancement if Indemnitee delivers an opinion of independent legal counsel, selected by Indemnitee and reasonably acceptable to the Company, that such counsel has determined, after using customary procedures for such opinion, that it is probable (i.e., more than a 50% probability) that Indemnitee has met the applicable standard of conduct necessary in order to receive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ind w:firstLine="648"/>
        <w:spacing w:after="0" w:line="28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 to Insurers</w:t>
      </w:r>
      <w:r>
        <w:rPr>
          <w:rFonts w:ascii="Arial" w:cs="Arial" w:eastAsia="Arial" w:hAnsi="Arial"/>
          <w:sz w:val="17"/>
          <w:szCs w:val="17"/>
          <w:color w:val="auto"/>
        </w:rPr>
        <w:t xml:space="preserve">. If, at the time of the receipt of a notice of a claim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Selection of Counsel</w:t>
      </w:r>
      <w:r>
        <w:rPr>
          <w:rFonts w:ascii="Arial" w:cs="Arial" w:eastAsia="Arial" w:hAnsi="Arial"/>
          <w:sz w:val="16"/>
          <w:szCs w:val="16"/>
          <w:color w:val="auto"/>
        </w:rPr>
        <w:t xml:space="preserve">. In the event the Company shall be obligated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to pay the expenses of any proceeding against Indemnitee, the Company, if appropriate, shall be entitled to assume the defense of such proceeding, with counsel approved by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(a) Indemnitee shall have the right to employ counsel in any such proceeding at Indemnitee’s expense; and (b) if</w:t>
      </w:r>
    </w:p>
    <w:p>
      <w:pPr>
        <w:spacing w:after="0" w:line="2" w:lineRule="exact"/>
        <w:rPr>
          <w:sz w:val="20"/>
          <w:szCs w:val="20"/>
          <w:color w:val="auto"/>
        </w:rPr>
      </w:pPr>
    </w:p>
    <w:p>
      <w:pPr>
        <w:jc w:val="both"/>
        <w:ind w:firstLine="8"/>
        <w:spacing w:after="0" w:line="302"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employment of counsel by Indemnitee has been previously authorized by the Company, (ii) Indemnitee shall have reasonably concluded that there may be a conflict of interest between the Company and Indemnitee in the conduct of any such defense or (iii) the Company shall not, in fact, have employed counsel to assume the defense of such proceeding, then the fees and expenses of Indemnitee’s counsel shall be at the expense of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INDEMNIFICATION RIGHTS; NONEXCLUSIVITY</w:t>
      </w:r>
    </w:p>
    <w:p>
      <w:pPr>
        <w:spacing w:after="0" w:line="20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Scope</w:t>
      </w:r>
      <w:r>
        <w:rPr>
          <w:rFonts w:ascii="Arial" w:cs="Arial" w:eastAsia="Arial" w:hAnsi="Arial"/>
          <w:sz w:val="16"/>
          <w:szCs w:val="16"/>
          <w:color w:val="auto"/>
        </w:rPr>
        <w:t>. Notwithstanding any other provision of this Agreement, the Company hereby agrees to indemnify the Indemnitee to 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Nonexclusivity</w:t>
      </w:r>
      <w:r>
        <w:rPr>
          <w:rFonts w:ascii="Arial" w:cs="Arial" w:eastAsia="Arial" w:hAnsi="Arial"/>
          <w:sz w:val="18"/>
          <w:szCs w:val="18"/>
          <w:color w:val="auto"/>
        </w:rPr>
        <w:t>. The indemnification provided by this Agreement shall not be deemed exclusive of any rights to which Indemnitee may be entitled under the Company’s Certificate of Incorporation, its Bylaws, any agreement, any vote of stockholders or disinterested members of the Company’s Board of Directors, the General Corporation Law of the State of Delaware, or otherwise, both as to action in Indemnitee’s official capacity and as to action in another capacity while holding such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indemnification, advancement of expenses and other obligations of the Company provided under this Agreement shall continue as to Indemnitee for any action taken or not taken while serving in an indemnified capacity (even though he or she may have ceased to serve in any such capacity at the time of any action, suit or other covered proceeding) until the date that the Indemnitee is no longer subject to any actual or possible action, suit or other proceeding with respect to which Indemnitee may be entitled to indemnification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PARTIAL INDEMNIFICATION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Indemnitee is entitled under any provision of this Agreement to indemnification by the Company for some or a portion of the expenses, judgments, fines or penalties actually or reasonably incurred in the investigation, defense, appeal or settlement of any civil or criminal action, suit or proceeding, but not, however, for the total amount thereof, the Company shall nevertheless indemnify Indemnitee for the portion of such expenses, judgments, fines or penalties to which Indemnitee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MUTUAL ACKNOWLEDGMENT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Both the Company and Indemnitee acknowledge that in certain instances, Federal law or public policy may override applicable state law and prohibit the Company from indemnifying its directors and officers under this Agreement or otherwise. For example, the Company and Indemnitee acknowledge that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AND DIRECTOR LIABILITY INSURANCE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duration of Indemnitee’s service as a director and/or officer of the Company, and thereafter for so long as Indemnitee shall be subject to any pending or possible action, suit or other proceeding with respect to which Indemnitee may be entitled to indemnification hereunder, the Company shall use its commercially reasonable efforts to obtain and maintain a policy or policies of insurance with reputable insurance companies providing Indemnitee with coverage on terms with respect to coverage and amount (including with respect to the payment of expenses) no less favorable in any material respect than those of the directors and officers liability insurance for the directors of the Company in effect on the date hereof; provided that the Company shall not be required to pay an annual premium for such insurance in excess of 200% of the annual premium for such insurance which is in effect on June 30, 2014, but in such case shall purchase as much coverage as reasonably practicable for such amount.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5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EXCEPTIONS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other provision herein to the contrary notwithstanding, the Company shall not be obligated pursuant to the terms of this Agreement:</w:t>
      </w:r>
    </w:p>
    <w:p>
      <w:pPr>
        <w:spacing w:after="0" w:line="2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u w:val="single" w:color="auto"/>
          <w:color w:val="auto"/>
        </w:rPr>
        <w:t>Claims Initiated by Indemnitee</w:t>
      </w:r>
      <w:r>
        <w:rPr>
          <w:rFonts w:ascii="Arial" w:cs="Arial" w:eastAsia="Arial" w:hAnsi="Arial"/>
          <w:sz w:val="16"/>
          <w:szCs w:val="16"/>
          <w:color w:val="auto"/>
        </w:rPr>
        <w:t>. To indemnify or advance expenses to Indemnitee with respect to proceedings or claims initiated or brought voluntarily by Indemnitee and not by way of defense, except with respect to proceedings brought to establish or enforce a right to indemnification under this Agreement or any other statute or law or otherwise as required under Section 145 of the Delaware General Corporation Law, but such indemnification or advancement of expenses may be provided by the Company in specific cases if the Board of Directors finds it to be appropriate;</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Lack of Good Faith</w:t>
      </w:r>
      <w:r>
        <w:rPr>
          <w:rFonts w:ascii="Arial" w:cs="Arial" w:eastAsia="Arial" w:hAnsi="Arial"/>
          <w:sz w:val="18"/>
          <w:szCs w:val="18"/>
          <w:color w:val="auto"/>
        </w:rPr>
        <w:t>. To indemnify Indemnitee for any expenses incurred by Indemnitee with respect to any proceeding instituted by Indemnitee to enforce or interpret this Agreement, if a court of competent jurisdiction determines that each of the material assertions made by Indemnitee in such proceeding was not made in good faith or was frivolous;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both"/>
        <w:ind w:firstLine="648"/>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Insured Claims</w:t>
      </w:r>
      <w:r>
        <w:rPr>
          <w:rFonts w:ascii="Arial" w:cs="Arial" w:eastAsia="Arial" w:hAnsi="Arial"/>
          <w:sz w:val="18"/>
          <w:szCs w:val="18"/>
          <w:color w:val="auto"/>
        </w:rPr>
        <w:t>. To indemnify Indemnitee for expenses or liabilities of any type whatsoever (including, but not limited to, judgments, fines, ERISA excise taxes or penalties, and amounts paid in settlement) to the extent such expenses or liabilities have been paid directly to Indemnitee by an insurance carrier under a policy of officers’ and directors’ liability insurance maintained by the Company; or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Claims Under Section 16(B)</w:t>
      </w:r>
      <w:r>
        <w:rPr>
          <w:rFonts w:ascii="Arial" w:cs="Arial" w:eastAsia="Arial" w:hAnsi="Arial"/>
          <w:sz w:val="18"/>
          <w:szCs w:val="18"/>
          <w:color w:val="auto"/>
        </w:rPr>
        <w:t>. To indemnify Indemnitee for expenses or the payment of profits arising from the purchase and sale by Indemnitee of securities in violation of Section 16(b) of the Securities Exchange Act of 1934, as amended, or any similar successor statute.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OF CERTAIN PHRASES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10.1 For purposes of this Agreement, references 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10.2 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ATTORNEYS’ FEES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that any action is instituted by Indemnitee under this Agreement to enforce or interpret any of the terms hereof, Indemnitee shall be entitled to be paid all court costs and expenses, including reasonable attorneys’ fees, incurred by Indemnitee with respect to such action, unless as a part of such action, the court of competent jurisdiction determines that each of the material assertions made by Indemnitee as a basis for such action were not made in good faith or were frivolous. In the event of an action instituted by or in the name of the Company under this Agreement or to enforce or interpret any of the terms of this Agreement, Indemnitee shall be entitled to be paid all court costs and expenses, including attorneys’ fees, incurred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all acts and transactions pursuant hereto and the rights and obligations of the parties hereto shall be governed, construed and interpreted in accordance with the laws of the State of Delaware, without giving effect to principles of conflict of law.</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color w:val="auto"/>
        </w:rPr>
        <w:t>. This Agreement sets forth the entire agreement and understanding of the parties relating 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both"/>
        <w:ind w:firstLine="648"/>
        <w:spacing w:after="0" w:line="26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demand or request required or permitted to be given under this Agreement shall be in writing and shall be deemed sufficient when delivered personally or sent by telegram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the Company and its successors and assigns, and inure to the benefit of Indemnitee and Indemnitee’s heirs, legal representatives and assigns.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to effectively bring suit to enforce such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The parties hereto have executed this Agreement as of the day and year set forth on the first page of this Agreement.</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55" w:lineRule="exact"/>
        <w:rPr>
          <w:sz w:val="20"/>
          <w:szCs w:val="20"/>
          <w:color w:val="auto"/>
        </w:rPr>
      </w:pPr>
    </w:p>
    <w:tbl>
      <w:tblPr>
        <w:tblLayout w:type="fixed"/>
        <w:tblInd w:w="5380" w:type="dxa"/>
        <w:tblCellMar>
          <w:top w:w="0" w:type="dxa"/>
          <w:left w:w="0" w:type="dxa"/>
          <w:bottom w:w="0" w:type="dxa"/>
          <w:right w:w="0" w:type="dxa"/>
        </w:tblCellMar>
      </w:tblP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Bradley J. Dodson</w:t>
            </w: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r>
        <w:trPr>
          <w:trHeight w:val="411"/>
        </w:trPr>
        <w:tc>
          <w:tcPr>
            <w:tcW w:w="1080" w:type="dxa"/>
            <w:vAlign w:val="bottom"/>
          </w:tcPr>
          <w:p>
            <w:pPr>
              <w:spacing w:after="0"/>
              <w:rPr>
                <w:sz w:val="20"/>
                <w:szCs w:val="20"/>
                <w:color w:val="auto"/>
              </w:rPr>
            </w:pPr>
            <w:r>
              <w:rPr>
                <w:rFonts w:ascii="Arial" w:cs="Arial" w:eastAsia="Arial" w:hAnsi="Arial"/>
                <w:sz w:val="18"/>
                <w:szCs w:val="18"/>
                <w:color w:val="auto"/>
              </w:rPr>
              <w:t>Address:</w:t>
            </w:r>
          </w:p>
        </w:tc>
        <w:tc>
          <w:tcPr>
            <w:tcW w:w="4960" w:type="dxa"/>
            <w:vAlign w:val="bottom"/>
          </w:tcPr>
          <w:p>
            <w:pPr>
              <w:spacing w:after="0"/>
              <w:rPr>
                <w:sz w:val="20"/>
                <w:szCs w:val="20"/>
                <w:color w:val="auto"/>
              </w:rPr>
            </w:pPr>
            <w:r>
              <w:rPr>
                <w:rFonts w:ascii="Arial" w:cs="Arial" w:eastAsia="Arial" w:hAnsi="Arial"/>
                <w:sz w:val="18"/>
                <w:szCs w:val="18"/>
                <w:color w:val="auto"/>
              </w:rPr>
              <w:t>Three Allen Center</w:t>
            </w:r>
          </w:p>
        </w:tc>
      </w:tr>
      <w:tr>
        <w:trPr>
          <w:trHeight w:val="216"/>
        </w:trPr>
        <w:tc>
          <w:tcPr>
            <w:tcW w:w="10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333 Clay Street, Suite 4980</w:t>
            </w:r>
          </w:p>
        </w:tc>
      </w:tr>
      <w:tr>
        <w:trPr>
          <w:trHeight w:val="230"/>
        </w:trPr>
        <w:tc>
          <w:tcPr>
            <w:tcW w:w="10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Houston, Texas 77002</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0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(Signature)</w:t>
            </w:r>
          </w:p>
        </w:tc>
      </w:tr>
      <w:tr>
        <w:trPr>
          <w:trHeight w:val="890"/>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tcPr>
          <w:p>
            <w:pPr>
              <w:ind w:left="260"/>
              <w:spacing w:after="0"/>
              <w:rPr>
                <w:sz w:val="20"/>
                <w:szCs w:val="20"/>
                <w:color w:val="auto"/>
              </w:rPr>
            </w:pPr>
            <w:r>
              <w:rPr>
                <w:rFonts w:ascii="Arial" w:cs="Arial" w:eastAsia="Arial" w:hAnsi="Arial"/>
                <w:sz w:val="18"/>
                <w:szCs w:val="18"/>
                <w:color w:val="auto"/>
              </w:rPr>
              <w:t>Three Allen Center</w:t>
            </w:r>
          </w:p>
        </w:tc>
      </w:tr>
      <w:tr>
        <w:trPr>
          <w:trHeight w:val="216"/>
        </w:trPr>
        <w:tc>
          <w:tcPr>
            <w:tcW w:w="900" w:type="dxa"/>
            <w:vAlign w:val="bottom"/>
          </w:tcPr>
          <w:p>
            <w:pPr>
              <w:spacing w:after="0"/>
              <w:rPr>
                <w:sz w:val="18"/>
                <w:szCs w:val="18"/>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333 Clay Street, Suite 4980</w:t>
            </w:r>
          </w:p>
        </w:tc>
      </w:tr>
      <w:tr>
        <w:trPr>
          <w:trHeight w:val="230"/>
        </w:trPr>
        <w:tc>
          <w:tcPr>
            <w:tcW w:w="900" w:type="dxa"/>
            <w:vAlign w:val="bottom"/>
          </w:tcPr>
          <w:p>
            <w:pPr>
              <w:spacing w:after="0"/>
              <w:rPr>
                <w:sz w:val="20"/>
                <w:szCs w:val="20"/>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Houston, Texas 77002</w:t>
            </w:r>
          </w:p>
        </w:tc>
      </w:tr>
    </w:tbl>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AGREEMENT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made as of the 26th day of June,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(collectively known as “Employer”)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Ronald Green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have agreed to end Employee’s employment with the Employer on June 18th, 2014;</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AND WHEREAS the parties wish to document the terms of a settlement agreement reached by them in respect of all possible claims the Employee has arising out of the cessation of his employment;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outlined below,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Settlement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The Employer will provide the following to the Employee: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hanging="328"/>
        <w:spacing w:after="0" w:line="258"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lump sum payment equivalent to 24 month’s base salary, calculated based on your current base salary of C$475,000 per annum, equaling a gross amount of C$950,000, less necessary statutory deductions.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Payment of your target AICP for 2014 and 2015. This payment will be calculated as 80% of your current base salary of C$ 475,000 for both 2014 and 2015, equaling a gross amount of C$ 760,000, less necessary statutory deductions.</w:t>
      </w:r>
    </w:p>
    <w:p>
      <w:pPr>
        <w:jc w:val="both"/>
        <w:ind w:left="660" w:hanging="328"/>
        <w:spacing w:after="0" w:line="277"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Vesting and redemption of all outstanding and converted Phantom Stock Units (PSUs) with the payout amount calculated based on the market closing price of Civeo Corporation common stock on the date of acceptance of these terms but no later than June 30, 2014. Conversion of this amount to Canadian funds will be made at such dates closing Canadian/US dollar exchange rate as published by the Bank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center"/>
        <w:ind w:right="60"/>
        <w:spacing w:after="0"/>
        <w:rPr>
          <w:sz w:val="20"/>
          <w:szCs w:val="20"/>
          <w:color w:val="auto"/>
        </w:rPr>
      </w:pPr>
      <w:r>
        <w:rPr>
          <w:rFonts w:ascii="Arial" w:cs="Arial" w:eastAsia="Arial" w:hAnsi="Arial"/>
          <w:sz w:val="22"/>
          <w:szCs w:val="22"/>
          <w:color w:val="auto"/>
        </w:rPr>
        <w:t>- 2 -</w:t>
      </w:r>
    </w:p>
    <w:p>
      <w:pPr>
        <w:spacing w:after="0" w:line="21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Eligibility to exercise all vested and outstanding stock options for a period of up to three (3) months following June 18, 2014.</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Vesting will be accelerated to 100% on outstanding/unreleased Restricted Stock Awards which will then be transferred to your E*Trade Equity Account.</w:t>
      </w:r>
    </w:p>
    <w:p>
      <w:pPr>
        <w:spacing w:after="0" w:line="3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Continuation of medical benefits as per Civeo Canada’s benefit plan in place as of June 18, 2014 for a period of 24 months from June 18, 2014 (up to and including June 18, 2016).</w:t>
      </w:r>
    </w:p>
    <w:p>
      <w:pPr>
        <w:spacing w:after="0" w:line="363" w:lineRule="exact"/>
        <w:rPr>
          <w:sz w:val="20"/>
          <w:szCs w:val="20"/>
          <w:color w:val="auto"/>
        </w:rPr>
      </w:pPr>
    </w:p>
    <w:p>
      <w:pPr>
        <w:ind w:left="340" w:hanging="332"/>
        <w:spacing w:after="0" w:line="21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resigns his employment effective June 18</w:t>
      </w:r>
      <w:r>
        <w:rPr>
          <w:rFonts w:ascii="Arial" w:cs="Arial" w:eastAsia="Arial" w:hAnsi="Arial"/>
          <w:sz w:val="30"/>
          <w:szCs w:val="30"/>
          <w:color w:val="auto"/>
          <w:vertAlign w:val="superscript"/>
        </w:rPr>
        <w:t>th</w:t>
      </w:r>
      <w:r>
        <w:rPr>
          <w:rFonts w:ascii="Arial" w:cs="Arial" w:eastAsia="Arial" w:hAnsi="Arial"/>
          <w:sz w:val="18"/>
          <w:szCs w:val="18"/>
          <w:color w:val="auto"/>
        </w:rPr>
        <w:t>, 2014, and all employment remuneration, benefits, entitlement and perquisites cease as of June 18</w:t>
      </w:r>
      <w:r>
        <w:rPr>
          <w:rFonts w:ascii="Arial" w:cs="Arial" w:eastAsia="Arial" w:hAnsi="Arial"/>
          <w:sz w:val="30"/>
          <w:szCs w:val="30"/>
          <w:color w:val="auto"/>
          <w:vertAlign w:val="superscript"/>
        </w:rPr>
        <w:t>th</w:t>
      </w:r>
      <w:r>
        <w:rPr>
          <w:rFonts w:ascii="Arial" w:cs="Arial" w:eastAsia="Arial" w:hAnsi="Arial"/>
          <w:sz w:val="18"/>
          <w:szCs w:val="18"/>
          <w:color w:val="auto"/>
        </w:rPr>
        <w:t>, 2014 except as provided for in 1(e)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Release</w:t>
      </w:r>
    </w:p>
    <w:p>
      <w:pPr>
        <w:spacing w:after="0" w:line="225" w:lineRule="exact"/>
        <w:rPr>
          <w:sz w:val="20"/>
          <w:szCs w:val="20"/>
          <w:color w:val="auto"/>
        </w:rPr>
      </w:pPr>
    </w:p>
    <w:p>
      <w:pPr>
        <w:jc w:val="both"/>
        <w:ind w:left="660" w:hanging="652"/>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hereby remises, releases and forever discharges Employer, its successors, affiliates, subsidiaries, related entities, personal representatives, directors, officers, employees, agents and assigns (together referred to as the “Released Parties”) from any and all cause or causes of action, suits, debts, sums of money, dues, expenses, general damages, special damages, costs, expenses, claims and demands of any and every kind and nature whatsoever, at law or in equity, or under any legislation, which against the Released Parties, he ever had, now has or which his heirs, executors, administrators, successors or assigns hereafter can, shall or may have, for or by reason of any matter, cause or thing whatsoever existing up to the present time, and in particular, but without in any way restricting the generality of the foregoing, all matters relating to, arising from or connected with:</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Employee’s employment with Employer;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cessation of that employment;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loss of any pension, medical, insurance or welfare plans or benefits sponsored or contributed to by Employer;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bonus (AICP) amounts claimed to be earned at the date of termination or at any time after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center"/>
        <w:ind w:right="60"/>
        <w:spacing w:after="0"/>
        <w:rPr>
          <w:sz w:val="20"/>
          <w:szCs w:val="20"/>
          <w:color w:val="auto"/>
        </w:rPr>
      </w:pPr>
      <w:r>
        <w:rPr>
          <w:rFonts w:ascii="Arial" w:cs="Arial" w:eastAsia="Arial" w:hAnsi="Arial"/>
          <w:sz w:val="22"/>
          <w:szCs w:val="22"/>
          <w:color w:val="auto"/>
        </w:rPr>
        <w:t>- 3 -</w:t>
      </w:r>
    </w:p>
    <w:p>
      <w:pPr>
        <w:spacing w:after="0" w:line="214" w:lineRule="exact"/>
        <w:rPr>
          <w:sz w:val="20"/>
          <w:szCs w:val="20"/>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claims to receive deferred employment compensation, including without limitation, PSUs, RSAs or stock options;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Any claims against Employer under the </w:t>
      </w:r>
      <w:r>
        <w:rPr>
          <w:rFonts w:ascii="Arial" w:cs="Arial" w:eastAsia="Arial" w:hAnsi="Arial"/>
          <w:sz w:val="17"/>
          <w:szCs w:val="17"/>
          <w:i w:val="1"/>
          <w:iCs w:val="1"/>
          <w:color w:val="auto"/>
        </w:rPr>
        <w:t>Employment Standards Code</w:t>
      </w:r>
      <w:r>
        <w:rPr>
          <w:rFonts w:ascii="Arial" w:cs="Arial" w:eastAsia="Arial" w:hAnsi="Arial"/>
          <w:sz w:val="17"/>
          <w:szCs w:val="17"/>
          <w:color w:val="auto"/>
        </w:rPr>
        <w:t xml:space="preserve"> (Alberta) or any other employment standards legislation;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Any claims against Employer under the </w:t>
      </w:r>
      <w:r>
        <w:rPr>
          <w:rFonts w:ascii="Arial" w:cs="Arial" w:eastAsia="Arial" w:hAnsi="Arial"/>
          <w:sz w:val="18"/>
          <w:szCs w:val="18"/>
          <w:i w:val="1"/>
          <w:iCs w:val="1"/>
          <w:color w:val="auto"/>
        </w:rPr>
        <w:t>Human Rights Act</w:t>
      </w:r>
      <w:r>
        <w:rPr>
          <w:rFonts w:ascii="Arial" w:cs="Arial" w:eastAsia="Arial" w:hAnsi="Arial"/>
          <w:sz w:val="18"/>
          <w:szCs w:val="18"/>
          <w:color w:val="auto"/>
        </w:rPr>
        <w:t xml:space="preserve"> (Alberta) or any other human rights legislation.</w:t>
      </w:r>
    </w:p>
    <w:p>
      <w:pPr>
        <w:spacing w:after="0" w:line="225"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Employee understands and agrees that the payments referred to above fully compensate him for all amounts owed to him by the Employer or other Released Parties including, but not limited to, all salary, bonuses, AICP payments, vacation pay, holiday pay, severance pay, termination pay, pay in lieu of notice, expenses, damages, allowances, and employment benefits or other entitlements, whether by statute, contract, or at common law. Employee expressly releases his claim to all payments and employment benefits of any description, including, without limitation, short-term disability benefits, long-term disability benefits, WCB benefits, and life insurance benefits, except those benefits continued pursuant to this Agreement. Employee further releases any claims against insurers or other parties who might seek contribution from the Employer, and these parties are considered a Released Party under this Agreement.</w:t>
      </w:r>
    </w:p>
    <w:p>
      <w:pPr>
        <w:spacing w:after="0" w:line="177"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Employee nor anyone on his behalf will bring any action, suit, or complaint against the Employer or any of the Released Parties in respect to any of the matters described in paragraphs 3 or 4, above, aside for any claim arising from the Employer’s non-performance of its obligations under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left="660" w:hanging="652"/>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required by law, the Employee undertakes and agrees to keep the terms of this Settlement Agreement and Release in absolute and strict confidence at all times, without time limitation, and not to disclose its contents to any persons, except professional financial/legal advisors and immediate family. For added certainty, and without limiting the generality of the foregoing, the Employee undertakes and agrees that he will not publicize, discuss, disclose or communicate with any person, entity or organization in any form whatsoever, the terms of all or any part of this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center"/>
        <w:ind w:right="60"/>
        <w:spacing w:after="0"/>
        <w:rPr>
          <w:sz w:val="20"/>
          <w:szCs w:val="20"/>
          <w:color w:val="auto"/>
        </w:rPr>
      </w:pPr>
      <w:r>
        <w:rPr>
          <w:rFonts w:ascii="Arial" w:cs="Arial" w:eastAsia="Arial" w:hAnsi="Arial"/>
          <w:sz w:val="22"/>
          <w:szCs w:val="22"/>
          <w:color w:val="auto"/>
        </w:rPr>
        <w:t>- 4 -</w:t>
      </w:r>
    </w:p>
    <w:p>
      <w:pPr>
        <w:spacing w:after="0" w:line="214" w:lineRule="exact"/>
        <w:rPr>
          <w:sz w:val="20"/>
          <w:szCs w:val="20"/>
          <w:color w:val="auto"/>
        </w:rPr>
      </w:pPr>
    </w:p>
    <w:p>
      <w:pPr>
        <w:jc w:val="both"/>
        <w:ind w:left="660" w:hanging="652"/>
        <w:spacing w:after="0" w:line="28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Employee recognizes and acknowledges that during his employment with the Employer he had access to certain information which relates to the Employer's past, present or future business plans, products, research, development, inventions, processes, techniques, clients, customers, plan designs or other technical information and data ( the "Proprietary Information"). The Employee agrees to preserve and protect the confidentiality of the Proprietary Information and all physical forms thereof and further agrees not to disclose or disseminate the Proprietary Information to any third party and shall not use the Proprietary Information for his own benefit or for the benefit of any third party. The Employee acknowledges and agrees that he has taken and will in the future take appropriate precautions to safeguard the Proprietary Information of the Employer. The Employee also recognizes and acknowledges that during his employment with the Employer he had access to certain non-public confidential information belonging to the Employer relating to its business, commercial and financial operations, employee lists and records, software and manuals, or any other information, whether in writing or not, which is not generally known to the public and which could, if used, communicated, or divulged, cause damage, embarrassment, loss of reputation, or other harm to the Employer, or any of the Released Parties (the "Confidential Information"). The Employee agrees to preserve and protect the confidentiality of the Confidential Information and all physical forms thereof and further agrees not to disclose or disseminate the Confidential Information to any third party and shall not use the Confidential Information for his own benefit or for the benefit of any third party. The Employee acknowledges and agrees that he has taken and will in the future take appropriate precautions to safeguard the Confidential Information of the Employer. The Employee agrees to hold in strictest confidence and not use, disclose or divulge in any way to any person or entity the Confidential Information or the Proprietary Information without first obtaining the Company’s written consent or unless required by law. The covenants contained in this paragraph do not replace, reduce, limit, or eliminate the Employee’s common law duties relating to the disclosure or use of the Employer’s confidential or proprietary information.</w:t>
      </w:r>
    </w:p>
    <w:p>
      <w:pPr>
        <w:spacing w:after="0" w:line="17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 acknowledges that should he have any questions as to whether particular information is Proprietary Information or Confidential Information, he should seek out the advice of the President or Chief Executive Officer of the Employer.</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 represents and acknowledges that he has no claim or right, title, or interest in the property or assets of any of the Released Parties. Employee represents that he has returned or, within 24 hours of the cessation of his employment, will return any such property in his possession or control, including, without limitation, any computers, documents, electronic information, credit cards, telephone cards, office keys, and security badges relating to his employment, and further represents that he has not distributed or retained any copies of such property except in the course of fulfilling his employment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center"/>
        <w:ind w:right="60"/>
        <w:spacing w:after="0"/>
        <w:rPr>
          <w:sz w:val="20"/>
          <w:szCs w:val="20"/>
          <w:color w:val="auto"/>
        </w:rPr>
      </w:pPr>
      <w:r>
        <w:rPr>
          <w:rFonts w:ascii="Arial" w:cs="Arial" w:eastAsia="Arial" w:hAnsi="Arial"/>
          <w:sz w:val="22"/>
          <w:szCs w:val="22"/>
          <w:color w:val="auto"/>
        </w:rPr>
        <w:t>- 5 -</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Disparaging Comments</w:t>
      </w:r>
    </w:p>
    <w:p>
      <w:pPr>
        <w:spacing w:after="0" w:line="225" w:lineRule="exact"/>
        <w:rPr>
          <w:sz w:val="20"/>
          <w:szCs w:val="20"/>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Employee agrees not to make any disparaging remarks, whether written or oral, or otherwise take any action that could reasonably be anticipated to cause damage to the reputation, goodwill or business of any of the Released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Non-Competition and Non-Solicitation</w:t>
      </w:r>
    </w:p>
    <w:p>
      <w:pPr>
        <w:spacing w:after="0" w:line="225" w:lineRule="exact"/>
        <w:rPr>
          <w:sz w:val="20"/>
          <w:szCs w:val="20"/>
          <w:color w:val="auto"/>
        </w:rPr>
      </w:pPr>
    </w:p>
    <w:p>
      <w:pPr>
        <w:ind w:left="660" w:right="2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agrees that, for a period of 24 months following the cessation of his employment, he shall not, directly or indirectly and whether on his own behalf or for others, within Canada or the United States of America:</w:t>
      </w:r>
    </w:p>
    <w:p>
      <w:pPr>
        <w:spacing w:after="0" w:line="170" w:lineRule="exact"/>
        <w:rPr>
          <w:rFonts w:ascii="Arial" w:cs="Arial" w:eastAsia="Arial" w:hAnsi="Arial"/>
          <w:sz w:val="18"/>
          <w:szCs w:val="18"/>
          <w:color w:val="auto"/>
        </w:rPr>
      </w:pPr>
    </w:p>
    <w:p>
      <w:pPr>
        <w:ind w:left="660" w:hanging="4"/>
        <w:spacing w:after="0" w:line="277" w:lineRule="auto"/>
        <w:tabs>
          <w:tab w:leader="none" w:pos="885" w:val="left"/>
        </w:tabs>
        <w:numPr>
          <w:ilvl w:val="1"/>
          <w:numId w:val="36"/>
        </w:numPr>
        <w:rPr>
          <w:rFonts w:ascii="Arial" w:cs="Arial" w:eastAsia="Arial" w:hAnsi="Arial"/>
          <w:sz w:val="18"/>
          <w:szCs w:val="18"/>
          <w:color w:val="auto"/>
        </w:rPr>
      </w:pPr>
      <w:r>
        <w:rPr>
          <w:rFonts w:ascii="Arial" w:cs="Arial" w:eastAsia="Arial" w:hAnsi="Arial"/>
          <w:sz w:val="18"/>
          <w:szCs w:val="18"/>
          <w:color w:val="auto"/>
        </w:rPr>
        <w:t>be engaged, whether as an employee, officer, director, owner, partner, consultant, investor or other capacity, in any business activities which are competitive with the business conducted by the Employer; or,</w:t>
      </w:r>
    </w:p>
    <w:p>
      <w:pPr>
        <w:spacing w:after="0" w:line="170" w:lineRule="exact"/>
        <w:rPr>
          <w:rFonts w:ascii="Arial" w:cs="Arial" w:eastAsia="Arial" w:hAnsi="Arial"/>
          <w:sz w:val="18"/>
          <w:szCs w:val="18"/>
          <w:color w:val="auto"/>
        </w:rPr>
      </w:pPr>
    </w:p>
    <w:p>
      <w:pPr>
        <w:ind w:left="660" w:hanging="4"/>
        <w:spacing w:after="0" w:line="277" w:lineRule="auto"/>
        <w:tabs>
          <w:tab w:leader="none" w:pos="9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render any advice or services to, or otherwise assist, any other person, association, or company or other entity which is engaged, directly or indirectly, in any business activities which are competitive with the business conducted by the Employer.</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agrees that, for a period of 24 months following the cessation of his employment he shall not, directly or indirectly and whether on his own behalf or for others:</w:t>
      </w:r>
    </w:p>
    <w:p>
      <w:pPr>
        <w:spacing w:after="0" w:line="170" w:lineRule="exact"/>
        <w:rPr>
          <w:rFonts w:ascii="Arial" w:cs="Arial" w:eastAsia="Arial" w:hAnsi="Arial"/>
          <w:sz w:val="18"/>
          <w:szCs w:val="18"/>
          <w:color w:val="auto"/>
        </w:rPr>
      </w:pPr>
    </w:p>
    <w:p>
      <w:pPr>
        <w:ind w:left="660" w:hanging="4"/>
        <w:spacing w:after="0" w:line="342" w:lineRule="auto"/>
        <w:tabs>
          <w:tab w:leader="none" w:pos="8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induce or solicit any employee or contractor of the Employer to terminate his or her employment or other relationship with the Employer, or hire or assist in the hiring of any such employee or contractor by any person, association, company or other entity not affiliated with the Employer; or,</w:t>
      </w:r>
    </w:p>
    <w:p>
      <w:pPr>
        <w:spacing w:after="0" w:line="123" w:lineRule="exact"/>
        <w:rPr>
          <w:rFonts w:ascii="Arial" w:cs="Arial" w:eastAsia="Arial" w:hAnsi="Arial"/>
          <w:sz w:val="16"/>
          <w:szCs w:val="16"/>
          <w:color w:val="auto"/>
        </w:rPr>
      </w:pPr>
    </w:p>
    <w:p>
      <w:pPr>
        <w:ind w:left="660" w:hanging="4"/>
        <w:spacing w:after="0" w:line="277" w:lineRule="auto"/>
        <w:tabs>
          <w:tab w:leader="none" w:pos="92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induce, solicit or cause any customer or supplier of the Employer to terminate, reduce or curtail any business relationship with the Employer or to do business with a competitor of the Employer.</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Employee acknowledges and agrees that the foregoing time limits and geographic area are reasonable and properly required for the adequate protection of the business of the Employer.</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Employee agrees that in the event of a breach by the Employee of any of the provisions of this Agreement, the Employer, in addition to and not in limitation of any other rights, remedies or damages available to the Employer at law or in equity, shall be entitled to an injunction in order to prevent or to restrain any breach by the Employee, or by any or all of the Employee’s partners, employers, employees, servants, agents, representatives and any and all persons directly or indirectly acting for, on behalf of, or with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jc w:val="center"/>
        <w:ind w:right="60"/>
        <w:spacing w:after="0"/>
        <w:rPr>
          <w:sz w:val="20"/>
          <w:szCs w:val="20"/>
          <w:color w:val="auto"/>
        </w:rPr>
      </w:pPr>
      <w:r>
        <w:rPr>
          <w:rFonts w:ascii="Arial" w:cs="Arial" w:eastAsia="Arial" w:hAnsi="Arial"/>
          <w:sz w:val="22"/>
          <w:szCs w:val="22"/>
          <w:color w:val="auto"/>
        </w:rPr>
        <w:t>- 6 -</w:t>
      </w:r>
    </w:p>
    <w:p>
      <w:pPr>
        <w:spacing w:after="0" w:line="214" w:lineRule="exact"/>
        <w:rPr>
          <w:sz w:val="20"/>
          <w:szCs w:val="20"/>
          <w:color w:val="auto"/>
        </w:rPr>
      </w:pPr>
    </w:p>
    <w:p>
      <w:pPr>
        <w:ind w:right="1740" w:firstLine="8"/>
        <w:spacing w:after="0" w:line="501"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above restrictions are in addition to, and not in substitution for, any fiduciary duties the Employee owes to the Employer. </w:t>
      </w:r>
      <w:r>
        <w:rPr>
          <w:rFonts w:ascii="Arial" w:cs="Arial" w:eastAsia="Arial" w:hAnsi="Arial"/>
          <w:sz w:val="18"/>
          <w:szCs w:val="18"/>
          <w:u w:val="single" w:color="auto"/>
          <w:color w:val="auto"/>
        </w:rPr>
        <w:t>Consideration Provided by Employer</w:t>
      </w:r>
    </w:p>
    <w:p>
      <w:pPr>
        <w:jc w:val="both"/>
        <w:ind w:left="660" w:hanging="652"/>
        <w:spacing w:after="0" w:line="27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Employee understands that the Employer has a material interest in preserving its reputation and goodwill, and the relationships it has developed with its customers, suppliers, employees and contractors against impairment by competitive activities of a former employee. The Employee also understands that the Employer has provided him with compensation under this Agreement which he would not otherwise be entitled to had he been employed for a period of 24 months following cessation of his employment, including vesting and conversion of certain PSUs and RSAs which would not have vested during that 24 month period. Therefore, the Employee understands and agrees that:</w:t>
      </w:r>
    </w:p>
    <w:p>
      <w:pPr>
        <w:spacing w:after="0" w:line="172"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his agreement to the restrictions, duties and covenants in this Agreement constitute a material inducement to the Employer to pay the Employee the amounts set out in this Agreement;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Employer would not be prepared to pay the amounts set out in this Agreement without the Employee agreeing to the restrictions, duties and covenants in this Agreement;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Employer is providing him with more than 24 months’ compensation in part so that he does not have any need to engage in the activities described under the heading “Non-Competition and Non-Solicitation” and,</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should he violate any of the restrictions, duties and covenants set out under the headings “Confidentiality”, “No Disparaging Comments”, or “Non-Competition and Non-Solicitation” in this Agreement, then the amounts paid to the Employee under this Agreement will be immediately forfeited by the Employee and will constitute a just debt due and owing to the Employer as a reasonable pre-estimate of the damages it will suffer as a result of such violation.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Nothing in this Agreement shall be deemed to be an admission of liability on the part of any of the parties and any such liability is expressly denied.</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 acknowledge that he has carefully read this Agreement and does fully understand the terms and conditions and, and after being given the opportunity to obtain advice, accepts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22"/>
          <w:szCs w:val="22"/>
          <w:color w:val="auto"/>
        </w:rPr>
        <w:t>- 7 -</w:t>
      </w:r>
    </w:p>
    <w:p>
      <w:pPr>
        <w:spacing w:after="0" w:line="214" w:lineRule="exact"/>
        <w:rPr>
          <w:sz w:val="20"/>
          <w:szCs w:val="20"/>
          <w:color w:val="auto"/>
        </w:rPr>
      </w:pPr>
    </w:p>
    <w:p>
      <w:pPr>
        <w:jc w:val="both"/>
        <w:ind w:left="660" w:hanging="652"/>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waiver of any breach of any term or provision of this Agreement shall be construed to be, nor shall be, a waiver of any other breach of this Agreement. No waiver shall be binding unless in writing and signed by the party waiving the breach. If any provision of this Agreement or the application thereof is held invalid, the invalidity shall not affect other provisions or applications of the Agreement which can be given effect without the invalid provisions or applications and to this end the provisions of this Agreement are declared to be severable.</w:t>
      </w:r>
    </w:p>
    <w:p>
      <w:pPr>
        <w:spacing w:after="0" w:line="171"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Agreement shall be binding upon and inure to the benefit of Employer, and any other person, association, or entity which may hereafter acquire or succeed to all or substantially all of the business or assets of Employer by any means whether direct or indirect, by purchase, merger, consolidation, or otherwise. Employee understands and agrees that he is bound by this Agreement and that anyone who claims under him or succeeds to his rights and obligations, such as his spouse, children, heirs, or the executors of his estate is also bound.</w:t>
      </w:r>
    </w:p>
    <w:p>
      <w:pPr>
        <w:spacing w:after="0" w:line="171"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agrees to cooperate fully and to execute any and all supplementary documents and to take all additional actions that may be necessary or appropriate to give full force to the basic terms and intent of this Agreement and which are not inconsistent with its terms.</w:t>
      </w:r>
    </w:p>
    <w:p>
      <w:pPr>
        <w:spacing w:after="0" w:line="224" w:lineRule="exact"/>
        <w:rPr>
          <w:rFonts w:ascii="Arial" w:cs="Arial" w:eastAsia="Arial" w:hAnsi="Arial"/>
          <w:sz w:val="18"/>
          <w:szCs w:val="18"/>
          <w:color w:val="auto"/>
        </w:rPr>
      </w:pPr>
    </w:p>
    <w:p>
      <w:pPr>
        <w:ind w:left="660" w:right="100"/>
        <w:spacing w:after="0" w:line="528" w:lineRule="auto"/>
        <w:rPr>
          <w:rFonts w:ascii="Arial" w:cs="Arial" w:eastAsia="Arial" w:hAnsi="Arial"/>
          <w:sz w:val="18"/>
          <w:szCs w:val="18"/>
          <w:color w:val="auto"/>
        </w:rPr>
      </w:pPr>
      <w:r>
        <w:rPr>
          <w:rFonts w:ascii="Arial" w:cs="Arial" w:eastAsia="Arial" w:hAnsi="Arial"/>
          <w:sz w:val="18"/>
          <w:szCs w:val="18"/>
          <w:color w:val="auto"/>
        </w:rPr>
        <w:t>IN WITNESS WHEREOF the parties hereto have executed and delivered this Agreement effective as of the date of the signatures shown hereunder. DATED the 26th day of June, 2014.</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Ronald Green</w:t>
            </w:r>
          </w:p>
        </w:tc>
        <w:tc>
          <w:tcPr>
            <w:tcW w:w="108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26"/>
        </w:trPr>
        <w:tc>
          <w:tcPr>
            <w:tcW w:w="5200" w:type="dxa"/>
            <w:vAlign w:val="bottom"/>
            <w:gridSpan w:val="2"/>
          </w:tcPr>
          <w:p>
            <w:pPr>
              <w:spacing w:after="0"/>
              <w:rPr>
                <w:sz w:val="20"/>
                <w:szCs w:val="20"/>
                <w:color w:val="auto"/>
              </w:rPr>
            </w:pPr>
            <w:r>
              <w:rPr>
                <w:rFonts w:ascii="Arial" w:cs="Arial" w:eastAsia="Arial" w:hAnsi="Arial"/>
                <w:sz w:val="18"/>
                <w:szCs w:val="18"/>
                <w:color w:val="auto"/>
              </w:rPr>
              <w:t>Ronald Green</w:t>
            </w:r>
          </w:p>
        </w:tc>
        <w:tc>
          <w:tcPr>
            <w:tcW w:w="10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Anthony Purgas</w:t>
            </w:r>
          </w:p>
        </w:tc>
        <w:tc>
          <w:tcPr>
            <w:tcW w:w="1080" w:type="dxa"/>
            <w:vAlign w:val="bottom"/>
          </w:tcPr>
          <w:p>
            <w:pPr>
              <w:spacing w:after="0"/>
              <w:rPr>
                <w:sz w:val="24"/>
                <w:szCs w:val="24"/>
                <w:color w:val="auto"/>
              </w:rPr>
            </w:pPr>
          </w:p>
        </w:tc>
        <w:tc>
          <w:tcPr>
            <w:tcW w:w="5140" w:type="dxa"/>
            <w:vAlign w:val="bottom"/>
            <w:tcBorders>
              <w:bottom w:val="single" w:sz="8" w:color="auto"/>
            </w:tcBorders>
          </w:tcPr>
          <w:p>
            <w:pPr>
              <w:jc w:val="right"/>
              <w:ind w:right="3630"/>
              <w:spacing w:after="0"/>
              <w:rPr>
                <w:sz w:val="20"/>
                <w:szCs w:val="20"/>
                <w:color w:val="auto"/>
              </w:rPr>
            </w:pPr>
            <w:r>
              <w:rPr>
                <w:rFonts w:ascii="Arial" w:cs="Arial" w:eastAsia="Arial" w:hAnsi="Arial"/>
                <w:sz w:val="18"/>
                <w:szCs w:val="18"/>
                <w:color w:val="auto"/>
                <w:w w:val="92"/>
              </w:rPr>
              <w:t>/s/ Anthony Purgas</w:t>
            </w:r>
          </w:p>
        </w:tc>
      </w:tr>
      <w:tr>
        <w:trPr>
          <w:trHeight w:val="426"/>
        </w:trPr>
        <w:tc>
          <w:tcPr>
            <w:tcW w:w="520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1080" w:type="dxa"/>
            <w:vAlign w:val="bottom"/>
          </w:tcPr>
          <w:p>
            <w:pPr>
              <w:spacing w:after="0"/>
              <w:rPr>
                <w:sz w:val="24"/>
                <w:szCs w:val="24"/>
                <w:color w:val="auto"/>
              </w:rPr>
            </w:pPr>
          </w:p>
        </w:tc>
        <w:tc>
          <w:tcPr>
            <w:tcW w:w="5140" w:type="dxa"/>
            <w:vAlign w:val="bottom"/>
          </w:tcPr>
          <w:p>
            <w:pPr>
              <w:jc w:val="right"/>
              <w:ind w:right="3610"/>
              <w:spacing w:after="0"/>
              <w:rPr>
                <w:sz w:val="20"/>
                <w:szCs w:val="20"/>
                <w:color w:val="auto"/>
              </w:rPr>
            </w:pPr>
            <w:r>
              <w:rPr>
                <w:rFonts w:ascii="Arial" w:cs="Arial" w:eastAsia="Arial" w:hAnsi="Arial"/>
                <w:sz w:val="18"/>
                <w:szCs w:val="18"/>
                <w:color w:val="auto"/>
                <w:w w:val="89"/>
              </w:rPr>
              <w:t>Witness (Signature)</w:t>
            </w:r>
          </w:p>
        </w:tc>
      </w:tr>
      <w:tr>
        <w:trPr>
          <w:trHeight w:val="648"/>
        </w:trPr>
        <w:tc>
          <w:tcPr>
            <w:tcW w:w="5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Bradley J. Dodson</w:t>
            </w:r>
          </w:p>
        </w:tc>
        <w:tc>
          <w:tcPr>
            <w:tcW w:w="10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26"/>
        </w:trPr>
        <w:tc>
          <w:tcPr>
            <w:tcW w:w="5200" w:type="dxa"/>
            <w:vAlign w:val="bottom"/>
            <w:gridSpan w:val="2"/>
          </w:tcPr>
          <w:p>
            <w:pPr>
              <w:spacing w:after="0"/>
              <w:rPr>
                <w:sz w:val="20"/>
                <w:szCs w:val="20"/>
                <w:color w:val="auto"/>
              </w:rPr>
            </w:pPr>
            <w:r>
              <w:rPr>
                <w:rFonts w:ascii="Arial" w:cs="Arial" w:eastAsia="Arial" w:hAnsi="Arial"/>
                <w:sz w:val="18"/>
                <w:szCs w:val="18"/>
                <w:color w:val="auto"/>
              </w:rPr>
              <w:t>CIVEO CORPORATION</w:t>
            </w:r>
          </w:p>
        </w:tc>
        <w:tc>
          <w:tcPr>
            <w:tcW w:w="10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Per: Bradley J. Dodson</w:t>
            </w:r>
          </w:p>
        </w:tc>
        <w:tc>
          <w:tcPr>
            <w:tcW w:w="10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88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2014</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Bradley J. Dodson</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2014</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Frank C. Steininger</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June 30, 2014 filed with the Securities and Exchange Commission (the “Report”), I, Bradley J. Dodson, President and Chief Executive Officer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Bradley J. Dodson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20"/>
              <w:spacing w:after="0"/>
              <w:rPr>
                <w:sz w:val="20"/>
                <w:szCs w:val="20"/>
                <w:color w:val="auto"/>
              </w:rPr>
            </w:pPr>
            <w:r>
              <w:rPr>
                <w:rFonts w:ascii="Arial" w:cs="Arial" w:eastAsia="Arial" w:hAnsi="Arial"/>
                <w:sz w:val="18"/>
                <w:szCs w:val="18"/>
                <w:color w:val="auto"/>
              </w:rPr>
              <w:t>August 13, 2014</w:t>
            </w:r>
          </w:p>
        </w:tc>
      </w:tr>
    </w:tbl>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June 30, 2014 filed with the Securities and Exchange Commission (the “Report”), I, Frank C. Steininger, Senior Vice President, Chief Financial Officer and Treasurer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Frank C. Steininger</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-130175</wp:posOffset>
            </wp:positionV>
            <wp:extent cx="2624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Date: August 13,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decimal"/>
      <w:start w:val="13"/>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4"/>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decimal"/>
      <w:start w:val="1"/>
    </w:lvl>
    <w:lvl w:ilvl="1">
      <w:lvlJc w:val="left"/>
      <w:lvlText w:val="%2."/>
      <w:numFmt w:val="lowerLetter"/>
      <w:start w:val="1"/>
    </w:lvl>
  </w:abstractNum>
  <w:abstractNum w:abstractNumId="27">
    <w:nsid w:val="440BADFC"/>
    <w:multiLevelType w:val="hybridMultilevel"/>
    <w:lvl w:ilvl="0">
      <w:lvlJc w:val="left"/>
      <w:lvlText w:val="%1."/>
      <w:numFmt w:val="lowerLetter"/>
      <w:start w:val="4"/>
    </w:lvl>
  </w:abstractNum>
  <w:abstractNum w:abstractNumId="28">
    <w:nsid w:val="5072367"/>
    <w:multiLevelType w:val="hybridMultilevel"/>
    <w:lvl w:ilvl="0">
      <w:lvlJc w:val="left"/>
      <w:lvlText w:val="%1."/>
      <w:numFmt w:val="decimal"/>
      <w:start w:val="2"/>
    </w:lvl>
  </w:abstractNum>
  <w:abstractNum w:abstractNumId="29">
    <w:nsid w:val="3804823E"/>
    <w:multiLevelType w:val="hybridMultilevel"/>
    <w:lvl w:ilvl="0">
      <w:lvlJc w:val="left"/>
      <w:lvlText w:val="%1."/>
      <w:numFmt w:val="decimal"/>
      <w:start w:val="3"/>
    </w:lvl>
    <w:lvl w:ilvl="1">
      <w:lvlJc w:val="left"/>
      <w:lvlText w:val="%2."/>
      <w:numFmt w:val="lowerLetter"/>
      <w:start w:val="1"/>
    </w:lvl>
  </w:abstractNum>
  <w:abstractNum w:abstractNumId="30">
    <w:nsid w:val="77465F01"/>
    <w:multiLevelType w:val="hybridMultilevel"/>
    <w:lvl w:ilvl="0">
      <w:lvlJc w:val="left"/>
      <w:lvlText w:val="%1"/>
      <w:numFmt w:val="decimal"/>
      <w:start w:val="1"/>
    </w:lvl>
    <w:lvl w:ilvl="1">
      <w:lvlJc w:val="left"/>
      <w:lvlText w:val="%2."/>
      <w:numFmt w:val="lowerLetter"/>
      <w:start w:val="5"/>
    </w:lvl>
  </w:abstractNum>
  <w:abstractNum w:abstractNumId="31">
    <w:nsid w:val="7724C67E"/>
    <w:multiLevelType w:val="hybridMultilevel"/>
    <w:lvl w:ilvl="0">
      <w:lvlJc w:val="left"/>
      <w:lvlText w:val="%1."/>
      <w:numFmt w:val="decimal"/>
      <w:start w:val="4"/>
    </w:lvl>
    <w:lvl w:ilvl="1">
      <w:lvlJc w:val="left"/>
      <w:lvlText w:val="%2"/>
      <w:numFmt w:val="lowerLetter"/>
      <w:start w:val="1"/>
    </w:lvl>
  </w:abstractNum>
  <w:abstractNum w:abstractNumId="32">
    <w:nsid w:val="5C482A97"/>
    <w:multiLevelType w:val="hybridMultilevel"/>
    <w:lvl w:ilvl="0">
      <w:lvlJc w:val="left"/>
      <w:lvlText w:val="%1."/>
      <w:numFmt w:val="decimal"/>
      <w:start w:val="6"/>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decimal"/>
      <w:start w:val="10"/>
    </w:lvl>
  </w:abstractNum>
  <w:abstractNum w:abstractNumId="35">
    <w:nsid w:val="51EAD36B"/>
    <w:multiLevelType w:val="hybridMultilevel"/>
    <w:lvl w:ilvl="0">
      <w:lvlJc w:val="left"/>
      <w:lvlText w:val="%1."/>
      <w:numFmt w:val="decimal"/>
      <w:start w:val="11"/>
    </w:lvl>
    <w:lvl w:ilvl="1">
      <w:lvlJc w:val="left"/>
      <w:lvlText w:val="(%2)"/>
      <w:numFmt w:val="lowerRoman"/>
      <w:start w:val="1"/>
    </w:lvl>
  </w:abstractNum>
  <w:abstractNum w:abstractNumId="36">
    <w:nsid w:val="2D517796"/>
    <w:multiLevelType w:val="hybridMultilevel"/>
    <w:lvl w:ilvl="0">
      <w:lvlJc w:val="left"/>
      <w:lvlText w:val="%1."/>
      <w:numFmt w:val="decimal"/>
      <w:start w:val="15"/>
    </w:lvl>
    <w:lvl w:ilvl="1">
      <w:lvlJc w:val="left"/>
      <w:lvlText w:val="%2."/>
      <w:numFmt w:val="lowerLetter"/>
      <w:start w:val="1"/>
    </w:lvl>
  </w:abstractNum>
  <w:abstractNum w:abstractNumId="37">
    <w:nsid w:val="580BD78F"/>
    <w:multiLevelType w:val="hybridMultilevel"/>
    <w:lvl w:ilvl="0">
      <w:lvlJc w:val="left"/>
      <w:lvlText w:val="%1."/>
      <w:numFmt w:val="decimal"/>
      <w:start w:val="17"/>
    </w:lvl>
  </w:abstractNum>
  <w:abstractNum w:abstractNumId="38">
    <w:nsid w:val="153EA438"/>
    <w:multiLevelType w:val="hybridMultilevel"/>
    <w:lvl w:ilvl="0">
      <w:lvlJc w:val="left"/>
      <w:lvlText w:val="%1."/>
      <w:numFmt w:val="decimal"/>
      <w:start w:val="19"/>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2019-12-08T09:31:57Z</dcterms:created>
  <dcterms:modified xsi:type="dcterms:W3CDTF">2019-12-08T09:31:57Z</dcterms:modified>
</cp:coreProperties>
</file>