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ind w:left="400"/>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980" w:right="1780" w:hanging="580"/>
        <w:spacing w:after="0" w:line="261" w:lineRule="auto"/>
        <w:tabs>
          <w:tab w:leader="none" w:pos="967"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 June 30, 2016</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80" w:type="dxa"/>
            <w:vAlign w:val="bottom"/>
            <w:gridSpan w:val="5"/>
          </w:tcPr>
          <w:p>
            <w:pPr>
              <w:ind w:left="1820"/>
              <w:spacing w:after="0"/>
              <w:rPr>
                <w:sz w:val="20"/>
                <w:szCs w:val="20"/>
                <w:color w:val="auto"/>
              </w:rPr>
            </w:pPr>
            <w:r>
              <w:rPr>
                <w:rFonts w:ascii="Arial" w:cs="Arial" w:eastAsia="Arial" w:hAnsi="Arial"/>
                <w:sz w:val="18"/>
                <w:szCs w:val="18"/>
                <w:color w:val="auto"/>
              </w:rPr>
              <w:t>OR</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30"/>
        </w:trPr>
        <w:tc>
          <w:tcPr>
            <w:tcW w:w="700" w:type="dxa"/>
            <w:vAlign w:val="bottom"/>
          </w:tcPr>
          <w:p>
            <w:pPr>
              <w:jc w:val="right"/>
              <w:ind w:right="50"/>
              <w:spacing w:after="0"/>
              <w:rPr>
                <w:sz w:val="20"/>
                <w:szCs w:val="20"/>
                <w:color w:val="auto"/>
              </w:rPr>
            </w:pPr>
            <w:r>
              <w:rPr>
                <w:rFonts w:ascii="Arial" w:cs="Arial" w:eastAsia="Arial" w:hAnsi="Arial"/>
                <w:sz w:val="18"/>
                <w:szCs w:val="18"/>
                <w:color w:val="auto"/>
              </w:rPr>
              <w:t>[ ]</w:t>
            </w:r>
          </w:p>
        </w:tc>
        <w:tc>
          <w:tcPr>
            <w:tcW w:w="10720" w:type="dxa"/>
            <w:vAlign w:val="bottom"/>
            <w:gridSpan w:val="14"/>
          </w:tcPr>
          <w:p>
            <w:pPr>
              <w:ind w:left="260"/>
              <w:spacing w:after="0"/>
              <w:rPr>
                <w:sz w:val="20"/>
                <w:szCs w:val="20"/>
                <w:color w:val="auto"/>
              </w:rPr>
            </w:pPr>
            <w:r>
              <w:rPr>
                <w:rFonts w:ascii="Arial" w:cs="Arial" w:eastAsia="Arial" w:hAnsi="Arial"/>
                <w:sz w:val="18"/>
                <w:szCs w:val="18"/>
                <w:color w:val="auto"/>
              </w:rPr>
              <w:t>TRANSITION REPORT PURSUANT TO SECTION 13 OR 15(d) OF THE SECURITIES EXCHANGE ACT OF 1934</w:t>
            </w:r>
          </w:p>
        </w:tc>
      </w:tr>
      <w:tr>
        <w:trPr>
          <w:trHeight w:val="392"/>
        </w:trPr>
        <w:tc>
          <w:tcPr>
            <w:tcW w:w="700" w:type="dxa"/>
            <w:vAlign w:val="bottom"/>
          </w:tcPr>
          <w:p>
            <w:pPr>
              <w:spacing w:after="0"/>
              <w:rPr>
                <w:sz w:val="24"/>
                <w:szCs w:val="24"/>
                <w:color w:val="auto"/>
              </w:rPr>
            </w:pPr>
          </w:p>
        </w:tc>
        <w:tc>
          <w:tcPr>
            <w:tcW w:w="5100" w:type="dxa"/>
            <w:vAlign w:val="bottom"/>
            <w:gridSpan w:val="5"/>
          </w:tcPr>
          <w:p>
            <w:pPr>
              <w:ind w:left="440"/>
              <w:spacing w:after="0"/>
              <w:rPr>
                <w:sz w:val="20"/>
                <w:szCs w:val="20"/>
                <w:color w:val="auto"/>
              </w:rPr>
            </w:pPr>
            <w:r>
              <w:rPr>
                <w:rFonts w:ascii="Arial" w:cs="Arial" w:eastAsia="Arial" w:hAnsi="Arial"/>
                <w:sz w:val="18"/>
                <w:szCs w:val="18"/>
                <w:color w:val="auto"/>
                <w:w w:val="91"/>
              </w:rPr>
              <w:t>For the transition period from _________________________ to</w:t>
            </w:r>
          </w:p>
        </w:tc>
        <w:tc>
          <w:tcPr>
            <w:tcW w:w="1140" w:type="dxa"/>
            <w:vAlign w:val="bottom"/>
            <w:tcBorders>
              <w:bottom w:val="single" w:sz="8" w:color="auto"/>
            </w:tcBorders>
            <w:gridSpan w:val="2"/>
          </w:tcPr>
          <w:p>
            <w:pPr>
              <w:spacing w:after="0"/>
              <w:rPr>
                <w:sz w:val="24"/>
                <w:szCs w:val="24"/>
                <w:color w:val="auto"/>
              </w:rPr>
            </w:pPr>
          </w:p>
        </w:tc>
        <w:tc>
          <w:tcPr>
            <w:tcW w:w="280" w:type="dxa"/>
            <w:vAlign w:val="bottom"/>
            <w:gridSpan w:val="2"/>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12"/>
        </w:trPr>
        <w:tc>
          <w:tcPr>
            <w:tcW w:w="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80" w:type="dxa"/>
            <w:vAlign w:val="bottom"/>
            <w:gridSpan w:val="5"/>
          </w:tcPr>
          <w:p>
            <w:pPr>
              <w:jc w:val="center"/>
              <w:ind w:left="170"/>
              <w:spacing w:after="0"/>
              <w:rPr>
                <w:sz w:val="20"/>
                <w:szCs w:val="20"/>
                <w:color w:val="auto"/>
              </w:rPr>
            </w:pPr>
            <w:r>
              <w:rPr>
                <w:rFonts w:ascii="Arial" w:cs="Arial" w:eastAsia="Arial" w:hAnsi="Arial"/>
                <w:sz w:val="18"/>
                <w:szCs w:val="18"/>
                <w:color w:val="auto"/>
                <w:w w:val="91"/>
              </w:rPr>
              <w:t>Commission file number: 001-36246</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38"/>
        </w:trPr>
        <w:tc>
          <w:tcPr>
            <w:tcW w:w="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80" w:type="dxa"/>
            <w:vAlign w:val="bottom"/>
            <w:gridSpan w:val="5"/>
          </w:tcPr>
          <w:p>
            <w:pPr>
              <w:jc w:val="center"/>
              <w:ind w:left="190"/>
              <w:spacing w:after="0"/>
              <w:rPr>
                <w:sz w:val="20"/>
                <w:szCs w:val="20"/>
                <w:color w:val="auto"/>
              </w:rPr>
            </w:pPr>
            <w:r>
              <w:rPr>
                <w:rFonts w:ascii="Arial" w:cs="Arial" w:eastAsia="Arial" w:hAnsi="Arial"/>
                <w:sz w:val="18"/>
                <w:szCs w:val="18"/>
                <w:b w:val="1"/>
                <w:bCs w:val="1"/>
                <w:color w:val="auto"/>
                <w:w w:val="91"/>
              </w:rPr>
              <w:t>Civeo Corporation</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0"/>
        </w:trPr>
        <w:tc>
          <w:tcPr>
            <w:tcW w:w="700" w:type="dxa"/>
            <w:vAlign w:val="bottom"/>
          </w:tcPr>
          <w:p>
            <w:pPr>
              <w:spacing w:after="0"/>
              <w:rPr>
                <w:sz w:val="20"/>
                <w:szCs w:val="20"/>
                <w:color w:val="auto"/>
              </w:rPr>
            </w:pPr>
          </w:p>
        </w:tc>
        <w:tc>
          <w:tcPr>
            <w:tcW w:w="6240" w:type="dxa"/>
            <w:vAlign w:val="bottom"/>
            <w:gridSpan w:val="7"/>
          </w:tcPr>
          <w:p>
            <w:pPr>
              <w:jc w:val="right"/>
              <w:ind w:right="560"/>
              <w:spacing w:after="0"/>
              <w:rPr>
                <w:sz w:val="20"/>
                <w:szCs w:val="20"/>
                <w:color w:val="auto"/>
              </w:rPr>
            </w:pPr>
            <w:r>
              <w:rPr>
                <w:rFonts w:ascii="Arial" w:cs="Arial" w:eastAsia="Arial" w:hAnsi="Arial"/>
                <w:sz w:val="18"/>
                <w:szCs w:val="18"/>
                <w:color w:val="auto"/>
              </w:rPr>
              <w:t>_______________</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32"/>
        </w:trPr>
        <w:tc>
          <w:tcPr>
            <w:tcW w:w="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60" w:type="dxa"/>
            <w:vAlign w:val="bottom"/>
            <w:gridSpan w:val="11"/>
          </w:tcPr>
          <w:p>
            <w:pPr>
              <w:jc w:val="center"/>
              <w:ind w:right="354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392"/>
        </w:trPr>
        <w:tc>
          <w:tcPr>
            <w:tcW w:w="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80" w:type="dxa"/>
            <w:vAlign w:val="bottom"/>
            <w:gridSpan w:val="3"/>
          </w:tcPr>
          <w:p>
            <w:pPr>
              <w:jc w:val="center"/>
              <w:spacing w:after="0"/>
              <w:rPr>
                <w:sz w:val="20"/>
                <w:szCs w:val="20"/>
                <w:color w:val="auto"/>
              </w:rPr>
            </w:pPr>
            <w:r>
              <w:rPr>
                <w:rFonts w:ascii="Arial" w:cs="Arial" w:eastAsia="Arial" w:hAnsi="Arial"/>
                <w:sz w:val="18"/>
                <w:szCs w:val="18"/>
                <w:color w:val="auto"/>
                <w:w w:val="92"/>
              </w:rPr>
              <w:t>British Columbia, Canada</w:t>
            </w:r>
          </w:p>
        </w:tc>
        <w:tc>
          <w:tcPr>
            <w:tcW w:w="3280" w:type="dxa"/>
            <w:vAlign w:val="bottom"/>
            <w:gridSpan w:val="5"/>
          </w:tcPr>
          <w:p>
            <w:pPr>
              <w:spacing w:after="0"/>
              <w:rPr>
                <w:sz w:val="24"/>
                <w:szCs w:val="24"/>
                <w:color w:val="auto"/>
              </w:rPr>
            </w:pPr>
          </w:p>
        </w:tc>
        <w:tc>
          <w:tcPr>
            <w:tcW w:w="4200" w:type="dxa"/>
            <w:vAlign w:val="bottom"/>
            <w:gridSpan w:val="5"/>
          </w:tcPr>
          <w:p>
            <w:pPr>
              <w:jc w:val="right"/>
              <w:ind w:right="2280"/>
              <w:spacing w:after="0"/>
              <w:rPr>
                <w:sz w:val="20"/>
                <w:szCs w:val="20"/>
                <w:color w:val="auto"/>
              </w:rPr>
            </w:pPr>
            <w:r>
              <w:rPr>
                <w:rFonts w:ascii="Arial" w:cs="Arial" w:eastAsia="Arial" w:hAnsi="Arial"/>
                <w:sz w:val="18"/>
                <w:szCs w:val="18"/>
                <w:color w:val="auto"/>
              </w:rPr>
              <w:t>98-1253716</w:t>
            </w:r>
          </w:p>
        </w:tc>
      </w:tr>
      <w:tr>
        <w:trPr>
          <w:trHeight w:val="20"/>
        </w:trPr>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37"/>
        </w:trPr>
        <w:tc>
          <w:tcPr>
            <w:tcW w:w="700" w:type="dxa"/>
            <w:vAlign w:val="bottom"/>
          </w:tcPr>
          <w:p>
            <w:pPr>
              <w:spacing w:after="0"/>
              <w:rPr>
                <w:sz w:val="20"/>
                <w:szCs w:val="20"/>
                <w:color w:val="auto"/>
              </w:rPr>
            </w:pPr>
          </w:p>
        </w:tc>
        <w:tc>
          <w:tcPr>
            <w:tcW w:w="6520" w:type="dxa"/>
            <w:vAlign w:val="bottom"/>
            <w:gridSpan w:val="9"/>
          </w:tcPr>
          <w:p>
            <w:pPr>
              <w:jc w:val="center"/>
              <w:ind w:right="194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200" w:type="dxa"/>
            <w:vAlign w:val="bottom"/>
            <w:gridSpan w:val="5"/>
          </w:tcPr>
          <w:p>
            <w:pPr>
              <w:jc w:val="center"/>
              <w:ind w:right="1220"/>
              <w:spacing w:after="0"/>
              <w:rPr>
                <w:sz w:val="20"/>
                <w:szCs w:val="20"/>
                <w:color w:val="auto"/>
              </w:rPr>
            </w:pPr>
            <w:r>
              <w:rPr>
                <w:rFonts w:ascii="Arial" w:cs="Arial" w:eastAsia="Arial" w:hAnsi="Arial"/>
                <w:sz w:val="18"/>
                <w:szCs w:val="18"/>
                <w:color w:val="auto"/>
                <w:w w:val="94"/>
              </w:rPr>
              <w:t>(I.R.S. Employer Identification No.)</w:t>
            </w:r>
          </w:p>
        </w:tc>
      </w:tr>
      <w:tr>
        <w:trPr>
          <w:trHeight w:val="392"/>
        </w:trPr>
        <w:tc>
          <w:tcPr>
            <w:tcW w:w="700" w:type="dxa"/>
            <w:vAlign w:val="bottom"/>
          </w:tcPr>
          <w:p>
            <w:pPr>
              <w:spacing w:after="0"/>
              <w:rPr>
                <w:sz w:val="24"/>
                <w:szCs w:val="24"/>
                <w:color w:val="auto"/>
              </w:rPr>
            </w:pPr>
          </w:p>
        </w:tc>
        <w:tc>
          <w:tcPr>
            <w:tcW w:w="6520" w:type="dxa"/>
            <w:vAlign w:val="bottom"/>
            <w:gridSpan w:val="9"/>
          </w:tcPr>
          <w:p>
            <w:pPr>
              <w:jc w:val="center"/>
              <w:ind w:right="1920"/>
              <w:spacing w:after="0"/>
              <w:rPr>
                <w:sz w:val="20"/>
                <w:szCs w:val="20"/>
                <w:color w:val="auto"/>
              </w:rPr>
            </w:pPr>
            <w:r>
              <w:rPr>
                <w:rFonts w:ascii="Arial" w:cs="Arial" w:eastAsia="Arial" w:hAnsi="Arial"/>
                <w:sz w:val="18"/>
                <w:szCs w:val="18"/>
                <w:color w:val="auto"/>
                <w:w w:val="91"/>
              </w:rPr>
              <w:t>Three Allen Center, 333 Clay Street, Suite 4980,</w:t>
            </w:r>
          </w:p>
        </w:tc>
        <w:tc>
          <w:tcPr>
            <w:tcW w:w="1260" w:type="dxa"/>
            <w:vAlign w:val="bottom"/>
            <w:gridSpan w:val="2"/>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77002</w:t>
            </w:r>
          </w:p>
        </w:tc>
        <w:tc>
          <w:tcPr>
            <w:tcW w:w="2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88"/>
              </w:rPr>
              <w:t>Houston, Texas</w:t>
            </w:r>
          </w:p>
        </w:tc>
        <w:tc>
          <w:tcPr>
            <w:tcW w:w="3660" w:type="dxa"/>
            <w:vAlign w:val="bottom"/>
            <w:gridSpan w:val="6"/>
          </w:tcPr>
          <w:p>
            <w:pPr>
              <w:spacing w:after="0"/>
              <w:rPr>
                <w:sz w:val="17"/>
                <w:szCs w:val="17"/>
                <w:color w:val="auto"/>
              </w:rPr>
            </w:pPr>
          </w:p>
        </w:tc>
        <w:tc>
          <w:tcPr>
            <w:tcW w:w="1060" w:type="dxa"/>
            <w:vAlign w:val="bottom"/>
          </w:tcPr>
          <w:p>
            <w:pPr>
              <w:spacing w:after="0"/>
              <w:rPr>
                <w:sz w:val="17"/>
                <w:szCs w:val="17"/>
                <w:color w:val="auto"/>
              </w:rPr>
            </w:pPr>
          </w:p>
        </w:tc>
        <w:tc>
          <w:tcPr>
            <w:tcW w:w="3140" w:type="dxa"/>
            <w:vAlign w:val="bottom"/>
            <w:gridSpan w:val="4"/>
          </w:tcPr>
          <w:p>
            <w:pPr>
              <w:jc w:val="center"/>
              <w:ind w:right="2300"/>
              <w:spacing w:after="0" w:line="196" w:lineRule="exact"/>
              <w:rPr>
                <w:sz w:val="20"/>
                <w:szCs w:val="20"/>
                <w:color w:val="auto"/>
              </w:rPr>
            </w:pPr>
            <w:r>
              <w:rPr>
                <w:rFonts w:ascii="Arial" w:cs="Arial" w:eastAsia="Arial" w:hAnsi="Arial"/>
                <w:sz w:val="18"/>
                <w:szCs w:val="18"/>
                <w:color w:val="auto"/>
                <w:w w:val="94"/>
              </w:rPr>
              <w:t>(Zip Code)</w:t>
            </w:r>
          </w:p>
        </w:tc>
      </w:tr>
      <w:tr>
        <w:trPr>
          <w:trHeight w:val="237"/>
        </w:trPr>
        <w:tc>
          <w:tcPr>
            <w:tcW w:w="700" w:type="dxa"/>
            <w:vAlign w:val="bottom"/>
          </w:tcPr>
          <w:p>
            <w:pPr>
              <w:spacing w:after="0"/>
              <w:rPr>
                <w:sz w:val="20"/>
                <w:szCs w:val="20"/>
                <w:color w:val="auto"/>
              </w:rPr>
            </w:pPr>
          </w:p>
        </w:tc>
        <w:tc>
          <w:tcPr>
            <w:tcW w:w="6520" w:type="dxa"/>
            <w:vAlign w:val="bottom"/>
            <w:gridSpan w:val="9"/>
          </w:tcPr>
          <w:p>
            <w:pPr>
              <w:jc w:val="center"/>
              <w:ind w:right="1920"/>
              <w:spacing w:after="0"/>
              <w:rPr>
                <w:sz w:val="20"/>
                <w:szCs w:val="20"/>
                <w:color w:val="auto"/>
              </w:rPr>
            </w:pPr>
            <w:r>
              <w:rPr>
                <w:rFonts w:ascii="Arial" w:cs="Arial" w:eastAsia="Arial" w:hAnsi="Arial"/>
                <w:sz w:val="18"/>
                <w:szCs w:val="18"/>
                <w:color w:val="auto"/>
                <w:w w:val="92"/>
              </w:rPr>
              <w:t>(Address of principal executive offices)</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32"/>
        </w:trPr>
        <w:tc>
          <w:tcPr>
            <w:tcW w:w="700" w:type="dxa"/>
            <w:vAlign w:val="bottom"/>
          </w:tcPr>
          <w:p>
            <w:pPr>
              <w:spacing w:after="0"/>
              <w:rPr>
                <w:sz w:val="24"/>
                <w:szCs w:val="24"/>
                <w:color w:val="auto"/>
              </w:rPr>
            </w:pPr>
          </w:p>
        </w:tc>
        <w:tc>
          <w:tcPr>
            <w:tcW w:w="6240" w:type="dxa"/>
            <w:vAlign w:val="bottom"/>
            <w:gridSpan w:val="7"/>
          </w:tcPr>
          <w:p>
            <w:pPr>
              <w:jc w:val="right"/>
              <w:ind w:right="660"/>
              <w:spacing w:after="0"/>
              <w:rPr>
                <w:sz w:val="20"/>
                <w:szCs w:val="20"/>
                <w:color w:val="auto"/>
              </w:rPr>
            </w:pPr>
            <w:r>
              <w:rPr>
                <w:rFonts w:ascii="Arial" w:cs="Arial" w:eastAsia="Arial" w:hAnsi="Arial"/>
                <w:sz w:val="18"/>
                <w:szCs w:val="18"/>
                <w:color w:val="auto"/>
              </w:rPr>
              <w:t>(713) 510-2400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08"/>
        </w:trPr>
        <w:tc>
          <w:tcPr>
            <w:tcW w:w="7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gridSpan w:val="2"/>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r>
      <w:tr>
        <w:trPr>
          <w:trHeight w:val="318"/>
        </w:trPr>
        <w:tc>
          <w:tcPr>
            <w:tcW w:w="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60" w:type="dxa"/>
            <w:vAlign w:val="bottom"/>
            <w:gridSpan w:val="11"/>
          </w:tcPr>
          <w:p>
            <w:pPr>
              <w:jc w:val="center"/>
              <w:ind w:right="3560"/>
              <w:spacing w:after="0"/>
              <w:rPr>
                <w:sz w:val="20"/>
                <w:szCs w:val="20"/>
                <w:color w:val="auto"/>
              </w:rPr>
            </w:pPr>
            <w:r>
              <w:rPr>
                <w:rFonts w:ascii="Arial" w:cs="Arial" w:eastAsia="Arial" w:hAnsi="Arial"/>
                <w:sz w:val="18"/>
                <w:szCs w:val="18"/>
                <w:color w:val="auto"/>
                <w:w w:val="90"/>
              </w:rPr>
              <w:t>(Registrant’s telephone number, including area code)</w:t>
            </w:r>
          </w:p>
        </w:tc>
      </w:tr>
    </w:tbl>
    <w:p>
      <w:pPr>
        <w:spacing w:after="0" w:line="202"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1420"/>
          </w:cols>
          <w:pgMar w:left="240" w:top="233" w:right="239" w:bottom="1440" w:gutter="0" w:footer="0" w:header="0"/>
        </w:sectPr>
      </w:pPr>
    </w:p>
    <w:p>
      <w:pPr>
        <w:ind w:left="4540"/>
        <w:spacing w:after="0"/>
        <w:rPr>
          <w:sz w:val="20"/>
          <w:szCs w:val="20"/>
          <w:color w:val="auto"/>
        </w:rPr>
      </w:pPr>
      <w:r>
        <w:rPr>
          <w:rFonts w:ascii="Arial" w:cs="Arial" w:eastAsia="Arial" w:hAnsi="Arial"/>
          <w:sz w:val="18"/>
          <w:szCs w:val="18"/>
          <w:color w:val="auto"/>
        </w:rPr>
        <w:t>YES [X]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NO [ ]</w:t>
      </w:r>
    </w:p>
    <w:p>
      <w:pPr>
        <w:spacing w:after="0" w:line="211" w:lineRule="exact"/>
        <w:rPr>
          <w:sz w:val="24"/>
          <w:szCs w:val="24"/>
          <w:color w:val="auto"/>
        </w:rPr>
      </w:pPr>
    </w:p>
    <w:p>
      <w:pPr>
        <w:sectPr>
          <w:pgSz w:w="11900" w:h="16838" w:orient="portrait"/>
          <w:cols w:equalWidth="0" w:num="2">
            <w:col w:w="5560" w:space="720"/>
            <w:col w:w="5140"/>
          </w:cols>
          <w:pgMar w:left="240" w:top="233" w:right="239" w:bottom="1440" w:gutter="0" w:footer="0" w:header="0"/>
          <w:type w:val="continuous"/>
        </w:sectPr>
      </w:pPr>
    </w:p>
    <w:p>
      <w:pPr>
        <w:spacing w:after="0" w:line="11"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4540"/>
        <w:spacing w:after="0"/>
        <w:tabs>
          <w:tab w:leader="none" w:pos="626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7"/>
          <w:szCs w:val="17"/>
          <w:color w:val="auto"/>
        </w:rPr>
        <w:t>NO [ ]</w:t>
      </w:r>
    </w:p>
    <w:p>
      <w:pPr>
        <w:spacing w:after="0" w:line="211" w:lineRule="exact"/>
        <w:rPr>
          <w:sz w:val="24"/>
          <w:szCs w:val="24"/>
          <w:color w:val="auto"/>
        </w:rPr>
      </w:pPr>
    </w:p>
    <w:p>
      <w:pPr>
        <w:ind w:right="180"/>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"accelerated filer," "large accelerated filer" and "smaller reporting company” in Rule 12b-2 of the Exchange Act.</w:t>
      </w:r>
    </w:p>
    <w:p>
      <w:pPr>
        <w:jc w:val="center"/>
        <w:ind w:right="-19"/>
        <w:spacing w:after="0"/>
        <w:rPr>
          <w:sz w:val="20"/>
          <w:szCs w:val="20"/>
          <w:color w:val="auto"/>
        </w:rPr>
      </w:pPr>
      <w:r>
        <w:rPr>
          <w:rFonts w:ascii="Arial" w:cs="Arial" w:eastAsia="Arial" w:hAnsi="Arial"/>
          <w:sz w:val="18"/>
          <w:szCs w:val="18"/>
          <w:color w:val="auto"/>
        </w:rPr>
        <w:t>(Check one):</w:t>
      </w:r>
    </w:p>
    <w:p>
      <w:pPr>
        <w:sectPr>
          <w:pgSz w:w="11900" w:h="16838" w:orient="portrait"/>
          <w:cols w:equalWidth="0" w:num="1">
            <w:col w:w="11420"/>
          </w:cols>
          <w:pgMar w:left="240" w:top="233" w:right="239" w:bottom="1440" w:gutter="0" w:footer="0" w:header="0"/>
          <w:type w:val="continuous"/>
        </w:sectPr>
      </w:pPr>
    </w:p>
    <w:p>
      <w:pPr>
        <w:spacing w:after="0" w:line="9" w:lineRule="exact"/>
        <w:rPr>
          <w:sz w:val="24"/>
          <w:szCs w:val="24"/>
          <w:color w:val="auto"/>
        </w:rPr>
      </w:pPr>
    </w:p>
    <w:p>
      <w:pPr>
        <w:ind w:left="60"/>
        <w:spacing w:after="0"/>
        <w:rPr>
          <w:sz w:val="20"/>
          <w:szCs w:val="20"/>
          <w:color w:val="auto"/>
        </w:rPr>
      </w:pPr>
      <w:r>
        <w:rPr>
          <w:rFonts w:ascii="Arial" w:cs="Arial" w:eastAsia="Arial" w:hAnsi="Arial"/>
          <w:sz w:val="16"/>
          <w:szCs w:val="16"/>
          <w:color w:val="auto"/>
        </w:rPr>
        <w:t>Large Accelerated Filer [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4"/>
          <w:szCs w:val="24"/>
          <w:color w:val="auto"/>
        </w:rPr>
      </w:pPr>
    </w:p>
    <w:p>
      <w:pPr>
        <w:sectPr>
          <w:pgSz w:w="11900" w:h="16838" w:orient="portrait"/>
          <w:cols w:equalWidth="0" w:num="2">
            <w:col w:w="6180" w:space="720"/>
            <w:col w:w="4520"/>
          </w:cols>
          <w:pgMar w:left="240" w:top="233" w:right="239" w:bottom="1440" w:gutter="0" w:footer="0" w:header="0"/>
          <w:type w:val="continuous"/>
        </w:sectPr>
      </w:pPr>
    </w:p>
    <w:p>
      <w:pPr>
        <w:spacing w:after="0" w:line="34" w:lineRule="exact"/>
        <w:rPr>
          <w:sz w:val="24"/>
          <w:szCs w:val="24"/>
          <w:color w:val="auto"/>
        </w:rPr>
      </w:pPr>
    </w:p>
    <w:p>
      <w:pPr>
        <w:ind w:left="60"/>
        <w:spacing w:after="0"/>
        <w:rPr>
          <w:sz w:val="20"/>
          <w:szCs w:val="20"/>
          <w:color w:val="auto"/>
        </w:rPr>
      </w:pPr>
      <w:r>
        <w:rPr>
          <w:rFonts w:ascii="Arial" w:cs="Arial" w:eastAsia="Arial" w:hAnsi="Arial"/>
          <w:sz w:val="16"/>
          <w:szCs w:val="16"/>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 ]</w:t>
      </w:r>
    </w:p>
    <w:p>
      <w:pPr>
        <w:spacing w:after="0" w:line="200" w:lineRule="exact"/>
        <w:rPr>
          <w:sz w:val="24"/>
          <w:szCs w:val="24"/>
          <w:color w:val="auto"/>
        </w:rPr>
      </w:pPr>
    </w:p>
    <w:p>
      <w:pPr>
        <w:sectPr>
          <w:pgSz w:w="11900" w:h="16838" w:orient="portrait"/>
          <w:cols w:equalWidth="0" w:num="2">
            <w:col w:w="6140" w:space="720"/>
            <w:col w:w="4560"/>
          </w:cols>
          <w:pgMar w:left="240" w:top="233"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6" w:lineRule="exact"/>
        <w:rPr>
          <w:sz w:val="24"/>
          <w:szCs w:val="24"/>
          <w:color w:val="auto"/>
        </w:rPr>
      </w:pPr>
    </w:p>
    <w:p>
      <w:pPr>
        <w:ind w:left="4540"/>
        <w:spacing w:after="0"/>
        <w:tabs>
          <w:tab w:leader="none" w:pos="6260" w:val="left"/>
        </w:tabs>
        <w:rPr>
          <w:sz w:val="20"/>
          <w:szCs w:val="20"/>
          <w:color w:val="auto"/>
        </w:rPr>
      </w:pPr>
      <w:r>
        <w:rPr>
          <w:rFonts w:ascii="Arial" w:cs="Arial" w:eastAsia="Arial" w:hAnsi="Arial"/>
          <w:sz w:val="18"/>
          <w:szCs w:val="18"/>
          <w:color w:val="auto"/>
        </w:rPr>
        <w:t>YES [ ]</w:t>
      </w:r>
      <w:r>
        <w:rPr>
          <w:sz w:val="20"/>
          <w:szCs w:val="20"/>
          <w:color w:val="auto"/>
        </w:rPr>
        <w:tab/>
      </w:r>
      <w:r>
        <w:rPr>
          <w:rFonts w:ascii="Arial" w:cs="Arial" w:eastAsia="Arial" w:hAnsi="Arial"/>
          <w:sz w:val="18"/>
          <w:szCs w:val="18"/>
          <w:color w:val="auto"/>
        </w:rPr>
        <w:t>NO [X ]</w:t>
      </w:r>
    </w:p>
    <w:p>
      <w:pPr>
        <w:sectPr>
          <w:pgSz w:w="11900" w:h="16838" w:orient="portrait"/>
          <w:cols w:equalWidth="0" w:num="1">
            <w:col w:w="11420"/>
          </w:cols>
          <w:pgMar w:left="240" w:top="233" w:right="239" w:bottom="1440" w:gutter="0" w:footer="0" w:header="0"/>
          <w:type w:val="continuous"/>
        </w:sectPr>
      </w:pP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The Registrant had 108,084,356 common shares outstanding as of July 25, 2016.</w:t>
      </w:r>
    </w:p>
    <w:p>
      <w:pPr>
        <w:spacing w:after="0" w:line="200" w:lineRule="exact"/>
        <w:rPr>
          <w:sz w:val="24"/>
          <w:szCs w:val="24"/>
          <w:color w:val="auto"/>
        </w:rPr>
      </w:pPr>
    </w:p>
    <w:p>
      <w:pPr>
        <w:spacing w:after="0" w:line="2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840" w:type="dxa"/>
            <w:vAlign w:val="bottom"/>
          </w:tcPr>
          <w:p>
            <w:pPr>
              <w:jc w:val="center"/>
              <w:ind w:left="90"/>
              <w:spacing w:after="0"/>
              <w:rPr>
                <w:sz w:val="20"/>
                <w:szCs w:val="20"/>
                <w:color w:val="auto"/>
              </w:rPr>
            </w:pPr>
            <w:r>
              <w:rPr>
                <w:rFonts w:ascii="Arial" w:cs="Arial" w:eastAsia="Arial" w:hAnsi="Arial"/>
                <w:sz w:val="18"/>
                <w:szCs w:val="18"/>
                <w:color w:val="auto"/>
                <w:w w:val="95"/>
              </w:rPr>
              <w:t>CIVEO CORPORATION</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40" w:type="dxa"/>
            <w:vAlign w:val="bottom"/>
          </w:tcPr>
          <w:p>
            <w:pPr>
              <w:jc w:val="center"/>
              <w:ind w:left="110"/>
              <w:spacing w:after="0"/>
              <w:rPr>
                <w:sz w:val="20"/>
                <w:szCs w:val="20"/>
                <w:color w:val="auto"/>
              </w:rPr>
            </w:pPr>
            <w:r>
              <w:rPr>
                <w:rFonts w:ascii="Arial" w:cs="Arial" w:eastAsia="Arial" w:hAnsi="Arial"/>
                <w:sz w:val="18"/>
                <w:szCs w:val="18"/>
                <w:color w:val="auto"/>
              </w:rPr>
              <w:t>INDEX</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8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b w:val="1"/>
                <w:bCs w:val="1"/>
                <w:color w:val="auto"/>
                <w:w w:val="85"/>
              </w:rPr>
              <w:t>Page No.</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9840" w:type="dxa"/>
            <w:vAlign w:val="bottom"/>
            <w:tcBorders>
              <w:top w:val="single" w:sz="8" w:color="CCEEFF"/>
            </w:tcBorders>
          </w:tcPr>
          <w:p>
            <w:pPr>
              <w:ind w:left="1180"/>
              <w:spacing w:after="0"/>
              <w:rPr>
                <w:sz w:val="20"/>
                <w:szCs w:val="20"/>
                <w:color w:val="auto"/>
              </w:rPr>
            </w:pPr>
            <w:r>
              <w:rPr>
                <w:rFonts w:ascii="Arial" w:cs="Arial" w:eastAsia="Arial" w:hAnsi="Arial"/>
                <w:sz w:val="18"/>
                <w:szCs w:val="18"/>
                <w:color w:val="auto"/>
              </w:rPr>
              <w:t>Part I -- FINANCIAL INFORMATION</w:t>
            </w:r>
          </w:p>
        </w:tc>
        <w:tc>
          <w:tcPr>
            <w:tcW w:w="6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Item 1.</w:t>
            </w:r>
          </w:p>
        </w:tc>
        <w:tc>
          <w:tcPr>
            <w:tcW w:w="9840" w:type="dxa"/>
            <w:vAlign w:val="bottom"/>
          </w:tcPr>
          <w:p>
            <w:pPr>
              <w:ind w:left="60"/>
              <w:spacing w:after="0"/>
              <w:rPr>
                <w:sz w:val="20"/>
                <w:szCs w:val="20"/>
                <w:color w:val="auto"/>
              </w:rPr>
            </w:pPr>
            <w:r>
              <w:rPr>
                <w:rFonts w:ascii="Arial" w:cs="Arial" w:eastAsia="Arial" w:hAnsi="Arial"/>
                <w:sz w:val="18"/>
                <w:szCs w:val="18"/>
                <w:color w:val="auto"/>
              </w:rPr>
              <w:t>Financial Statements:</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40" w:type="dxa"/>
            <w:vAlign w:val="bottom"/>
          </w:tcPr>
          <w:p>
            <w:pPr>
              <w:ind w:left="220"/>
              <w:spacing w:after="0"/>
              <w:rPr>
                <w:sz w:val="20"/>
                <w:szCs w:val="20"/>
                <w:color w:val="auto"/>
              </w:rPr>
            </w:pPr>
            <w:r>
              <w:rPr>
                <w:rFonts w:ascii="Arial" w:cs="Arial" w:eastAsia="Arial" w:hAnsi="Arial"/>
                <w:sz w:val="18"/>
                <w:szCs w:val="18"/>
                <w:color w:val="auto"/>
              </w:rPr>
              <w:t>Consolidated Financial Statements</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8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Unaudited Consolidated Statements of Operations for the Three and Six Month Periods Ended June 30, 2016 and 2015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40" w:type="dxa"/>
            <w:vAlign w:val="bottom"/>
          </w:tcPr>
          <w:p>
            <w:pPr>
              <w:ind w:left="380"/>
              <w:spacing w:after="0" w:line="201" w:lineRule="exact"/>
              <w:rPr>
                <w:sz w:val="20"/>
                <w:szCs w:val="20"/>
                <w:color w:val="auto"/>
              </w:rPr>
            </w:pPr>
            <w:r>
              <w:rPr>
                <w:rFonts w:ascii="Arial" w:cs="Arial" w:eastAsia="Arial" w:hAnsi="Arial"/>
                <w:sz w:val="18"/>
                <w:szCs w:val="18"/>
                <w:color w:val="auto"/>
                <w:w w:val="95"/>
              </w:rPr>
              <w:t>Unaudited Consolidated Statements of Comprehensive Income (Loss) for the Three and Six Month Periods Ended June 30,</w:t>
            </w:r>
          </w:p>
        </w:tc>
        <w:tc>
          <w:tcPr>
            <w:tcW w:w="8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840" w:type="dxa"/>
            <w:vAlign w:val="bottom"/>
          </w:tcPr>
          <w:p>
            <w:pPr>
              <w:ind w:left="540"/>
              <w:spacing w:after="0"/>
              <w:rPr>
                <w:sz w:val="20"/>
                <w:szCs w:val="20"/>
                <w:color w:val="auto"/>
              </w:rPr>
            </w:pPr>
            <w:r>
              <w:rPr>
                <w:rFonts w:ascii="Arial" w:cs="Arial" w:eastAsia="Arial" w:hAnsi="Arial"/>
                <w:sz w:val="18"/>
                <w:szCs w:val="18"/>
                <w:color w:val="auto"/>
              </w:rPr>
              <w:t>2016 and 2015</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8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Consolidated Balance Sheets – June 30, 2016 (unaudited) and December 31, 2015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40" w:type="dxa"/>
            <w:vAlign w:val="bottom"/>
          </w:tcPr>
          <w:p>
            <w:pPr>
              <w:ind w:left="380"/>
              <w:spacing w:after="0"/>
              <w:rPr>
                <w:sz w:val="20"/>
                <w:szCs w:val="20"/>
                <w:color w:val="auto"/>
              </w:rPr>
            </w:pPr>
            <w:r>
              <w:rPr>
                <w:rFonts w:ascii="Arial" w:cs="Arial" w:eastAsia="Arial" w:hAnsi="Arial"/>
                <w:sz w:val="18"/>
                <w:szCs w:val="18"/>
                <w:color w:val="auto"/>
                <w:w w:val="96"/>
              </w:rPr>
              <w:t>Unaudited Consolidated Statements of Changes in Shareholders’ Equity for the Six Months Ended June 30, 2016 and 2015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8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Unaudited Consolidated Statements of Cash Flows for the Six Months Ended June 30, 2016 and 2015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40" w:type="dxa"/>
            <w:vAlign w:val="bottom"/>
          </w:tcPr>
          <w:p>
            <w:pPr>
              <w:ind w:left="220"/>
              <w:spacing w:after="0"/>
              <w:rPr>
                <w:sz w:val="20"/>
                <w:szCs w:val="20"/>
                <w:color w:val="auto"/>
              </w:rPr>
            </w:pPr>
            <w:r>
              <w:rPr>
                <w:rFonts w:ascii="Arial" w:cs="Arial" w:eastAsia="Arial" w:hAnsi="Arial"/>
                <w:sz w:val="18"/>
                <w:szCs w:val="18"/>
                <w:color w:val="auto"/>
              </w:rPr>
              <w:t>Notes to Unaudited Consolidated Financial Statements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520" w:type="dxa"/>
            <w:vAlign w:val="bottom"/>
            <w:gridSpan w:val="2"/>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20" w:type="dxa"/>
            <w:vAlign w:val="bottom"/>
            <w:gridSpan w:val="2"/>
          </w:tcPr>
          <w:p>
            <w:pPr>
              <w:spacing w:after="0"/>
              <w:rPr>
                <w:sz w:val="20"/>
                <w:szCs w:val="20"/>
                <w:color w:val="auto"/>
              </w:rPr>
            </w:pPr>
            <w:r>
              <w:rPr>
                <w:rFonts w:ascii="Arial" w:cs="Arial" w:eastAsia="Arial" w:hAnsi="Arial"/>
                <w:sz w:val="18"/>
                <w:szCs w:val="18"/>
                <w:color w:val="auto"/>
              </w:rPr>
              <w:t>Cautionary Statement Regarding Forward-Looking Statements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Item 2.</w:t>
            </w:r>
          </w:p>
        </w:tc>
        <w:tc>
          <w:tcPr>
            <w:tcW w:w="9840" w:type="dxa"/>
            <w:vAlign w:val="bottom"/>
          </w:tcPr>
          <w:p>
            <w:pPr>
              <w:ind w:left="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18-33</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Item 3.</w:t>
            </w:r>
          </w:p>
        </w:tc>
        <w:tc>
          <w:tcPr>
            <w:tcW w:w="9840" w:type="dxa"/>
            <w:vAlign w:val="bottom"/>
          </w:tcPr>
          <w:p>
            <w:pPr>
              <w:ind w:left="60"/>
              <w:spacing w:after="0"/>
              <w:rPr>
                <w:sz w:val="20"/>
                <w:szCs w:val="20"/>
                <w:color w:val="auto"/>
              </w:rPr>
            </w:pPr>
            <w:r>
              <w:rPr>
                <w:rFonts w:ascii="Arial" w:cs="Arial" w:eastAsia="Arial" w:hAnsi="Arial"/>
                <w:sz w:val="18"/>
                <w:szCs w:val="18"/>
                <w:color w:val="auto"/>
              </w:rPr>
              <w:t>Quantitative and Qualitative Disclosures About Market Risk</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33-34</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Item 4.</w:t>
            </w:r>
          </w:p>
        </w:tc>
        <w:tc>
          <w:tcPr>
            <w:tcW w:w="9840" w:type="dxa"/>
            <w:vAlign w:val="bottom"/>
          </w:tcPr>
          <w:p>
            <w:pPr>
              <w:ind w:left="60"/>
              <w:spacing w:after="0"/>
              <w:rPr>
                <w:sz w:val="20"/>
                <w:szCs w:val="20"/>
                <w:color w:val="auto"/>
              </w:rPr>
            </w:pPr>
            <w:r>
              <w:rPr>
                <w:rFonts w:ascii="Arial" w:cs="Arial" w:eastAsia="Arial" w:hAnsi="Arial"/>
                <w:sz w:val="18"/>
                <w:szCs w:val="18"/>
                <w:color w:val="auto"/>
              </w:rPr>
              <w:t>Controls and Procedures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84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Part II -- OTHER INFORMATION</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9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Legal Proceedings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9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98"/>
              </w:rPr>
              <w:t>Item 1A.</w:t>
            </w:r>
          </w:p>
        </w:tc>
        <w:tc>
          <w:tcPr>
            <w:tcW w:w="9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Risk Factors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9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Unregistered Sales of Equity Securities and Use of Proceeds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9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Exhibits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 Index of Exhibits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36-37</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52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Signature Page</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1"/>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40" w:type="dxa"/>
            <w:vAlign w:val="bottom"/>
          </w:tcPr>
          <w:p>
            <w:pPr>
              <w:jc w:val="center"/>
              <w:ind w:left="90"/>
              <w:spacing w:after="0"/>
              <w:rPr>
                <w:sz w:val="20"/>
                <w:szCs w:val="20"/>
                <w:color w:val="auto"/>
              </w:rPr>
            </w:pPr>
            <w:r>
              <w:rPr>
                <w:rFonts w:ascii="Arial" w:cs="Arial" w:eastAsia="Arial" w:hAnsi="Arial"/>
                <w:sz w:val="18"/>
                <w:szCs w:val="18"/>
                <w:color w:val="auto"/>
                <w:w w:val="99"/>
              </w:rPr>
              <w:t>2</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98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984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4" w:right="1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38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rPr>
              <w:t>Service and other</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100,748</w:t>
            </w:r>
          </w:p>
        </w:tc>
        <w:tc>
          <w:tcPr>
            <w:tcW w:w="120" w:type="dxa"/>
            <w:vAlign w:val="bottom"/>
          </w:tcPr>
          <w:p>
            <w:pPr>
              <w:spacing w:after="0"/>
              <w:rPr>
                <w:sz w:val="18"/>
                <w:szCs w:val="18"/>
                <w:color w:val="auto"/>
              </w:rPr>
            </w:pPr>
          </w:p>
        </w:tc>
        <w:tc>
          <w:tcPr>
            <w:tcW w:w="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128,851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192,515</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296,983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Product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9,556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107,035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143,147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202,071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314,134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rPr>
              <w:t>Service and other costs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58,599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77,010</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119,976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176,849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Product costs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12,414</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10,553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15,295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18,419</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28,412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35,105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 expense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33,168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42,541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66,723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rPr>
              <w:t>Impairment expense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9,473</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8,400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operating expense (income)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113,049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157,284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234,282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323,395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(14,137)</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to third-parties, net of capitalized interest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(6,248)</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(10,869)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(302)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566</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(19,132)</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Income tax benefit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5,863</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5,520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4,706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(13,269)</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rPr>
              <w:t>Less: Net income attributable to noncontrolling interest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192</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Civeo Corporation</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(13,461)</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(38,308)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9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b w:val="1"/>
                <w:bCs w:val="1"/>
                <w:color w:val="auto"/>
              </w:rPr>
              <w:t>Per Share Data (see Note 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w w:val="92"/>
              </w:rPr>
              <w:t>Basic net loss per share attributable to Civeo Corporation common shareholders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(0.11)</w:t>
            </w:r>
          </w:p>
        </w:tc>
        <w:tc>
          <w:tcPr>
            <w:tcW w:w="4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w:t>
            </w: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w w:val="91"/>
              </w:rPr>
              <w:t>Diluted net loss per share attributable to Civeo Corporation common shareholders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(0.11)</w:t>
            </w:r>
          </w:p>
        </w:tc>
        <w:tc>
          <w:tcPr>
            <w:tcW w:w="4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w:t>
            </w: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107,033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106,626</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106,923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106,543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106,626</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106,923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106,543</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38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(11,354)</w:t>
            </w:r>
          </w:p>
        </w:tc>
        <w:tc>
          <w:tcPr>
            <w:tcW w:w="4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(13,269)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(38,028)</w:t>
            </w: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(13,039)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20" w:type="dxa"/>
            <w:vAlign w:val="bottom"/>
          </w:tcPr>
          <w:p>
            <w:pPr>
              <w:ind w:left="320"/>
              <w:spacing w:after="0" w:line="201" w:lineRule="exact"/>
              <w:rPr>
                <w:sz w:val="20"/>
                <w:szCs w:val="20"/>
                <w:color w:val="auto"/>
              </w:rPr>
            </w:pPr>
            <w:r>
              <w:rPr>
                <w:rFonts w:ascii="Arial" w:cs="Arial" w:eastAsia="Arial" w:hAnsi="Arial"/>
                <w:sz w:val="18"/>
                <w:szCs w:val="18"/>
                <w:color w:val="auto"/>
                <w:w w:val="93"/>
              </w:rPr>
              <w:t>Foreign currency translation adjustment, net of taxes of zero, ($0.4) million,</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(12,487)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18,301</w:t>
            </w:r>
          </w:p>
        </w:tc>
        <w:tc>
          <w:tcPr>
            <w:tcW w:w="220" w:type="dxa"/>
            <w:vAlign w:val="bottom"/>
          </w:tcPr>
          <w:p>
            <w:pPr>
              <w:spacing w:after="0"/>
              <w:rPr>
                <w:sz w:val="17"/>
                <w:szCs w:val="17"/>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16,912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(92,723)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20" w:type="dxa"/>
            <w:vAlign w:val="bottom"/>
          </w:tcPr>
          <w:p>
            <w:pPr>
              <w:ind w:left="480"/>
              <w:spacing w:after="0"/>
              <w:rPr>
                <w:sz w:val="20"/>
                <w:szCs w:val="20"/>
                <w:color w:val="auto"/>
              </w:rPr>
            </w:pPr>
            <w:r>
              <w:rPr>
                <w:rFonts w:ascii="Arial" w:cs="Arial" w:eastAsia="Arial" w:hAnsi="Arial"/>
                <w:sz w:val="18"/>
                <w:szCs w:val="18"/>
                <w:color w:val="auto"/>
              </w:rPr>
              <w:t>zero and $1.9 million, respectively</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comprehensive income (loss)</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18,301</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(92,723)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(23,841)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5,032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(21,116)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Comprehensive income attributable to noncontrolling interest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(252)</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(320)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(loss) attributable to Civeo Corporation.</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(21,436)</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(106,074)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60" w:type="dxa"/>
            <w:vAlign w:val="bottom"/>
          </w:tcPr>
          <w:p>
            <w:pPr>
              <w:jc w:val="center"/>
              <w:ind w:left="3350"/>
              <w:spacing w:after="0"/>
              <w:rPr>
                <w:sz w:val="20"/>
                <w:szCs w:val="20"/>
                <w:color w:val="auto"/>
              </w:rPr>
            </w:pPr>
            <w:r>
              <w:rPr>
                <w:rFonts w:ascii="Arial" w:cs="Arial" w:eastAsia="Arial" w:hAnsi="Arial"/>
                <w:sz w:val="18"/>
                <w:szCs w:val="18"/>
                <w:b w:val="1"/>
                <w:bCs w:val="1"/>
                <w:color w:val="auto"/>
              </w:rPr>
              <w:t>CIVEO CORPORATION</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960" w:type="dxa"/>
            <w:vAlign w:val="bottom"/>
          </w:tcPr>
          <w:p>
            <w:pPr>
              <w:jc w:val="center"/>
              <w:ind w:left="3350"/>
              <w:spacing w:after="0"/>
              <w:rPr>
                <w:sz w:val="20"/>
                <w:szCs w:val="20"/>
                <w:color w:val="auto"/>
              </w:rPr>
            </w:pPr>
            <w:r>
              <w:rPr>
                <w:rFonts w:ascii="Arial" w:cs="Arial" w:eastAsia="Arial" w:hAnsi="Arial"/>
                <w:sz w:val="18"/>
                <w:szCs w:val="18"/>
                <w:b w:val="1"/>
                <w:bCs w:val="1"/>
                <w:color w:val="auto"/>
                <w:w w:val="99"/>
              </w:rPr>
              <w:t>CONSOLIDATED BALANCE SHEETS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60" w:type="dxa"/>
            <w:vAlign w:val="bottom"/>
          </w:tcPr>
          <w:p>
            <w:pPr>
              <w:jc w:val="center"/>
              <w:ind w:left="3330"/>
              <w:spacing w:after="0"/>
              <w:rPr>
                <w:sz w:val="20"/>
                <w:szCs w:val="20"/>
                <w:color w:val="auto"/>
              </w:rPr>
            </w:pPr>
            <w:r>
              <w:rPr>
                <w:rFonts w:ascii="Arial" w:cs="Arial" w:eastAsia="Arial" w:hAnsi="Arial"/>
                <w:sz w:val="18"/>
                <w:szCs w:val="18"/>
                <w:b w:val="1"/>
                <w:bCs w:val="1"/>
                <w:color w:val="auto"/>
                <w:w w:val="91"/>
              </w:rPr>
              <w:t>(In Thousands)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4"/>
              </w:rPr>
              <w:t>JUNE 30, 2016</w:t>
            </w:r>
          </w:p>
        </w:tc>
        <w:tc>
          <w:tcPr>
            <w:tcW w:w="80" w:type="dxa"/>
            <w:vAlign w:val="bottom"/>
          </w:tcPr>
          <w:p>
            <w:pPr>
              <w:spacing w:after="0"/>
              <w:rPr>
                <w:sz w:val="24"/>
                <w:szCs w:val="24"/>
                <w:color w:val="auto"/>
              </w:rPr>
            </w:pPr>
          </w:p>
        </w:tc>
        <w:tc>
          <w:tcPr>
            <w:tcW w:w="15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(Unaudited)</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ind w:left="366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2,255</w:t>
            </w:r>
          </w:p>
        </w:tc>
        <w:tc>
          <w:tcPr>
            <w:tcW w:w="140" w:type="dxa"/>
            <w:vAlign w:val="bottom"/>
          </w:tcPr>
          <w:p>
            <w:pPr>
              <w:spacing w:after="0"/>
              <w:rPr>
                <w:sz w:val="18"/>
                <w:szCs w:val="18"/>
                <w:color w:val="auto"/>
              </w:rPr>
            </w:pPr>
          </w:p>
        </w:tc>
        <w:tc>
          <w:tcPr>
            <w:tcW w:w="400" w:type="dxa"/>
            <w:vAlign w:val="bottom"/>
            <w:gridSpan w:val="2"/>
          </w:tcPr>
          <w:p>
            <w:pPr>
              <w:jc w:val="right"/>
              <w:ind w:right="15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72,404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906,322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32,359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35,309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1,051,530</w:t>
            </w:r>
          </w:p>
        </w:tc>
        <w:tc>
          <w:tcPr>
            <w:tcW w:w="140" w:type="dxa"/>
            <w:vAlign w:val="bottom"/>
          </w:tcPr>
          <w:p>
            <w:pPr>
              <w:spacing w:after="0"/>
              <w:rPr>
                <w:sz w:val="18"/>
                <w:szCs w:val="18"/>
                <w:color w:val="auto"/>
              </w:rPr>
            </w:pPr>
          </w:p>
        </w:tc>
        <w:tc>
          <w:tcPr>
            <w:tcW w:w="400" w:type="dxa"/>
            <w:vAlign w:val="bottom"/>
            <w:gridSpan w:val="2"/>
          </w:tcPr>
          <w:p>
            <w:pPr>
              <w:jc w:val="right"/>
              <w:ind w:right="15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1,066,529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2140"/>
              <w:spacing w:after="0"/>
              <w:rPr>
                <w:sz w:val="20"/>
                <w:szCs w:val="20"/>
                <w:color w:val="auto"/>
              </w:rPr>
            </w:pPr>
            <w:r>
              <w:rPr>
                <w:rFonts w:ascii="Arial" w:cs="Arial" w:eastAsia="Arial" w:hAnsi="Arial"/>
                <w:sz w:val="18"/>
                <w:szCs w:val="18"/>
                <w:color w:val="auto"/>
              </w:rPr>
              <w:t>LIABILITIES AND SHAREHOLDERS’ EQUITY</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33,236</w:t>
            </w:r>
          </w:p>
        </w:tc>
        <w:tc>
          <w:tcPr>
            <w:tcW w:w="400" w:type="dxa"/>
            <w:vAlign w:val="bottom"/>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12,475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15,934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14,053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Other current liabilities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maturities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22,270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32,375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505,864</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502,759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Commitments and contingencies (Note 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89"/>
              </w:rPr>
              <w:t>Common shares (no par value; 550,000,000 shares authorized, 108,152,637 shares and 107,470,861 shares</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issued, respectively, and 108,084,356 shares and 107,470,861 shares outstanding, respectively)</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1,309,007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1,305,930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(414,684)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Common shares held in treasury at cost, 68,281 and zero shares, respectively</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(349,437)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(366,309)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Civeo Corporation shareholders’ equity</w:t>
            </w: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544,821</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563,245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Total shareholders’ equity</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545,666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563,770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1,051,530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1,066,529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CONSOLIDATED STATEMENTS OF</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CHANGES IN SHAREHOLDERS’ EQUITY</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7"/>
          </w:tcPr>
          <w:p>
            <w:pPr>
              <w:ind w:left="40"/>
              <w:spacing w:after="0"/>
              <w:rPr>
                <w:sz w:val="20"/>
                <w:szCs w:val="20"/>
                <w:color w:val="auto"/>
              </w:rPr>
            </w:pPr>
            <w:r>
              <w:rPr>
                <w:rFonts w:ascii="Arial" w:cs="Arial" w:eastAsia="Arial" w:hAnsi="Arial"/>
                <w:sz w:val="18"/>
                <w:szCs w:val="18"/>
                <w:b w:val="1"/>
                <w:bCs w:val="1"/>
                <w:color w:val="auto"/>
              </w:rPr>
              <w:t>Attributable to Civeo</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6"/>
              </w:rPr>
              <w:t>Common Shares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vMerge w:val="restart"/>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Additional</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Total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b w:val="1"/>
                <w:bCs w:val="1"/>
                <w:color w:val="auto"/>
                <w:w w:val="96"/>
              </w:rPr>
              <w:t>Paid-in</w:t>
            </w:r>
          </w:p>
        </w:tc>
        <w:tc>
          <w:tcPr>
            <w:tcW w:w="1400" w:type="dxa"/>
            <w:vAlign w:val="bottom"/>
            <w:gridSpan w:val="4"/>
          </w:tcPr>
          <w:p>
            <w:pPr>
              <w:ind w:left="180"/>
              <w:spacing w:after="0"/>
              <w:rPr>
                <w:sz w:val="20"/>
                <w:szCs w:val="20"/>
                <w:color w:val="auto"/>
              </w:rPr>
            </w:pPr>
            <w:r>
              <w:rPr>
                <w:rFonts w:ascii="Arial" w:cs="Arial" w:eastAsia="Arial" w:hAnsi="Arial"/>
                <w:sz w:val="18"/>
                <w:szCs w:val="18"/>
                <w:b w:val="1"/>
                <w:bCs w:val="1"/>
                <w:color w:val="auto"/>
              </w:rPr>
              <w:t>Accumulated</w:t>
            </w: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9"/>
              </w:rPr>
              <w:t>Treasury</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96"/>
              </w:rPr>
              <w:t>Comprehensive</w:t>
            </w:r>
          </w:p>
        </w:tc>
        <w:tc>
          <w:tcPr>
            <w:tcW w:w="1380" w:type="dxa"/>
            <w:vAlign w:val="bottom"/>
            <w:gridSpan w:val="4"/>
          </w:tcPr>
          <w:p>
            <w:pPr>
              <w:ind w:left="80"/>
              <w:spacing w:after="0"/>
              <w:rPr>
                <w:sz w:val="20"/>
                <w:szCs w:val="20"/>
                <w:color w:val="auto"/>
              </w:rPr>
            </w:pPr>
            <w:r>
              <w:rPr>
                <w:rFonts w:ascii="Arial" w:cs="Arial" w:eastAsia="Arial" w:hAnsi="Arial"/>
                <w:sz w:val="18"/>
                <w:szCs w:val="18"/>
                <w:b w:val="1"/>
                <w:bCs w:val="1"/>
                <w:color w:val="auto"/>
                <w:w w:val="99"/>
              </w:rPr>
              <w:t>Noncontrolling</w:t>
            </w:r>
          </w:p>
        </w:tc>
        <w:tc>
          <w:tcPr>
            <w:tcW w:w="80" w:type="dxa"/>
            <w:vAlign w:val="bottom"/>
          </w:tcPr>
          <w:p>
            <w:pPr>
              <w:spacing w:after="0"/>
              <w:rPr>
                <w:sz w:val="18"/>
                <w:szCs w:val="18"/>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Shareholders’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Par Value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Capital</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6"/>
              </w:rPr>
              <w:t>Shares</w:t>
            </w:r>
          </w:p>
        </w:tc>
        <w:tc>
          <w:tcPr>
            <w:tcW w:w="220" w:type="dxa"/>
            <w:vAlign w:val="bottom"/>
          </w:tcPr>
          <w:p>
            <w:pPr>
              <w:spacing w:after="0"/>
              <w:rPr>
                <w:sz w:val="20"/>
                <w:szCs w:val="20"/>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Interest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2014</w:t>
            </w: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b w:val="1"/>
                <w:bCs w:val="1"/>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1,300,042</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(244,617)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(198,491)</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2,108</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860,109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(13,477)</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438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(13,039)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(92,597)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(92,723)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Dividends paid.</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(1,690)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b w:val="1"/>
                <w:bCs w:val="1"/>
                <w:color w:val="auto"/>
              </w:rPr>
              <w:t>Balance, June 30, 2015</w:t>
            </w:r>
          </w:p>
        </w:tc>
        <w:tc>
          <w:tcPr>
            <w:tcW w:w="200" w:type="dxa"/>
            <w:vAlign w:val="bottom"/>
          </w:tcPr>
          <w:p>
            <w:pPr>
              <w:jc w:val="right"/>
              <w:ind w:right="42"/>
              <w:spacing w:after="0"/>
              <w:rPr>
                <w:sz w:val="20"/>
                <w:szCs w:val="20"/>
                <w:color w:val="auto"/>
              </w:rPr>
            </w:pPr>
            <w:r>
              <w:rPr>
                <w:rFonts w:ascii="Arial" w:cs="Arial" w:eastAsia="Arial" w:hAnsi="Arial"/>
                <w:sz w:val="15"/>
                <w:szCs w:val="15"/>
                <w:b w:val="1"/>
                <w:bCs w:val="1"/>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1,075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2"/>
              </w:rPr>
              <w:t>1,302,864</w:t>
            </w:r>
          </w:p>
        </w:tc>
        <w:tc>
          <w:tcPr>
            <w:tcW w:w="36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(258,094)</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(146)</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(291,088)</w:t>
            </w:r>
          </w:p>
        </w:tc>
        <w:tc>
          <w:tcPr>
            <w:tcW w:w="28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730</w:t>
            </w:r>
          </w:p>
        </w:tc>
        <w:tc>
          <w:tcPr>
            <w:tcW w:w="260" w:type="dxa"/>
            <w:vAlign w:val="bottom"/>
            <w:gridSpan w:val="2"/>
          </w:tcPr>
          <w:p>
            <w:pPr>
              <w:jc w:val="right"/>
              <w:ind w:right="17"/>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755,341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360" w:type="dxa"/>
            <w:vAlign w:val="bottom"/>
            <w:gridSpan w:val="2"/>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spacing w:after="0"/>
              <w:rPr>
                <w:sz w:val="17"/>
                <w:szCs w:val="17"/>
                <w:color w:val="auto"/>
              </w:rPr>
            </w:pPr>
          </w:p>
        </w:tc>
        <w:tc>
          <w:tcPr>
            <w:tcW w:w="280" w:type="dxa"/>
            <w:vAlign w:val="bottom"/>
            <w:gridSpan w:val="2"/>
            <w:shd w:val="clear" w:color="auto" w:fill="CCEEFF"/>
          </w:tcPr>
          <w:p>
            <w:pPr>
              <w:spacing w:after="0"/>
              <w:rPr>
                <w:sz w:val="17"/>
                <w:szCs w:val="17"/>
                <w:color w:val="auto"/>
              </w:rPr>
            </w:pPr>
          </w:p>
        </w:tc>
        <w:tc>
          <w:tcPr>
            <w:tcW w:w="1100" w:type="dxa"/>
            <w:vAlign w:val="bottom"/>
            <w:gridSpan w:val="2"/>
            <w:shd w:val="clear" w:color="auto" w:fill="CCEEFF"/>
          </w:tcPr>
          <w:p>
            <w:pPr>
              <w:spacing w:after="0"/>
              <w:rPr>
                <w:sz w:val="17"/>
                <w:szCs w:val="17"/>
                <w:color w:val="auto"/>
              </w:rPr>
            </w:pPr>
          </w:p>
        </w:tc>
        <w:tc>
          <w:tcPr>
            <w:tcW w:w="260" w:type="dxa"/>
            <w:vAlign w:val="bottom"/>
            <w:gridSpan w:val="2"/>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2015</w:t>
            </w: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b w:val="1"/>
                <w:bCs w:val="1"/>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1,305,930</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(376,376)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(366,309)</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525</w:t>
            </w:r>
          </w:p>
        </w:tc>
        <w:tc>
          <w:tcPr>
            <w:tcW w:w="26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563,770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(38,308)</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280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(38,028)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16,872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3,077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June 30, 2016</w:t>
            </w:r>
          </w:p>
        </w:tc>
        <w:tc>
          <w:tcPr>
            <w:tcW w:w="20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1,309,007</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(414,684</w:t>
            </w:r>
          </w:p>
        </w:tc>
        <w:tc>
          <w:tcPr>
            <w:tcW w:w="20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(349,437)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545,666</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6"/>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31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29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0" w:type="dxa"/>
            <w:vAlign w:val="bottom"/>
            <w:tcBorders>
              <w:right w:val="single" w:sz="8" w:color="808080"/>
            </w:tcBorders>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Net loss</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(38,028)</w:t>
            </w:r>
          </w:p>
        </w:tc>
        <w:tc>
          <w:tcPr>
            <w:tcW w:w="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(13,039)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66,723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84,987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Impairment charges</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Arial" w:cs="Arial" w:eastAsia="Arial" w:hAnsi="Arial"/>
                <w:sz w:val="18"/>
                <w:szCs w:val="18"/>
                <w:color w:val="auto"/>
              </w:rPr>
              <w:t>Inventory write-down</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extinguishment of debt</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Arial" w:cs="Arial" w:eastAsia="Arial" w:hAnsi="Arial"/>
                <w:sz w:val="18"/>
                <w:szCs w:val="18"/>
                <w:color w:val="auto"/>
              </w:rPr>
              <w:t>Deferred income tax benefit</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(8,026)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Non-cash compensation charge</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Arial" w:cs="Arial" w:eastAsia="Arial" w:hAnsi="Arial"/>
                <w:sz w:val="18"/>
                <w:szCs w:val="18"/>
                <w:color w:val="auto"/>
              </w:rPr>
              <w:t>(Gains) losses on disposals of assets</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loss on receivables</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Arial" w:cs="Arial" w:eastAsia="Arial" w:hAnsi="Arial"/>
                <w:sz w:val="18"/>
                <w:szCs w:val="18"/>
                <w:color w:val="auto"/>
              </w:rPr>
              <w:t>Other, net</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(6,140)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38,761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80"/>
              <w:spacing w:after="0"/>
              <w:rPr>
                <w:sz w:val="20"/>
                <w:szCs w:val="20"/>
                <w:color w:val="auto"/>
              </w:rPr>
            </w:pPr>
            <w:r>
              <w:rPr>
                <w:rFonts w:ascii="Arial" w:cs="Arial" w:eastAsia="Arial" w:hAnsi="Arial"/>
                <w:sz w:val="18"/>
                <w:szCs w:val="18"/>
                <w:color w:val="auto"/>
              </w:rPr>
              <w:t>Accounts payable and accrued liabilities</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(14,561)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Taxes payable</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80"/>
              <w:spacing w:after="0"/>
              <w:rPr>
                <w:sz w:val="20"/>
                <w:szCs w:val="20"/>
                <w:color w:val="auto"/>
              </w:rPr>
            </w:pPr>
            <w:r>
              <w:rPr>
                <w:rFonts w:ascii="Arial" w:cs="Arial" w:eastAsia="Arial" w:hAnsi="Arial"/>
                <w:sz w:val="18"/>
                <w:szCs w:val="18"/>
                <w:color w:val="auto"/>
              </w:rPr>
              <w:t>Other current assets and liabilities, net</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(8,223)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provided by operating activities</w:t>
            </w:r>
          </w:p>
        </w:tc>
        <w:tc>
          <w:tcPr>
            <w:tcW w:w="12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35,128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Arial" w:cs="Arial" w:eastAsia="Arial" w:hAnsi="Arial"/>
                <w:sz w:val="18"/>
                <w:szCs w:val="18"/>
                <w:color w:val="auto"/>
              </w:rPr>
              <w:t>Capital expenditures, including capitalized interest</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(9,893)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(24,102)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disposition of property, plant and equipment</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Arial" w:cs="Arial" w:eastAsia="Arial" w:hAnsi="Arial"/>
                <w:sz w:val="18"/>
                <w:szCs w:val="18"/>
                <w:color w:val="auto"/>
              </w:rPr>
              <w:t>Other, net</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(1,542)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flows used in investing activities</w:t>
            </w:r>
          </w:p>
        </w:tc>
        <w:tc>
          <w:tcPr>
            <w:tcW w:w="12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Arial" w:cs="Arial" w:eastAsia="Arial" w:hAnsi="Arial"/>
                <w:sz w:val="18"/>
                <w:szCs w:val="18"/>
                <w:color w:val="auto"/>
              </w:rPr>
              <w:t>Proceeds from issuance of common stock</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Revolving credit borrowings</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168,431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Arial" w:cs="Arial" w:eastAsia="Arial" w:hAnsi="Arial"/>
                <w:sz w:val="18"/>
                <w:szCs w:val="18"/>
                <w:color w:val="auto"/>
              </w:rPr>
              <w:t>Revolving credit repayments</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(163,676)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Term loan repayments</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(33,097)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Arial" w:cs="Arial" w:eastAsia="Arial" w:hAnsi="Arial"/>
                <w:sz w:val="18"/>
                <w:szCs w:val="18"/>
                <w:color w:val="auto"/>
              </w:rPr>
              <w:t>Debt issuance costs</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flows provided by (used in) financing activities</w:t>
            </w:r>
          </w:p>
        </w:tc>
        <w:tc>
          <w:tcPr>
            <w:tcW w:w="12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(20,677)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4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(5,582)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51,855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2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263,314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1600" w:type="dxa"/>
            <w:vAlign w:val="bottom"/>
            <w:gridSpan w:val="2"/>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26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12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STATEMENTS</w:t>
      </w:r>
    </w:p>
    <w:p>
      <w:pPr>
        <w:spacing w:after="0" w:line="207"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are one of the largest integrated providers of workforce accommodations, logistics and facility management services to the natural resource industry. Our scalable modular facilities provide long-term and temporary accommodations where traditional accommodations and related infrastructure is insufficient, inaccessible or not cost effective. Once facilities are deployed in the field, we also provide catering and food services, housekeeping, laundry, facility management, water and wastewater treatment, power generation, communications and redeployment logistics. Our accommodations support our customers’ employees and contractors in the Canadian oil sands and in a variety of oil and natural gas drilling, mining and related natural resource applications as well as disaster relief efforts, primarily in Canada, Australia and the United States. We operate in three principal reportable business segments – Canadian, Australian and U.S.</w:t>
      </w:r>
    </w:p>
    <w:p>
      <w:pPr>
        <w:spacing w:after="0" w:line="189"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On May 30, 2014, Oil States International, Inc. (Oil States) spun-off its Accommodations Segment (Accommodations) into a standalone, publicly traded Delaware corporation (Civeo US). In accordance with the Separation and Distribution Agreement, the two companies were separated by Oil States distributing to its stockholders all 106,538,044 shares of common stock of Civeo US it held after the market closed on May 30, 2014 (the Spin-Off).</w:t>
      </w:r>
    </w:p>
    <w:p>
      <w:pPr>
        <w:spacing w:after="0" w:line="147" w:lineRule="exact"/>
        <w:rPr>
          <w:sz w:val="20"/>
          <w:szCs w:val="20"/>
          <w:color w:val="auto"/>
        </w:rPr>
      </w:pPr>
    </w:p>
    <w:p>
      <w:pPr>
        <w:ind w:right="160" w:firstLine="324"/>
        <w:spacing w:after="0" w:line="289" w:lineRule="auto"/>
        <w:rPr>
          <w:sz w:val="20"/>
          <w:szCs w:val="20"/>
          <w:color w:val="auto"/>
        </w:rPr>
      </w:pPr>
      <w:r>
        <w:rPr>
          <w:rFonts w:ascii="Arial" w:cs="Arial" w:eastAsia="Arial" w:hAnsi="Arial"/>
          <w:sz w:val="16"/>
          <w:szCs w:val="16"/>
          <w:color w:val="auto"/>
        </w:rPr>
        <w:t>On July 17, 2015, we changed our place of incorporation, pursuant to which Civeo Corporation, a British Columbia, Canada limited company formerly named Civeo Canadian Holdings ULC (Civeo Canada), became the publicly traded parent company of the Civeo group of companies (the Redomicile Transaction). The Redomicile Transaction was effected pursuant to an Agreement and Plan of Merger, dated as of April 6, 2015, between Civeo US, Civeo US Merger Co, a Delaware corporation and wholly owned subsidiary of Civeo Canada (US Merger Co), and Civeo Canada. At the effective time of the merger, (i) US Merger Co was merged with Civeo US, with Civeo US surviving the merger as a wholly owned subsidiary of Civeo Canada, and (ii) each issued share of Civeo US common stock, other than those shares of Civeo US common stock held by Civeo US in treasury, was effectively transferred to Civeo Canada and converted into one common share, no par value, of Civeo Canada. An aggregate of approximately 107.5 million Civeo Canada common shares were issued at the effective time as merger consideration. The Civeo Canada common shares are listed on the NYSE under the symbol “CVEO,” the same symbol under which the Civeo US common stock traded prior to the effective time.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Unless otherwise stated or the context otherwise indicates, all references in these consolidated financial statements to “Civeo,” “the Company,” “us,” “our” or “we” for the time periods prior to July 17, 2015 refer to Civeo US and its consolidated subsidiaries. For time periods after July 17, 2015, these terms refer to Civeo Canada and its consolidated subsidiaries.</w:t>
      </w:r>
    </w:p>
    <w:p>
      <w:pPr>
        <w:spacing w:after="0" w:line="181" w:lineRule="exact"/>
        <w:rPr>
          <w:sz w:val="20"/>
          <w:szCs w:val="20"/>
          <w:color w:val="auto"/>
        </w:rPr>
      </w:pPr>
    </w:p>
    <w:p>
      <w:pPr>
        <w:ind w:right="200" w:firstLine="324"/>
        <w:spacing w:after="0" w:line="291" w:lineRule="auto"/>
        <w:rPr>
          <w:sz w:val="20"/>
          <w:szCs w:val="20"/>
          <w:color w:val="auto"/>
        </w:rPr>
      </w:pPr>
      <w:r>
        <w:rPr>
          <w:rFonts w:ascii="Arial" w:cs="Arial" w:eastAsia="Arial" w:hAnsi="Arial"/>
          <w:sz w:val="16"/>
          <w:szCs w:val="16"/>
          <w:color w:val="auto"/>
        </w:rPr>
        <w:t>The accompanying unaudited consolidated financial statements of Civeo have been prepared pursuant to the rules and regulations of the Securities and Exchange Commission (SEC) pertaining to interim financial information. Certain information in footnote disclosures normally included in financial statements prepared in accordance with Generally Accepted Accounting Principles (GAAP) has been condensed or omitted pursuant to these rules and regulations. The unaudited financial statements included in this report reflect all the adjustments, consisting of normal recurring adjustments, which the Company considers necessary for a fair presentation of the results of operations for the interim periods covered and for the financial condition of the Company at the date of the interim balance sheet. Results for the interim periods are not necessarily indicative of results for the full year. Certain reclassifications have been made to the December 31, 2015 consolidated balance sheet to conform to current year presentation.</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8" w:name="page9"/>
    <w:bookmarkEnd w:id="8"/>
    <w:p>
      <w:pPr>
        <w:jc w:val="center"/>
        <w:ind w:right="-7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ind w:right="420" w:firstLine="324"/>
        <w:spacing w:after="0" w:line="257" w:lineRule="auto"/>
        <w:rPr>
          <w:sz w:val="20"/>
          <w:szCs w:val="20"/>
          <w:color w:val="auto"/>
        </w:rPr>
      </w:pPr>
      <w:r>
        <w:rPr>
          <w:rFonts w:ascii="Arial" w:cs="Arial" w:eastAsia="Arial" w:hAnsi="Arial"/>
          <w:sz w:val="18"/>
          <w:szCs w:val="18"/>
          <w:color w:val="auto"/>
        </w:rPr>
        <w:t>The preparation of consolidated financial statements in conformity with GAAP requires the use of estimates and assumptions by management in determining the reported amounts of assets and liabilities and disclosures of contingent assets and liabilities at the date of the consolidated financial statements and the reported amounts of revenues and expenses during the reporting period. If the underlying estimates and assumptions upon which the financial statements are based change in future periods, actual amounts may differ from those included in the accompanying consolidated financial statements.</w:t>
      </w:r>
    </w:p>
    <w:p>
      <w:pPr>
        <w:spacing w:after="0" w:line="188"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financial statements included in this report should be read in conjunction with our audited financial statements and accompanying notes included in our Annual Report on Form 10-K for the year ended December 31, 2015.</w:t>
      </w:r>
    </w:p>
    <w:p>
      <w:pPr>
        <w:spacing w:after="0" w:line="166"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(the FASB), which are adopted by us as of the specified effective date. Unless otherwise discussed, management believes that the impact of recently issued standards, which are not yet effective, will not have a material impact on our consolidated financial statements upon adoption.</w:t>
      </w:r>
    </w:p>
    <w:p>
      <w:pPr>
        <w:spacing w:after="0" w:line="18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 June 2016, the FASB issued Accounting Standards Update (ASU) 2016-13, “Financial Instruments – Credit Losses” (ASU 2016-13). This new standard changes how companies will measure credit losses for most financial assets and certain other instruments that are not measured at fair value through net income. ASU 2016-13 is effective for financial statements issued for reporting periods beginning after December 15, 2019 and interim periods within the reporting periods. We are currently evaluating the impact of this new standard on our consolidated financial statements.</w:t>
      </w:r>
    </w:p>
    <w:p>
      <w:pPr>
        <w:spacing w:after="0" w:line="17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 March 2016, the FASB issued ASU 2016-09, “Improvements to Employee Share-Based Payment Accounting” (ASU 2016-09). This new standard requires companies to recognize the income tax effects of awards in the income statement when the awards vest or are settled. ASU 2016-09 is effective for financial statements issued for reporting periods beginning after December 15, 2016 and interim periods within the reporting periods. We are currently evaluating the impact of this new standard on our consolidated financial statements.</w:t>
      </w:r>
    </w:p>
    <w:p>
      <w:pPr>
        <w:spacing w:after="0" w:line="187"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In February 2016, the FASB issued ASU 2016-02, “Leases” (Topic 842), which replaces the existing guidance for lease accounting, Leases (Topic 840). ASU 2016-02 requires lessees to recognize a lease liability and a right-of-use asset for all leases with terms longer than 12 months. The guidance is effective for financial statements issued for reporting periods beginning after December 15, 2018 and interim periods within the reporting periods. An entity will be required to recognize and measure leases at the beginning of the earliest period presented using a modified retrospective approach. We are currently evaluating the impact of this new standard on our consolidated financial statements.</w:t>
      </w:r>
    </w:p>
    <w:p>
      <w:pPr>
        <w:spacing w:after="0" w:line="173"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In April 2015, the FASB issued ASU 2015-03 “Interest - Imputation of Interest: Simplifying the Presentation of Debt Issuance Costs” (ASU 2015-03). ASU 2015-03 simplifies the presentation of debt issuance costs by requiring that such costs be presented as a deduction from the corresponding debt liability. Effective with our quarterly report on Form 10-Q for the quarter ended March 31, 2016, we have adopted the provisions of ASU 2015-03. At December 31, 2015, as a result of our adoption of ASU 2015-03, we reclassified $4.7 million of debt issuance costs to reduce our recognized debt liabilities from other current assets ($1.3 million) and other non-current assets ($3.4 million) on the accompanying unaudited consolidated balance sheet. A portion of our debt issuance costs relate to revolving lines of credit and will accordingly continue to be included in “Other current assets” or “Other non-current assets”.</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(Continued)</w:t>
      </w:r>
    </w:p>
    <w:p>
      <w:pPr>
        <w:spacing w:after="0" w:line="26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May 2014, the FASB issued ASU 2014-09 establishing Accounting Standards Codification (ASC) Topic 606, “Revenue from Contracts with Customers” (ASC 606). ASC 606 establishes a comprehensive new revenue recognition model designed to depict the transfer of goods or services to a customer in an amount that reflects the consideration the entity expects to be entitled to receive in exchange for those goods or services and requires significantly enhanced revenue disclosures. The standard is effective for annual reporting periods beginning after December 15, 2017. Accordingly, we plan to adopt this standard in the first quarter of 2018. ASC 606 allows either full retrospective or modified retrospective transition, and early adoption is not permitted. We continue to evaluate both the impact of this new standard on our consolidated financial statements and the transition method we will utilize for adoption.</w:t>
      </w:r>
    </w:p>
    <w:p>
      <w:pPr>
        <w:spacing w:after="0" w:line="185"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Our financial instruments consist of cash and cash equivalents, receivables, payables and debt instruments. We believe that the carrying values of these instruments on the accompanying consolidated balance sheets approximate their fair values.</w:t>
      </w:r>
    </w:p>
    <w:p>
      <w:pPr>
        <w:spacing w:after="0" w:line="170"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As of June 30, 2016 and December 31, 2015, we believe the carrying value of our floating-rate debt outstanding under our term loans and revolving credit facilities approximates their fair values because their terms include short-term interest rates and exclude penalties for prepayment. We estimated the fair value of our floating-rate term loan and revolving credit facilities using significant other observable inputs, representative of a Level 2 fair value measurement, including terms and credit spreads for these loans.</w:t>
      </w:r>
    </w:p>
    <w:p>
      <w:pPr>
        <w:spacing w:after="0" w:line="187"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During the first quarter of 2016 and the first and second quarters of 2015, we wrote down certain long-lived assets to their fair values. Our estimate of fair value required us to use significant unobservable inputs, representative of Level 3 fair value measurements, including numerous assumptions with respect to future circumstances, such as future oil, coal and natural gas prices, anticipated spending by our customers, the cost of capital and industry and/or local market conditions that might directly impact each of the asset groups’ operations in the future and are therefore uncertain.</w:t>
      </w:r>
    </w:p>
    <w:p>
      <w:pPr>
        <w:spacing w:after="0" w:line="16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DETAILS OF SELECTED BALANCE SHEET ACCOUNTS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7"/>
          <w:szCs w:val="17"/>
          <w:color w:val="auto"/>
        </w:rPr>
        <w:t>Additional information regarding selected balance sheet accounts at June 30, 2016 and December 31, 2015 is presented below (in thousands):</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June 30, 2016</w:t>
            </w:r>
          </w:p>
        </w:tc>
        <w:tc>
          <w:tcPr>
            <w:tcW w:w="60" w:type="dxa"/>
            <w:vAlign w:val="bottom"/>
          </w:tcPr>
          <w:p>
            <w:pPr>
              <w:spacing w:after="0"/>
              <w:rPr>
                <w:sz w:val="20"/>
                <w:szCs w:val="20"/>
                <w:color w:val="auto"/>
              </w:rPr>
            </w:pPr>
          </w:p>
        </w:tc>
        <w:tc>
          <w:tcPr>
            <w:tcW w:w="16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 2015</w:t>
            </w: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receivable, net:</w:t>
            </w:r>
          </w:p>
        </w:tc>
        <w:tc>
          <w:tcPr>
            <w:tcW w:w="17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Trade</w:t>
            </w:r>
          </w:p>
        </w:tc>
        <w:tc>
          <w:tcPr>
            <w:tcW w:w="18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46,048</w:t>
            </w:r>
          </w:p>
        </w:tc>
        <w:tc>
          <w:tcPr>
            <w:tcW w:w="120" w:type="dxa"/>
            <w:vAlign w:val="bottom"/>
          </w:tcPr>
          <w:p>
            <w:pPr>
              <w:spacing w:after="0"/>
              <w:rPr>
                <w:sz w:val="18"/>
                <w:szCs w:val="18"/>
                <w:color w:val="auto"/>
              </w:rPr>
            </w:pPr>
          </w:p>
        </w:tc>
        <w:tc>
          <w:tcPr>
            <w:tcW w:w="620" w:type="dxa"/>
            <w:vAlign w:val="bottom"/>
            <w:gridSpan w:val="2"/>
          </w:tcPr>
          <w:p>
            <w:pPr>
              <w:jc w:val="right"/>
              <w:ind w:right="39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44,650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Unbilled revenue</w:t>
            </w: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Other</w:t>
            </w:r>
          </w:p>
        </w:tc>
        <w:tc>
          <w:tcPr>
            <w:tcW w:w="1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accounts receivable</w:t>
            </w: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73,401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62,588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(997)</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(1,121)</w:t>
            </w:r>
          </w:p>
        </w:tc>
      </w:tr>
      <w:tr>
        <w:trPr>
          <w:trHeight w:val="250"/>
        </w:trPr>
        <w:tc>
          <w:tcPr>
            <w:tcW w:w="20" w:type="dxa"/>
            <w:vAlign w:val="bottom"/>
          </w:tcPr>
          <w:p>
            <w:pPr>
              <w:spacing w:after="0"/>
              <w:rPr>
                <w:sz w:val="21"/>
                <w:szCs w:val="21"/>
                <w:color w:val="auto"/>
              </w:rPr>
            </w:pPr>
          </w:p>
        </w:tc>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accounts receivable, net</w:t>
            </w:r>
          </w:p>
        </w:tc>
        <w:tc>
          <w:tcPr>
            <w:tcW w:w="17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72,404</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9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61,467</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June 30, 2016</w:t>
            </w:r>
          </w:p>
        </w:tc>
        <w:tc>
          <w:tcPr>
            <w:tcW w:w="180" w:type="dxa"/>
            <w:vAlign w:val="bottom"/>
          </w:tcPr>
          <w:p>
            <w:pPr>
              <w:spacing w:after="0"/>
              <w:rPr>
                <w:sz w:val="20"/>
                <w:szCs w:val="20"/>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December 31, 2015</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Inventories:</w:t>
            </w:r>
          </w:p>
        </w:tc>
        <w:tc>
          <w:tcPr>
            <w:tcW w:w="2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Finished goods and purchased products</w:t>
            </w:r>
          </w:p>
        </w:tc>
        <w:tc>
          <w:tcPr>
            <w:tcW w:w="2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2,009</w:t>
            </w:r>
          </w:p>
        </w:tc>
        <w:tc>
          <w:tcPr>
            <w:tcW w:w="780" w:type="dxa"/>
            <w:vAlign w:val="bottom"/>
            <w:gridSpan w:val="2"/>
          </w:tcPr>
          <w:p>
            <w:pPr>
              <w:jc w:val="right"/>
              <w:ind w:right="43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1,854</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2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Raw materials</w:t>
            </w:r>
          </w:p>
        </w:tc>
        <w:tc>
          <w:tcPr>
            <w:tcW w:w="2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2,451</w:t>
            </w:r>
          </w:p>
        </w:tc>
        <w:tc>
          <w:tcPr>
            <w:tcW w:w="1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2,517</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0"/>
        </w:trPr>
        <w:tc>
          <w:tcPr>
            <w:tcW w:w="1160" w:type="dxa"/>
            <w:vAlign w:val="bottom"/>
          </w:tcPr>
          <w:p>
            <w:pPr>
              <w:spacing w:after="0"/>
              <w:rPr>
                <w:sz w:val="21"/>
                <w:szCs w:val="21"/>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2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4,931</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3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5,631</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Pr>
          <w:p>
            <w:pPr>
              <w:spacing w:after="0"/>
              <w:rPr>
                <w:sz w:val="21"/>
                <w:szCs w:val="21"/>
                <w:color w:val="auto"/>
              </w:rPr>
            </w:pPr>
          </w:p>
        </w:tc>
      </w:tr>
      <w:tr>
        <w:trPr>
          <w:trHeight w:val="872"/>
        </w:trPr>
        <w:tc>
          <w:tcPr>
            <w:tcW w:w="11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120" w:type="dxa"/>
            <w:vAlign w:val="bottom"/>
          </w:tcPr>
          <w:p>
            <w:pPr>
              <w:jc w:val="right"/>
              <w:ind w:right="103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05"/>
        </w:trPr>
        <w:tc>
          <w:tcPr>
            <w:tcW w:w="1160" w:type="dxa"/>
            <w:vAlign w:val="bottom"/>
          </w:tcPr>
          <w:p>
            <w:pPr>
              <w:spacing w:after="0"/>
              <w:rPr>
                <w:sz w:val="9"/>
                <w:szCs w:val="9"/>
                <w:color w:val="auto"/>
              </w:rPr>
            </w:pPr>
          </w:p>
        </w:tc>
        <w:tc>
          <w:tcPr>
            <w:tcW w:w="36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61"/>
        </w:trPr>
        <w:tc>
          <w:tcPr>
            <w:tcW w:w="1160" w:type="dxa"/>
            <w:vAlign w:val="bottom"/>
            <w:shd w:val="clear" w:color="auto" w:fill="808080"/>
          </w:tcPr>
          <w:p>
            <w:pPr>
              <w:spacing w:after="0"/>
              <w:rPr>
                <w:sz w:val="5"/>
                <w:szCs w:val="5"/>
                <w:color w:val="auto"/>
              </w:rPr>
            </w:pPr>
          </w:p>
        </w:tc>
        <w:tc>
          <w:tcPr>
            <w:tcW w:w="3640" w:type="dxa"/>
            <w:vAlign w:val="bottom"/>
            <w:shd w:val="clear" w:color="auto" w:fill="808080"/>
          </w:tcPr>
          <w:p>
            <w:pPr>
              <w:spacing w:after="0"/>
              <w:rPr>
                <w:sz w:val="5"/>
                <w:szCs w:val="5"/>
                <w:color w:val="auto"/>
              </w:rPr>
            </w:pPr>
          </w:p>
        </w:tc>
        <w:tc>
          <w:tcPr>
            <w:tcW w:w="21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10" w:name="page11"/>
    <w:bookmarkEnd w:id="10"/>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600" w:type="dxa"/>
            <w:vAlign w:val="bottom"/>
            <w:gridSpan w:val="5"/>
          </w:tcPr>
          <w:p>
            <w:pPr>
              <w:jc w:val="center"/>
              <w:ind w:right="670"/>
              <w:spacing w:after="0"/>
              <w:rPr>
                <w:sz w:val="20"/>
                <w:szCs w:val="20"/>
                <w:color w:val="auto"/>
              </w:rPr>
            </w:pPr>
            <w:r>
              <w:rPr>
                <w:rFonts w:ascii="Arial" w:cs="Arial" w:eastAsia="Arial" w:hAnsi="Arial"/>
                <w:sz w:val="18"/>
                <w:szCs w:val="18"/>
                <w:b w:val="1"/>
                <w:bCs w:val="1"/>
                <w:color w:val="auto"/>
              </w:rPr>
              <w:t>CIVEO CORPORATION</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6740" w:type="dxa"/>
            <w:vAlign w:val="bottom"/>
            <w:gridSpan w:val="6"/>
          </w:tcPr>
          <w:p>
            <w:pPr>
              <w:jc w:val="center"/>
              <w:ind w:left="2270"/>
              <w:spacing w:after="0"/>
              <w:rPr>
                <w:sz w:val="20"/>
                <w:szCs w:val="20"/>
                <w:color w:val="auto"/>
              </w:rPr>
            </w:pPr>
            <w:r>
              <w:rPr>
                <w:rFonts w:ascii="Arial" w:cs="Arial" w:eastAsia="Arial" w:hAnsi="Arial"/>
                <w:sz w:val="18"/>
                <w:szCs w:val="18"/>
                <w:b w:val="1"/>
                <w:bCs w:val="1"/>
                <w:color w:val="auto"/>
              </w:rPr>
              <w:t>NOTES TO UNAUDITED CONSOLIDATED</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600" w:type="dxa"/>
            <w:vAlign w:val="bottom"/>
            <w:gridSpan w:val="5"/>
          </w:tcPr>
          <w:p>
            <w:pPr>
              <w:jc w:val="center"/>
              <w:ind w:right="690"/>
              <w:spacing w:after="0"/>
              <w:rPr>
                <w:sz w:val="20"/>
                <w:szCs w:val="20"/>
                <w:color w:val="auto"/>
              </w:rPr>
            </w:pPr>
            <w:r>
              <w:rPr>
                <w:rFonts w:ascii="Arial" w:cs="Arial" w:eastAsia="Arial" w:hAnsi="Arial"/>
                <w:sz w:val="18"/>
                <w:szCs w:val="18"/>
                <w:b w:val="1"/>
                <w:bCs w:val="1"/>
                <w:color w:val="auto"/>
              </w:rPr>
              <w:t>FINANCIAL STATEMENTS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600" w:type="dxa"/>
            <w:vAlign w:val="bottom"/>
            <w:gridSpan w:val="5"/>
          </w:tcPr>
          <w:p>
            <w:pPr>
              <w:jc w:val="center"/>
              <w:ind w:right="690"/>
              <w:spacing w:after="0"/>
              <w:rPr>
                <w:sz w:val="20"/>
                <w:szCs w:val="20"/>
                <w:color w:val="auto"/>
              </w:rPr>
            </w:pPr>
            <w:r>
              <w:rPr>
                <w:rFonts w:ascii="Arial" w:cs="Arial" w:eastAsia="Arial" w:hAnsi="Arial"/>
                <w:sz w:val="18"/>
                <w:szCs w:val="18"/>
                <w:b w:val="1"/>
                <w:bCs w:val="1"/>
                <w:color w:val="auto"/>
                <w:w w:val="93"/>
              </w:rPr>
              <w:t>(Continued)</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280" w:type="dxa"/>
            <w:vAlign w:val="bottom"/>
            <w:gridSpan w:val="4"/>
          </w:tcPr>
          <w:p>
            <w:pPr>
              <w:jc w:val="center"/>
              <w:ind w:right="330"/>
              <w:spacing w:after="0"/>
              <w:rPr>
                <w:sz w:val="20"/>
                <w:szCs w:val="20"/>
                <w:color w:val="auto"/>
              </w:rPr>
            </w:pPr>
            <w:r>
              <w:rPr>
                <w:rFonts w:ascii="Arial" w:cs="Arial" w:eastAsia="Arial" w:hAnsi="Arial"/>
                <w:sz w:val="18"/>
                <w:szCs w:val="18"/>
                <w:b w:val="1"/>
                <w:bCs w:val="1"/>
                <w:color w:val="auto"/>
                <w:w w:val="90"/>
              </w:rPr>
              <w:t>Estimated</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80" w:type="dxa"/>
            <w:vAlign w:val="bottom"/>
            <w:gridSpan w:val="4"/>
          </w:tcPr>
          <w:p>
            <w:pPr>
              <w:jc w:val="center"/>
              <w:ind w:right="330"/>
              <w:spacing w:after="0"/>
              <w:rPr>
                <w:sz w:val="20"/>
                <w:szCs w:val="20"/>
                <w:color w:val="auto"/>
              </w:rPr>
            </w:pPr>
            <w:r>
              <w:rPr>
                <w:rFonts w:ascii="Arial" w:cs="Arial" w:eastAsia="Arial" w:hAnsi="Arial"/>
                <w:sz w:val="18"/>
                <w:szCs w:val="18"/>
                <w:b w:val="1"/>
                <w:bCs w:val="1"/>
                <w:color w:val="auto"/>
                <w:w w:val="93"/>
              </w:rPr>
              <w:t>Useful Life</w:t>
            </w:r>
          </w:p>
        </w:tc>
        <w:tc>
          <w:tcPr>
            <w:tcW w:w="700" w:type="dxa"/>
            <w:vAlign w:val="bottom"/>
            <w:gridSpan w:val="2"/>
          </w:tcPr>
          <w:p>
            <w:pPr>
              <w:ind w:left="40"/>
              <w:spacing w:after="0"/>
              <w:rPr>
                <w:sz w:val="20"/>
                <w:szCs w:val="20"/>
                <w:color w:val="auto"/>
              </w:rPr>
            </w:pPr>
            <w:r>
              <w:rPr>
                <w:rFonts w:ascii="Arial" w:cs="Arial" w:eastAsia="Arial" w:hAnsi="Arial"/>
                <w:sz w:val="18"/>
                <w:szCs w:val="18"/>
                <w:b w:val="1"/>
                <w:bCs w:val="1"/>
                <w:color w:val="auto"/>
                <w:w w:val="88"/>
              </w:rPr>
              <w:t>June 30,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80" w:type="dxa"/>
            <w:vAlign w:val="bottom"/>
            <w:gridSpan w:val="4"/>
          </w:tcPr>
          <w:p>
            <w:pPr>
              <w:jc w:val="center"/>
              <w:ind w:right="330"/>
              <w:spacing w:after="0"/>
              <w:rPr>
                <w:sz w:val="20"/>
                <w:szCs w:val="20"/>
                <w:color w:val="auto"/>
              </w:rPr>
            </w:pPr>
            <w:r>
              <w:rPr>
                <w:rFonts w:ascii="Arial" w:cs="Arial" w:eastAsia="Arial" w:hAnsi="Arial"/>
                <w:sz w:val="18"/>
                <w:szCs w:val="18"/>
                <w:b w:val="1"/>
                <w:bCs w:val="1"/>
                <w:color w:val="auto"/>
                <w:w w:val="92"/>
              </w:rPr>
              <w:t>(in years)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23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Land</w:t>
            </w:r>
          </w:p>
        </w:tc>
        <w:tc>
          <w:tcPr>
            <w:tcW w:w="3600" w:type="dxa"/>
            <w:vAlign w:val="bottom"/>
            <w:gridSpan w:val="5"/>
          </w:tcPr>
          <w:p>
            <w:pPr>
              <w:jc w:val="center"/>
              <w:ind w:left="3110"/>
              <w:spacing w:after="0"/>
              <w:rPr>
                <w:sz w:val="20"/>
                <w:szCs w:val="20"/>
                <w:color w:val="auto"/>
              </w:rPr>
            </w:pPr>
            <w:r>
              <w:rPr>
                <w:rFonts w:ascii="Arial" w:cs="Arial" w:eastAsia="Arial" w:hAnsi="Arial"/>
                <w:sz w:val="18"/>
                <w:szCs w:val="18"/>
                <w:color w:val="auto"/>
                <w:w w:val="79"/>
              </w:rPr>
              <w:t>$</w:t>
            </w: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48,560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47,825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Accommodations assets</w:t>
            </w:r>
          </w:p>
        </w:tc>
        <w:tc>
          <w:tcPr>
            <w:tcW w:w="3200" w:type="dxa"/>
            <w:vAlign w:val="bottom"/>
            <w:gridSpan w:val="3"/>
            <w:shd w:val="clear" w:color="auto" w:fill="CCEEFF"/>
          </w:tcPr>
          <w:p>
            <w:pPr>
              <w:ind w:left="2660"/>
              <w:spacing w:after="0"/>
              <w:rPr>
                <w:sz w:val="20"/>
                <w:szCs w:val="20"/>
                <w:color w:val="auto"/>
              </w:rPr>
            </w:pPr>
            <w:r>
              <w:rPr>
                <w:rFonts w:ascii="Arial" w:cs="Arial" w:eastAsia="Arial" w:hAnsi="Arial"/>
                <w:sz w:val="18"/>
                <w:szCs w:val="18"/>
                <w:color w:val="auto"/>
              </w:rPr>
              <w:t>3-15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1,573,888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1,482,842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3200" w:type="dxa"/>
            <w:vAlign w:val="bottom"/>
            <w:gridSpan w:val="3"/>
          </w:tcPr>
          <w:p>
            <w:pPr>
              <w:ind w:left="2660"/>
              <w:spacing w:after="0"/>
              <w:rPr>
                <w:sz w:val="20"/>
                <w:szCs w:val="20"/>
                <w:color w:val="auto"/>
              </w:rPr>
            </w:pPr>
            <w:r>
              <w:rPr>
                <w:rFonts w:ascii="Arial" w:cs="Arial" w:eastAsia="Arial" w:hAnsi="Arial"/>
                <w:sz w:val="18"/>
                <w:szCs w:val="18"/>
                <w:color w:val="auto"/>
              </w:rPr>
              <w:t>3-20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28,063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29,099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3200" w:type="dxa"/>
            <w:vAlign w:val="bottom"/>
            <w:gridSpan w:val="3"/>
            <w:shd w:val="clear" w:color="auto" w:fill="CCEEFF"/>
          </w:tcPr>
          <w:p>
            <w:pPr>
              <w:ind w:left="2660"/>
              <w:spacing w:after="0"/>
              <w:rPr>
                <w:sz w:val="20"/>
                <w:szCs w:val="20"/>
                <w:color w:val="auto"/>
              </w:rPr>
            </w:pPr>
            <w:r>
              <w:rPr>
                <w:rFonts w:ascii="Arial" w:cs="Arial" w:eastAsia="Arial" w:hAnsi="Arial"/>
                <w:sz w:val="18"/>
                <w:szCs w:val="18"/>
                <w:color w:val="auto"/>
              </w:rPr>
              <w:t>4-15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9,697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3200" w:type="dxa"/>
            <w:vAlign w:val="bottom"/>
            <w:gridSpan w:val="3"/>
          </w:tcPr>
          <w:p>
            <w:pPr>
              <w:ind w:left="266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30,286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29,172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3200" w:type="dxa"/>
            <w:vAlign w:val="bottom"/>
            <w:gridSpan w:val="3"/>
            <w:shd w:val="clear" w:color="auto" w:fill="CCEEFF"/>
          </w:tcPr>
          <w:p>
            <w:pPr>
              <w:ind w:left="266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15,380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30,383</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52,558</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property, plant and equipment</w:t>
            </w:r>
          </w:p>
        </w:tc>
        <w:tc>
          <w:tcPr>
            <w:tcW w:w="2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1,736,257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1,666,091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5"/>
          </w:tcPr>
          <w:p>
            <w:pPr>
              <w:jc w:val="right"/>
              <w:ind w:right="30"/>
              <w:spacing w:after="0"/>
              <w:rPr>
                <w:sz w:val="20"/>
                <w:szCs w:val="20"/>
                <w:color w:val="auto"/>
              </w:rPr>
            </w:pPr>
            <w:r>
              <w:rPr>
                <w:rFonts w:ascii="Arial" w:cs="Arial" w:eastAsia="Arial" w:hAnsi="Arial"/>
                <w:sz w:val="18"/>
                <w:szCs w:val="18"/>
                <w:color w:val="auto"/>
              </w:rPr>
              <w:t>(829,935)</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(734,177)</w:t>
            </w:r>
          </w:p>
        </w:tc>
      </w:tr>
      <w:tr>
        <w:trPr>
          <w:trHeight w:val="250"/>
        </w:trPr>
        <w:tc>
          <w:tcPr>
            <w:tcW w:w="20" w:type="dxa"/>
            <w:vAlign w:val="bottom"/>
          </w:tcPr>
          <w:p>
            <w:pPr>
              <w:spacing w:after="0"/>
              <w:rPr>
                <w:sz w:val="21"/>
                <w:szCs w:val="21"/>
                <w:color w:val="auto"/>
              </w:rPr>
            </w:pPr>
          </w:p>
        </w:tc>
        <w:tc>
          <w:tcPr>
            <w:tcW w:w="3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Total property, plant and equipment, net</w:t>
            </w:r>
          </w:p>
        </w:tc>
        <w:tc>
          <w:tcPr>
            <w:tcW w:w="2620" w:type="dxa"/>
            <w:vAlign w:val="bottom"/>
            <w:tcBorders>
              <w:bottom w:val="single" w:sz="8" w:color="CCEEFF"/>
            </w:tcBorders>
            <w:gridSpan w:val="2"/>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center"/>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906,322</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931,914</w:t>
            </w:r>
          </w:p>
        </w:tc>
        <w:tc>
          <w:tcPr>
            <w:tcW w:w="80" w:type="dxa"/>
            <w:vAlign w:val="bottom"/>
            <w:tcBorders>
              <w:bottom w:val="single" w:sz="8" w:color="CCEEFF"/>
            </w:tcBorders>
            <w:shd w:val="clear" w:color="auto" w:fill="CCEEFF"/>
          </w:tcPr>
          <w:p>
            <w:pPr>
              <w:spacing w:after="0"/>
              <w:rPr>
                <w:sz w:val="21"/>
                <w:szCs w:val="21"/>
                <w:color w:val="auto"/>
              </w:rPr>
            </w:pPr>
          </w:p>
        </w:tc>
      </w:tr>
      <w:tr>
        <w:trPr>
          <w:trHeight w:val="394"/>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8"/>
              </w:rPr>
              <w:t>June 30,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600" w:type="dxa"/>
            <w:vAlign w:val="bottom"/>
            <w:gridSpan w:val="5"/>
          </w:tcPr>
          <w:p>
            <w:pPr>
              <w:jc w:val="center"/>
              <w:ind w:left="3110"/>
              <w:spacing w:after="0"/>
              <w:rPr>
                <w:sz w:val="20"/>
                <w:szCs w:val="20"/>
                <w:color w:val="auto"/>
              </w:rPr>
            </w:pPr>
            <w:r>
              <w:rPr>
                <w:rFonts w:ascii="Arial" w:cs="Arial" w:eastAsia="Arial" w:hAnsi="Arial"/>
                <w:sz w:val="18"/>
                <w:szCs w:val="18"/>
                <w:b w:val="1"/>
                <w:bCs w:val="1"/>
                <w:color w:val="auto"/>
                <w:w w:val="89"/>
              </w:rPr>
              <w:t>2016</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510"/>
              <w:spacing w:after="0"/>
              <w:rPr>
                <w:sz w:val="20"/>
                <w:szCs w:val="20"/>
                <w:color w:val="auto"/>
              </w:rPr>
            </w:pPr>
            <w:r>
              <w:rPr>
                <w:rFonts w:ascii="Arial" w:cs="Arial" w:eastAsia="Arial" w:hAnsi="Arial"/>
                <w:sz w:val="18"/>
                <w:szCs w:val="18"/>
                <w:b w:val="1"/>
                <w:bCs w:val="1"/>
                <w:color w:val="auto"/>
                <w:w w:val="99"/>
              </w:rPr>
              <w:t>2015</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Accrued liabilities:</w:t>
            </w:r>
          </w:p>
        </w:tc>
        <w:tc>
          <w:tcPr>
            <w:tcW w:w="2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Accrued compensation</w:t>
            </w:r>
          </w:p>
        </w:tc>
        <w:tc>
          <w:tcPr>
            <w:tcW w:w="3200" w:type="dxa"/>
            <w:vAlign w:val="bottom"/>
            <w:gridSpan w:val="3"/>
          </w:tcPr>
          <w:p>
            <w:pPr>
              <w:jc w:val="right"/>
              <w:ind w:right="4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8,743</w:t>
            </w:r>
          </w:p>
        </w:tc>
        <w:tc>
          <w:tcPr>
            <w:tcW w:w="12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11,726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w w:val="98"/>
              </w:rPr>
              <w:t>Accrued taxes, other than income taxes</w:t>
            </w:r>
          </w:p>
        </w:tc>
        <w:tc>
          <w:tcPr>
            <w:tcW w:w="2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Accrued interest</w:t>
            </w: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3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Total accrued liabilities</w:t>
            </w:r>
          </w:p>
        </w:tc>
        <w:tc>
          <w:tcPr>
            <w:tcW w:w="3200" w:type="dxa"/>
            <w:vAlign w:val="bottom"/>
            <w:gridSpan w:val="3"/>
          </w:tcPr>
          <w:p>
            <w:pPr>
              <w:jc w:val="right"/>
              <w:ind w:right="4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12,475</w:t>
            </w:r>
          </w:p>
        </w:tc>
        <w:tc>
          <w:tcPr>
            <w:tcW w:w="12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14,834</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5.</w:t>
        <w:tab/>
        <w:t>IMPAIRMENT CHARGES</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b w:val="1"/>
          <w:bCs w:val="1"/>
          <w:i w:val="1"/>
          <w:iCs w:val="1"/>
          <w:color w:val="auto"/>
        </w:rPr>
        <w:t xml:space="preserve">Quarter ended March 31, 2016. </w:t>
      </w:r>
      <w:r>
        <w:rPr>
          <w:rFonts w:ascii="Arial" w:cs="Arial" w:eastAsia="Arial" w:hAnsi="Arial"/>
          <w:sz w:val="18"/>
          <w:szCs w:val="18"/>
          <w:color w:val="auto"/>
        </w:rPr>
        <w:t>During the first quarter of 2016, we recorded an impairment expense of $8.4 million, resulting from the impairment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fixed assets in our U.S. segment, due to a continued reduction of U.S. drilling activity in the Bakken Shale region. These fixed assets were written down to their fair value of $3.8 million. We assessed the carrying values of the asset groups to determine if they continued to be recoverable based on estimated future cash flows. Based on the assessment, the carrying values were determined to not be recoverable, and we proceeded to compare the fair value of those assets groups to their respective carrying values.</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b w:val="1"/>
          <w:bCs w:val="1"/>
          <w:i w:val="1"/>
          <w:iCs w:val="1"/>
          <w:color w:val="auto"/>
        </w:rPr>
        <w:t xml:space="preserve">Quarter ended June 30, 2015. </w:t>
      </w:r>
      <w:r>
        <w:rPr>
          <w:rFonts w:ascii="Arial" w:cs="Arial" w:eastAsia="Arial" w:hAnsi="Arial"/>
          <w:sz w:val="17"/>
          <w:szCs w:val="17"/>
          <w:color w:val="auto"/>
        </w:rPr>
        <w:t>During the second quarter of 2015, we recorded an impairment expense of $9.5 million, resulting from the impairment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fixed assets in a village located in Western Australia, due to the continued downturn in gold mining activity and lack of contract renewals. These fixed assets were written down to their fair value of $0.1 million. We assessed the carrying value of the asset group to determine if it continued to be recoverable based on estimated future cash flows. Based on the assessment, the carrying value was determined to not be recoverable.</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b w:val="1"/>
          <w:bCs w:val="1"/>
          <w:i w:val="1"/>
          <w:iCs w:val="1"/>
          <w:color w:val="auto"/>
        </w:rPr>
        <w:t xml:space="preserve">Quarter ended March 31, 2015. </w:t>
      </w:r>
      <w:r>
        <w:rPr>
          <w:rFonts w:ascii="Arial" w:cs="Arial" w:eastAsia="Arial" w:hAnsi="Arial"/>
          <w:sz w:val="18"/>
          <w:szCs w:val="18"/>
          <w:color w:val="auto"/>
        </w:rPr>
        <w:t>During the first quarter of 2015, we made the decision to dispose of our manufacturing facility in Johnstown, Colorado.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Accordingly, the facility met the criteria of held for sale, and its carrying value was adjusted downward to $8.7 million, which represents its estimated fair value less the cost to sell. We recorded a pre-tax impairment expense of $2.7 million and an additional $1.1 million write-down of our inventory as a result. During the fourth quarter of 2015, we completed the sale of the facility.</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607" w:right="279" w:bottom="1440" w:gutter="0" w:footer="0" w:header="0"/>
        </w:sectPr>
      </w:pPr>
    </w:p>
    <w:bookmarkStart w:id="11" w:name="page12"/>
    <w:bookmarkEnd w:id="11"/>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The calculation of earnings per share attributable to the Company is presented below for the periods indicated (in thousands, except per share amounts):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6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Loss per Share</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Net loss attributable to Civeo</w:t>
            </w:r>
          </w:p>
        </w:tc>
        <w:tc>
          <w:tcPr>
            <w:tcW w:w="10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(11,486)</w:t>
            </w: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(13,461)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(38,308)</w:t>
            </w: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Less: undistributed net income to participating securities</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Net loss attributable to Civeo’s common shareholders - basic</w:t>
            </w:r>
          </w:p>
        </w:tc>
        <w:tc>
          <w:tcPr>
            <w:tcW w:w="10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(11,486)</w:t>
            </w: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(13,461)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(38,308)</w:t>
            </w: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(13,477)</w:t>
            </w:r>
          </w:p>
        </w:tc>
        <w:tc>
          <w:tcPr>
            <w:tcW w:w="0" w:type="dxa"/>
            <w:vAlign w:val="bottom"/>
          </w:tcPr>
          <w:p>
            <w:pPr>
              <w:spacing w:after="0"/>
              <w:rPr>
                <w:sz w:val="1"/>
                <w:szCs w:val="1"/>
                <w:color w:val="auto"/>
              </w:rPr>
            </w:pPr>
          </w:p>
        </w:tc>
      </w:tr>
      <w:tr>
        <w:trPr>
          <w:trHeight w:val="20"/>
        </w:trPr>
        <w:tc>
          <w:tcPr>
            <w:tcW w:w="53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107,033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106,626</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106,923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106,543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Basic loss per share</w:t>
            </w:r>
          </w:p>
        </w:tc>
        <w:tc>
          <w:tcPr>
            <w:tcW w:w="10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(0.11)</w:t>
            </w: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(0.13)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(0.36)</w:t>
            </w: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b w:val="1"/>
                <w:bCs w:val="1"/>
                <w:color w:val="auto"/>
              </w:rPr>
              <w:t>Diluted Loss per Share</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Civeo’s common shareholders - basic</w:t>
            </w:r>
          </w:p>
        </w:tc>
        <w:tc>
          <w:tcPr>
            <w:tcW w:w="10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(11,486)</w:t>
            </w:r>
          </w:p>
        </w:tc>
        <w:tc>
          <w:tcPr>
            <w:tcW w:w="3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(13,461)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(38,308)</w:t>
            </w:r>
          </w:p>
        </w:tc>
        <w:tc>
          <w:tcPr>
            <w:tcW w:w="3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Less: undistributed net income to participating securities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Civeo’s common shareholders - diluted</w:t>
            </w:r>
          </w:p>
        </w:tc>
        <w:tc>
          <w:tcPr>
            <w:tcW w:w="7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(13,461)</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(38,308)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106,626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106,923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diluted</w:t>
            </w:r>
          </w:p>
        </w:tc>
        <w:tc>
          <w:tcPr>
            <w:tcW w:w="7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106,626</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38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38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Diluted loss per share</w:t>
            </w:r>
          </w:p>
        </w:tc>
        <w:tc>
          <w:tcPr>
            <w:tcW w:w="10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(0.11)</w:t>
            </w:r>
          </w:p>
        </w:tc>
        <w:tc>
          <w:tcPr>
            <w:tcW w:w="3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w:t>
            </w:r>
          </w:p>
        </w:tc>
        <w:tc>
          <w:tcPr>
            <w:tcW w:w="3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As of June 30, 2016 and December 31, 2015, long-term debt consisted of the following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 2016</w:t>
            </w:r>
          </w:p>
        </w:tc>
        <w:tc>
          <w:tcPr>
            <w:tcW w:w="162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December 31, 2015</w:t>
            </w:r>
          </w:p>
        </w:tc>
        <w:tc>
          <w:tcPr>
            <w:tcW w:w="0" w:type="dxa"/>
            <w:vAlign w:val="bottom"/>
          </w:tcPr>
          <w:p>
            <w:pPr>
              <w:spacing w:after="0"/>
              <w:rPr>
                <w:sz w:val="1"/>
                <w:szCs w:val="1"/>
                <w:color w:val="auto"/>
              </w:rPr>
            </w:pPr>
          </w:p>
        </w:tc>
      </w:tr>
      <w:tr>
        <w:trPr>
          <w:trHeight w:val="195"/>
        </w:trPr>
        <w:tc>
          <w:tcPr>
            <w:tcW w:w="74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7"/>
              </w:rPr>
              <w:t>U.S. term loan, which matures on May 28, 2019; principal repayable on May 28, 2019; weighted</w:t>
            </w:r>
          </w:p>
        </w:tc>
        <w:tc>
          <w:tcPr>
            <w:tcW w:w="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 of 3.6% for the six month period ended June 30, 2016</w:t>
            </w:r>
          </w:p>
        </w:tc>
        <w:tc>
          <w:tcPr>
            <w:tcW w:w="2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24,375</w:t>
            </w: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49,375</w:t>
            </w:r>
          </w:p>
        </w:tc>
        <w:tc>
          <w:tcPr>
            <w:tcW w:w="0" w:type="dxa"/>
            <w:vAlign w:val="bottom"/>
          </w:tcPr>
          <w:p>
            <w:pPr>
              <w:spacing w:after="0"/>
              <w:rPr>
                <w:sz w:val="1"/>
                <w:szCs w:val="1"/>
                <w:color w:val="auto"/>
              </w:rPr>
            </w:pPr>
          </w:p>
        </w:tc>
      </w:tr>
      <w:tr>
        <w:trPr>
          <w:trHeight w:val="202"/>
        </w:trPr>
        <w:tc>
          <w:tcPr>
            <w:tcW w:w="7420" w:type="dxa"/>
            <w:vAlign w:val="bottom"/>
          </w:tcPr>
          <w:p>
            <w:pPr>
              <w:spacing w:after="0" w:line="201" w:lineRule="exact"/>
              <w:rPr>
                <w:sz w:val="20"/>
                <w:szCs w:val="20"/>
                <w:color w:val="auto"/>
              </w:rPr>
            </w:pPr>
            <w:r>
              <w:rPr>
                <w:rFonts w:ascii="Arial" w:cs="Arial" w:eastAsia="Arial" w:hAnsi="Arial"/>
                <w:sz w:val="18"/>
                <w:szCs w:val="18"/>
                <w:color w:val="auto"/>
                <w:w w:val="95"/>
              </w:rPr>
              <w:t>Canadian term loan, which matures on May 28, 2019; 1.25% of aggregate principal repayable per</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w w:val="97"/>
              </w:rPr>
              <w:t>quarter beginning December 31, 2015; weighted average interest rate of 3.7% for the six month</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period ended June 30, 2016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311,274</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300,165</w:t>
            </w:r>
          </w:p>
        </w:tc>
        <w:tc>
          <w:tcPr>
            <w:tcW w:w="0" w:type="dxa"/>
            <w:vAlign w:val="bottom"/>
          </w:tcPr>
          <w:p>
            <w:pPr>
              <w:spacing w:after="0"/>
              <w:rPr>
                <w:sz w:val="1"/>
                <w:szCs w:val="1"/>
                <w:color w:val="auto"/>
              </w:rPr>
            </w:pPr>
          </w:p>
        </w:tc>
      </w:tr>
      <w:tr>
        <w:trPr>
          <w:trHeight w:val="202"/>
        </w:trPr>
        <w:tc>
          <w:tcPr>
            <w:tcW w:w="7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U.S. revolving credit facility, which matures on May 28, 2019, with available commitments up to</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w w:val="94"/>
              </w:rPr>
              <w:t>$50.0 million; weighted average interest rate of 5.3% for the six month period ended June 30, 2016</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420" w:type="dxa"/>
            <w:vAlign w:val="bottom"/>
          </w:tcPr>
          <w:p>
            <w:pPr>
              <w:spacing w:after="0" w:line="201" w:lineRule="exact"/>
              <w:rPr>
                <w:sz w:val="20"/>
                <w:szCs w:val="20"/>
                <w:color w:val="auto"/>
              </w:rPr>
            </w:pPr>
            <w:r>
              <w:rPr>
                <w:rFonts w:ascii="Arial" w:cs="Arial" w:eastAsia="Arial" w:hAnsi="Arial"/>
                <w:sz w:val="18"/>
                <w:szCs w:val="18"/>
                <w:color w:val="auto"/>
                <w:w w:val="92"/>
              </w:rPr>
              <w:t>Canadian revolving credit facility, which matures on May 28, 2019, with available commitments up to</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w w:val="92"/>
              </w:rPr>
              <w:t>$100.0 million; weighted average interest rate of 3.9% for the six month period ended June 30, 2016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33,823</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52,020</w:t>
            </w:r>
          </w:p>
        </w:tc>
        <w:tc>
          <w:tcPr>
            <w:tcW w:w="0" w:type="dxa"/>
            <w:vAlign w:val="bottom"/>
          </w:tcPr>
          <w:p>
            <w:pPr>
              <w:spacing w:after="0"/>
              <w:rPr>
                <w:sz w:val="1"/>
                <w:szCs w:val="1"/>
                <w:color w:val="auto"/>
              </w:rPr>
            </w:pPr>
          </w:p>
        </w:tc>
      </w:tr>
      <w:tr>
        <w:trPr>
          <w:trHeight w:val="202"/>
        </w:trPr>
        <w:tc>
          <w:tcPr>
            <w:tcW w:w="7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Canadian revolving credit facility, which matures on May 28, 2019, with available commitments up to</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w w:val="92"/>
              </w:rPr>
              <w:t>$100.0 million; weighted average interest rate of 4.5% for the six month period ended June 30, 2016</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4,612</w:t>
            </w: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420" w:type="dxa"/>
            <w:vAlign w:val="bottom"/>
          </w:tcPr>
          <w:p>
            <w:pPr>
              <w:spacing w:after="0" w:line="201" w:lineRule="exact"/>
              <w:rPr>
                <w:sz w:val="20"/>
                <w:szCs w:val="20"/>
                <w:color w:val="auto"/>
              </w:rPr>
            </w:pPr>
            <w:r>
              <w:rPr>
                <w:rFonts w:ascii="Arial" w:cs="Arial" w:eastAsia="Arial" w:hAnsi="Arial"/>
                <w:sz w:val="18"/>
                <w:szCs w:val="18"/>
                <w:color w:val="auto"/>
                <w:w w:val="94"/>
              </w:rPr>
              <w:t>Australian revolving credit facility, which matures on May 28, 2019, with available commitments up</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w w:val="95"/>
              </w:rPr>
              <w:t>to $100.0 million; weighted average interest rate of 5.2% for the six month period ended June 30,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20,441</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7420" w:type="dxa"/>
            <w:vAlign w:val="bottom"/>
          </w:tcPr>
          <w:p>
            <w:pPr>
              <w:spacing w:after="0"/>
              <w:rPr>
                <w:sz w:val="20"/>
                <w:szCs w:val="20"/>
                <w:color w:val="auto"/>
              </w:rPr>
            </w:pPr>
            <w:r>
              <w:rPr>
                <w:rFonts w:ascii="Arial" w:cs="Arial" w:eastAsia="Arial" w:hAnsi="Arial"/>
                <w:sz w:val="18"/>
                <w:szCs w:val="18"/>
                <w:color w:val="auto"/>
              </w:rPr>
              <w:t>2016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396,025</w:t>
            </w:r>
          </w:p>
        </w:tc>
        <w:tc>
          <w:tcPr>
            <w:tcW w:w="2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401,560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Less: Unamortized debt issuance costs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4,908</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4,683</w:t>
            </w:r>
          </w:p>
        </w:tc>
        <w:tc>
          <w:tcPr>
            <w:tcW w:w="0" w:type="dxa"/>
            <w:vAlign w:val="bottom"/>
          </w:tcPr>
          <w:p>
            <w:pPr>
              <w:spacing w:after="0"/>
              <w:rPr>
                <w:sz w:val="1"/>
                <w:szCs w:val="1"/>
                <w:color w:val="auto"/>
              </w:rPr>
            </w:pPr>
          </w:p>
        </w:tc>
      </w:tr>
      <w:tr>
        <w:trPr>
          <w:trHeight w:val="210"/>
        </w:trPr>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debt</w:t>
            </w: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391,117</w:t>
            </w:r>
          </w:p>
        </w:tc>
        <w:tc>
          <w:tcPr>
            <w:tcW w:w="2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396,877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Less: Current portion of long-term debt, including unamortized debt issuance costs, net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15,934</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17,461</w:t>
            </w: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Long-term debt, less current maturities</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375,183</w:t>
            </w: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379,416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Interest expense on the accompanying unaudited consolidated statements of operations is net of capitalized interest of zero and $0.3 million for the three month periods ended June 30, 2016 and 2015, respectively. Interest expense on the accompanying unaudited consolidated statements of income is net of capitalized interest of zero and $0.7 million for the six months ended June 30, 2016 and 2015, respectively.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12" w:name="page13"/>
    <w:bookmarkEnd w:id="12"/>
    <w:p>
      <w:pPr>
        <w:jc w:val="center"/>
        <w:ind w:right="-5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Credit Facility</w:t>
      </w:r>
    </w:p>
    <w:p>
      <w:pPr>
        <w:spacing w:after="0" w:line="225"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As of December 31, 2015, our revolving credit facility consisted of (i) a $375.0 million, 5-year revolving credit facility allocated as follows: (A) a $50.0 million senior secured revolving credit facility in favor of Civeo, as borrower, (B) a $100.0 million senior secured revolving credit facility in favor of certain of our Canadian subsidiaries, as borrowers, (C) a $125.0 million senior secured revolving credit facility in favor of certain of our Canadian subsidiaries, as borrowers, and (D) a $100.0 million senior secured revolving credit facility in favor of one of our Australian subsidiaries, as borrower, and (ii) a $375.0 million, 5-year term loan facility in favor of Civeo (collectively, the Amended Credit Facility).</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February 18, 2016, the second amendment to the Amended Credit Facility became effective, which provided for the following:</w:t>
      </w:r>
    </w:p>
    <w:p>
      <w:pPr>
        <w:spacing w:after="0" w:line="225" w:lineRule="exact"/>
        <w:rPr>
          <w:sz w:val="20"/>
          <w:szCs w:val="20"/>
          <w:color w:val="auto"/>
        </w:rPr>
      </w:pPr>
    </w:p>
    <w:p>
      <w:pPr>
        <w:ind w:left="660" w:right="24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Civeo Management LLC, an indirect wholly owned subsidiary of the Company, became a co-borrower under the US$50.0 million U.S. revolving credit facility under the Amended Credit Facility;</w:t>
      </w:r>
    </w:p>
    <w:p>
      <w:pPr>
        <w:spacing w:after="0" w:line="170"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partial prepayment of the U.S. term loan under the Amended Credit Facility in the aggregate principal amount of US$25.0 million and the reduction by US$25.0 million of the aggregate revolving loan commitments under the Canadian revolving credit facility under the Amended Credit Facility to a maximum principal amount of US$100.0 million;</w:t>
      </w:r>
    </w:p>
    <w:p>
      <w:pPr>
        <w:spacing w:after="0" w:line="181"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Increased the interest rate margin by 0.25% when the leverage ratio is less than 1.50x (by removing the lowest level in the leverage-based interest rate margin grid), (ii) established two additional levels to the total leverage-based grid such that the interest rates for the loans range from LIBOR +2.25% to LIBOR +5.00% and (iii) increased the undrawn commitment fee from a range of 0.45% to 0.90% to a range of 0.51% to 1.13% based on total leverage;</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the maximum leverage ratio financial covenant, as follows:</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Maximum Leverage Ratio</w:t>
            </w:r>
          </w:p>
        </w:tc>
        <w:tc>
          <w:tcPr>
            <w:tcW w:w="80" w:type="dxa"/>
            <w:vAlign w:val="bottom"/>
          </w:tcPr>
          <w:p>
            <w:pPr>
              <w:spacing w:after="0"/>
              <w:rPr>
                <w:sz w:val="20"/>
                <w:szCs w:val="20"/>
                <w:color w:val="auto"/>
              </w:rPr>
            </w:pPr>
          </w:p>
        </w:tc>
      </w:tr>
      <w:tr>
        <w:trPr>
          <w:trHeight w:val="190"/>
        </w:trPr>
        <w:tc>
          <w:tcPr>
            <w:tcW w:w="20" w:type="dxa"/>
            <w:vAlign w:val="bottom"/>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74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Period Ended</w:t>
            </w:r>
          </w:p>
        </w:tc>
        <w:tc>
          <w:tcPr>
            <w:tcW w:w="2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4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December 31, 2015</w:t>
            </w:r>
          </w:p>
        </w:tc>
        <w:tc>
          <w:tcPr>
            <w:tcW w:w="10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5420" w:type="dxa"/>
            <w:vAlign w:val="bottom"/>
            <w:tcBorders>
              <w:top w:val="single" w:sz="8" w:color="CCEEFF"/>
            </w:tcBorders>
            <w:gridSpan w:val="2"/>
          </w:tcPr>
          <w:p>
            <w:pPr>
              <w:jc w:val="right"/>
              <w:ind w:right="870"/>
              <w:spacing w:after="0"/>
              <w:rPr>
                <w:sz w:val="20"/>
                <w:szCs w:val="20"/>
                <w:color w:val="auto"/>
              </w:rPr>
            </w:pPr>
            <w:r>
              <w:rPr>
                <w:rFonts w:ascii="Arial" w:cs="Arial" w:eastAsia="Arial" w:hAnsi="Arial"/>
                <w:sz w:val="18"/>
                <w:szCs w:val="18"/>
                <w:color w:val="auto"/>
              </w:rPr>
              <w:t>4.00:1.00</w:t>
            </w:r>
          </w:p>
        </w:tc>
        <w:tc>
          <w:tcPr>
            <w:tcW w:w="8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March 31, 2016</w:t>
            </w:r>
          </w:p>
        </w:tc>
        <w:tc>
          <w:tcPr>
            <w:tcW w:w="6580" w:type="dxa"/>
            <w:vAlign w:val="bottom"/>
            <w:gridSpan w:val="4"/>
            <w:shd w:val="clear" w:color="auto" w:fill="CCEEFF"/>
          </w:tcPr>
          <w:p>
            <w:pPr>
              <w:jc w:val="right"/>
              <w:ind w:right="870"/>
              <w:spacing w:after="0"/>
              <w:rPr>
                <w:sz w:val="20"/>
                <w:szCs w:val="20"/>
                <w:color w:val="auto"/>
              </w:rPr>
            </w:pPr>
            <w:r>
              <w:rPr>
                <w:rFonts w:ascii="Arial" w:cs="Arial" w:eastAsia="Arial" w:hAnsi="Arial"/>
                <w:sz w:val="18"/>
                <w:szCs w:val="18"/>
                <w:color w:val="auto"/>
              </w:rPr>
              <w:t>4.25:1.00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June 30, 2016</w:t>
            </w:r>
          </w:p>
        </w:tc>
        <w:tc>
          <w:tcPr>
            <w:tcW w:w="6580" w:type="dxa"/>
            <w:vAlign w:val="bottom"/>
            <w:gridSpan w:val="4"/>
          </w:tcPr>
          <w:p>
            <w:pPr>
              <w:jc w:val="right"/>
              <w:ind w:right="870"/>
              <w:spacing w:after="0"/>
              <w:rPr>
                <w:sz w:val="20"/>
                <w:szCs w:val="20"/>
                <w:color w:val="auto"/>
              </w:rPr>
            </w:pPr>
            <w:r>
              <w:rPr>
                <w:rFonts w:ascii="Arial" w:cs="Arial" w:eastAsia="Arial" w:hAnsi="Arial"/>
                <w:sz w:val="18"/>
                <w:szCs w:val="18"/>
                <w:color w:val="auto"/>
              </w:rPr>
              <w:t>5.25:1.00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2016</w:t>
            </w:r>
          </w:p>
        </w:tc>
        <w:tc>
          <w:tcPr>
            <w:tcW w:w="6580" w:type="dxa"/>
            <w:vAlign w:val="bottom"/>
            <w:gridSpan w:val="4"/>
            <w:shd w:val="clear" w:color="auto" w:fill="CCEEFF"/>
          </w:tcPr>
          <w:p>
            <w:pPr>
              <w:jc w:val="right"/>
              <w:ind w:right="870"/>
              <w:spacing w:after="0"/>
              <w:rPr>
                <w:sz w:val="20"/>
                <w:szCs w:val="20"/>
                <w:color w:val="auto"/>
              </w:rPr>
            </w:pPr>
            <w:r>
              <w:rPr>
                <w:rFonts w:ascii="Arial" w:cs="Arial" w:eastAsia="Arial" w:hAnsi="Arial"/>
                <w:sz w:val="18"/>
                <w:szCs w:val="18"/>
                <w:color w:val="auto"/>
              </w:rPr>
              <w:t>5.50:1.00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December 31, 2016</w:t>
            </w:r>
          </w:p>
        </w:tc>
        <w:tc>
          <w:tcPr>
            <w:tcW w:w="6580" w:type="dxa"/>
            <w:vAlign w:val="bottom"/>
            <w:gridSpan w:val="4"/>
          </w:tcPr>
          <w:p>
            <w:pPr>
              <w:jc w:val="right"/>
              <w:ind w:right="870"/>
              <w:spacing w:after="0"/>
              <w:rPr>
                <w:sz w:val="20"/>
                <w:szCs w:val="20"/>
                <w:color w:val="auto"/>
              </w:rPr>
            </w:pPr>
            <w:r>
              <w:rPr>
                <w:rFonts w:ascii="Arial" w:cs="Arial" w:eastAsia="Arial" w:hAnsi="Arial"/>
                <w:sz w:val="18"/>
                <w:szCs w:val="18"/>
                <w:color w:val="auto"/>
              </w:rPr>
              <w:t>5.50:1.00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March 31, 2017</w:t>
            </w:r>
          </w:p>
        </w:tc>
        <w:tc>
          <w:tcPr>
            <w:tcW w:w="6580" w:type="dxa"/>
            <w:vAlign w:val="bottom"/>
            <w:gridSpan w:val="4"/>
            <w:shd w:val="clear" w:color="auto" w:fill="CCEEFF"/>
          </w:tcPr>
          <w:p>
            <w:pPr>
              <w:jc w:val="right"/>
              <w:ind w:right="870"/>
              <w:spacing w:after="0"/>
              <w:rPr>
                <w:sz w:val="20"/>
                <w:szCs w:val="20"/>
                <w:color w:val="auto"/>
              </w:rPr>
            </w:pPr>
            <w:r>
              <w:rPr>
                <w:rFonts w:ascii="Arial" w:cs="Arial" w:eastAsia="Arial" w:hAnsi="Arial"/>
                <w:sz w:val="18"/>
                <w:szCs w:val="18"/>
                <w:color w:val="auto"/>
              </w:rPr>
              <w:t>5.25:1.00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June 30, 2017</w:t>
            </w:r>
          </w:p>
        </w:tc>
        <w:tc>
          <w:tcPr>
            <w:tcW w:w="6580" w:type="dxa"/>
            <w:vAlign w:val="bottom"/>
            <w:gridSpan w:val="4"/>
          </w:tcPr>
          <w:p>
            <w:pPr>
              <w:jc w:val="right"/>
              <w:ind w:right="870"/>
              <w:spacing w:after="0"/>
              <w:rPr>
                <w:sz w:val="20"/>
                <w:szCs w:val="20"/>
                <w:color w:val="auto"/>
              </w:rPr>
            </w:pPr>
            <w:r>
              <w:rPr>
                <w:rFonts w:ascii="Arial" w:cs="Arial" w:eastAsia="Arial" w:hAnsi="Arial"/>
                <w:sz w:val="18"/>
                <w:szCs w:val="18"/>
                <w:color w:val="auto"/>
              </w:rPr>
              <w:t>5.25:1.00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2017</w:t>
            </w:r>
          </w:p>
        </w:tc>
        <w:tc>
          <w:tcPr>
            <w:tcW w:w="6580" w:type="dxa"/>
            <w:vAlign w:val="bottom"/>
            <w:gridSpan w:val="4"/>
            <w:shd w:val="clear" w:color="auto" w:fill="CCEEFF"/>
          </w:tcPr>
          <w:p>
            <w:pPr>
              <w:jc w:val="right"/>
              <w:ind w:right="870"/>
              <w:spacing w:after="0"/>
              <w:rPr>
                <w:sz w:val="20"/>
                <w:szCs w:val="20"/>
                <w:color w:val="auto"/>
              </w:rPr>
            </w:pPr>
            <w:r>
              <w:rPr>
                <w:rFonts w:ascii="Arial" w:cs="Arial" w:eastAsia="Arial" w:hAnsi="Arial"/>
                <w:sz w:val="18"/>
                <w:szCs w:val="18"/>
                <w:color w:val="auto"/>
              </w:rPr>
              <w:t>5.00:1.00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December 31, 2017</w:t>
            </w:r>
          </w:p>
        </w:tc>
        <w:tc>
          <w:tcPr>
            <w:tcW w:w="6580" w:type="dxa"/>
            <w:vAlign w:val="bottom"/>
            <w:gridSpan w:val="4"/>
          </w:tcPr>
          <w:p>
            <w:pPr>
              <w:jc w:val="right"/>
              <w:ind w:right="870"/>
              <w:spacing w:after="0"/>
              <w:rPr>
                <w:sz w:val="20"/>
                <w:szCs w:val="20"/>
                <w:color w:val="auto"/>
              </w:rPr>
            </w:pPr>
            <w:r>
              <w:rPr>
                <w:rFonts w:ascii="Arial" w:cs="Arial" w:eastAsia="Arial" w:hAnsi="Arial"/>
                <w:sz w:val="18"/>
                <w:szCs w:val="18"/>
                <w:color w:val="auto"/>
              </w:rPr>
              <w:t>5.00:1.00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March 31, 2018</w:t>
            </w:r>
          </w:p>
        </w:tc>
        <w:tc>
          <w:tcPr>
            <w:tcW w:w="6580" w:type="dxa"/>
            <w:vAlign w:val="bottom"/>
            <w:gridSpan w:val="4"/>
            <w:shd w:val="clear" w:color="auto" w:fill="CCEEFF"/>
          </w:tcPr>
          <w:p>
            <w:pPr>
              <w:jc w:val="right"/>
              <w:ind w:right="870"/>
              <w:spacing w:after="0"/>
              <w:rPr>
                <w:sz w:val="20"/>
                <w:szCs w:val="20"/>
                <w:color w:val="auto"/>
              </w:rPr>
            </w:pPr>
            <w:r>
              <w:rPr>
                <w:rFonts w:ascii="Arial" w:cs="Arial" w:eastAsia="Arial" w:hAnsi="Arial"/>
                <w:sz w:val="18"/>
                <w:szCs w:val="18"/>
                <w:color w:val="auto"/>
              </w:rPr>
              <w:t>4.75:1.00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June 30, 2018</w:t>
            </w:r>
          </w:p>
        </w:tc>
        <w:tc>
          <w:tcPr>
            <w:tcW w:w="6580" w:type="dxa"/>
            <w:vAlign w:val="bottom"/>
            <w:gridSpan w:val="4"/>
          </w:tcPr>
          <w:p>
            <w:pPr>
              <w:jc w:val="right"/>
              <w:ind w:right="870"/>
              <w:spacing w:after="0"/>
              <w:rPr>
                <w:sz w:val="20"/>
                <w:szCs w:val="20"/>
                <w:color w:val="auto"/>
              </w:rPr>
            </w:pPr>
            <w:r>
              <w:rPr>
                <w:rFonts w:ascii="Arial" w:cs="Arial" w:eastAsia="Arial" w:hAnsi="Arial"/>
                <w:sz w:val="18"/>
                <w:szCs w:val="18"/>
                <w:color w:val="auto"/>
              </w:rPr>
              <w:t>3.75:1.00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w w:val="93"/>
              </w:rPr>
              <w:t>September 30, 2018 &amp; thereafter</w:t>
            </w:r>
          </w:p>
        </w:tc>
        <w:tc>
          <w:tcPr>
            <w:tcW w:w="6580" w:type="dxa"/>
            <w:vAlign w:val="bottom"/>
            <w:gridSpan w:val="4"/>
            <w:shd w:val="clear" w:color="auto" w:fill="CCEEFF"/>
          </w:tcPr>
          <w:p>
            <w:pPr>
              <w:jc w:val="right"/>
              <w:ind w:right="870"/>
              <w:spacing w:after="0"/>
              <w:rPr>
                <w:sz w:val="20"/>
                <w:szCs w:val="20"/>
                <w:color w:val="auto"/>
              </w:rPr>
            </w:pPr>
            <w:r>
              <w:rPr>
                <w:rFonts w:ascii="Arial" w:cs="Arial" w:eastAsia="Arial" w:hAnsi="Arial"/>
                <w:sz w:val="18"/>
                <w:szCs w:val="18"/>
                <w:color w:val="auto"/>
              </w:rPr>
              <w:t>3.50:1.00</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60" w:right="60" w:hanging="328"/>
        <w:spacing w:after="0" w:line="276"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Included a provision for a mandatory prepayment of the revolving credit facilities under the Amended Credit Facility in the event the Company and its subsidiaries hold an aggregate amount of cash exceeding US$40.0 million for a period of more than three consecutive business days, such mandatory prepayment to be made within two business days in an amount equal to the lesser of (a) an amount sufficient to reduce the aggregate amount of cash and permitted investments on hand at the Company and its subsidiaries to less than US$40.0 million or (b) an amount sufficient to repay all of the outstanding commitments under the revolving credit facilities under the Amended Credit Facility; and</w:t>
      </w:r>
    </w:p>
    <w:p>
      <w:pPr>
        <w:spacing w:after="0" w:line="172"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technical changes and amendments to the Amended Credit Facility.</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65"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As a result of the second amendment, we recognized a loss during the first quarter of 2016 of approximately $0.3 million related to unamortized debt issuance costs, which is included in “Loss on extinguishment of debt” on the accompanying unaudited consolidated statements of operations.</w:t>
      </w:r>
    </w:p>
    <w:p>
      <w:pPr>
        <w:spacing w:after="0" w:line="124"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U.S. dollar amounts outstanding under the Amended Credit Facility bear interest at a variable rate equal to LIBOR plus a margin of 2.25% to 5.00%, or a base rate plus 1.25% to 4.00%, in each case based on a ratio of our total leverage to EBITDA (as defined in the Amended Credit Facility). Canadian dollar amounts outstanding under the Amended Credit Facility bear interest at a variable rate equal to CDOR plus a margin of 2.25% to 5.00%, or a base rate plus a margin of 1.25% to 4.00%, in each case based on a ratio of our consolidated total leverage to EBITDA (as defined in the Amended Credit Facility). Australian dollar amounts outstanding under the Amended Credit Facility bear interest at a variable rate equal to BBSY plus a margin of 2.25% to 5.00%, based on a ratio of our consolidated total leverage to EBITDA (as defined in the Amended Credit Facility).</w:t>
      </w:r>
    </w:p>
    <w:p>
      <w:pPr>
        <w:spacing w:after="0" w:line="178"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The Amended Credit Facility contains customary affirmative and negative covenants that, among other things, limit or restrict (i) subsidiary indebtedness, liens and fundamental changes, (ii) asset sales, (iii) margin stock, (iv) specified acquisitions, (v) restrictive agreements, (vi) transactions with affiliates and (vii) investments and other restricted payments, including dividends and other distributions. Specifically, we must maintain an interest coverage ratio, defined as the ratio of consolidated EBITDA (as defined in the Amended Credit Facility) to consolidated interest expense, of at least 3.0 to 1.0 and our maximum leverage ratio, defined as the ratio of total debt to consolidated EBITDA, of no greater than 5.25 to 1.0 (as of June 30, 2016). As noted above, the permitted maximum leverage ratio changes over time. Each of the factors considered in the calculations of these ratios are defined in the Amended Credit Facility. EBITDA and consolidated interest, as defined, exclude goodwill and asset impairments, debt discount amortization and other non-cash charges. We were in compliance with these covenants as of June 30, 2016.</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15 lenders in our Amended Credit Facility with commitments ranging from $1.2 million to $135.7 million.</w:t>
      </w:r>
    </w:p>
    <w:p>
      <w:pPr>
        <w:spacing w:after="0" w:line="221"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Company’s operations are conducted through its various subsidiaries in a number of countries throughout the world. The Company has provided for income taxes based upon the tax laws and rates in the countries in which operations are conducted and income is earned. For the three and six months ended June 30, 2016, Civeo Canada is the public parent registered under the laws of British Columbia, Canada. For the three and six months ended June 30, 2015, Civeo US, a Delaware corporation, was the public parent registered in the U.S.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operate primarily in three jurisdictions, Canada, Australia and the U.S., where statutory tax rates range from 27% to 35%.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 will vary period to period based on changes in earnings mix between these different jurisdictions.</w:t>
      </w:r>
    </w:p>
    <w:p>
      <w:pPr>
        <w:spacing w:after="0" w:line="2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compute our quarterly taxes under the effective tax rate method by applying an anticipated annual effective rate to our year-to-date income, except for significant unusual or extraordinary transactions. As Australia and the U.S. are now loss jurisdictions for tax accounting purposes, Australia and the U.S. have been removed from the annual effective tax rate computation for purposes of computing the interim tax provision. Income taxes for significant and unusual or extraordinary transactions are computed and recorded in the period that the specific transaction occurs.</w:t>
      </w:r>
    </w:p>
    <w:p>
      <w:pPr>
        <w:spacing w:after="0" w:line="171"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Our income tax benefit for the six months ended June 30, 2016 totaled $5.5 million, or 12.7% of pretax loss, compared to a benefit of $4.7 million, or 26.5% of pretax loss, for the six months ended June 30, 2015. Our income tax benefit for the three months ended June 30, 2016 totaled $0.9 million, or 7.7% of pretax income, compared to a benefit of $5.9 million, or 30.6% of pretax income, for the three months ended June 30, 2015. As noted above, our effective tax rates in 2016 were impacted by the exclusion of Australia and U.S. for purposes of computing the interim tax provision. Our effective tax rate in 2015 was impacted by a $2.7 million charge, related to an increase in statutory tax rates in Alberta, Canada, which reduced our 2015 income tax benefit.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 w:name="page15"/>
    <w:bookmarkEnd w:id="14"/>
    <w:p>
      <w:pPr>
        <w:jc w:val="center"/>
        <w:ind w:right="-5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(Continued)</w:t>
      </w:r>
    </w:p>
    <w:p>
      <w:pPr>
        <w:spacing w:after="0" w:line="207"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right="420" w:firstLine="324"/>
        <w:spacing w:after="0" w:line="297"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warranty and product liability claims as a result of our products or operations. Although we can give no assurance about the outcome of pending legal and administrative proceedings and the effect such outcomes may have on us, management believes that any ultimate liability resulting from the outcome of such proceedings, to the extent not otherwise provided for or covered by insurance, will not have a material adverse effect on our consolidated financial position, results of operations or liquidity.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LOSS</w:t>
      </w:r>
    </w:p>
    <w:p>
      <w:pPr>
        <w:spacing w:after="0" w:line="229"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Our accumulated other comprehensive loss decreased $16.9 million from $366.3 million at December 31, 2015 to $349.4 million at June 30, 2016, as a result of foreign currency exchange rate differences. Changes in other comprehensive loss during the first half of 2016 were primarily driven by the Australian dollar and Canadian dollar increasing in value compared to the U.S. dollar. Excluding intercompany balances, our Canadian dollar and Australian dollar functional currency net assets totaled approximately C$0.2 billion and A$0.5 billion, respectively, at June 30,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 BASED COMPENSATION</w:t>
      </w:r>
    </w:p>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employees and non-employee directors participate in the Amended and Restated 2014 Equity Participation Plan of Civeo Corporation (the Civeo Plan). The Civeo Plan authorizes the Board of Directors to grant options, awards of restricted shares, performance awards, dividend equivalents, awards of deferred shares, and share payments to our employees and non-employee directors. No more than 14.0 million Civeo common shares may be awarded under the Civeo Plan.</w:t>
      </w:r>
    </w:p>
    <w:p>
      <w:pPr>
        <w:spacing w:after="0" w:line="18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Upon effectiveness of the Redomicile Transaction, Civeo Canada assumed the Civeo US employee equity plans and related award agreements, including all options and awards issued or granted under such plans, as well as certain Civeo US benefit plans and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Awards</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b w:val="1"/>
          <w:bCs w:val="1"/>
          <w:i w:val="1"/>
          <w:iCs w:val="1"/>
          <w:color w:val="auto"/>
        </w:rPr>
        <w:t xml:space="preserve">Options. </w:t>
      </w:r>
      <w:r>
        <w:rPr>
          <w:rFonts w:ascii="Arial" w:cs="Arial" w:eastAsia="Arial" w:hAnsi="Arial"/>
          <w:sz w:val="18"/>
          <w:szCs w:val="18"/>
          <w:color w:val="auto"/>
        </w:rPr>
        <w:t>Compensation expense associated with options recognized in the three month periods ended June 30, 2016 and 2015 totaled zero and $0.1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respectively. Compensation expense associated with options recognized in the six month periods ended June 30, 2016 and 2015 totaled $0.1 million and $0.2 million, respectively. At June 30, 2016, unrecognized compensation cost related to options was $0.2 million, which is expected to be recognized over a weighted average period of 1.3 years.</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b w:val="1"/>
          <w:bCs w:val="1"/>
          <w:i w:val="1"/>
          <w:iCs w:val="1"/>
          <w:color w:val="auto"/>
        </w:rPr>
        <w:t xml:space="preserve">Restricted Share / Deferred Share Awards. </w:t>
      </w:r>
      <w:r>
        <w:rPr>
          <w:rFonts w:ascii="Arial" w:cs="Arial" w:eastAsia="Arial" w:hAnsi="Arial"/>
          <w:sz w:val="18"/>
          <w:szCs w:val="18"/>
          <w:color w:val="auto"/>
        </w:rPr>
        <w:t>On February 23, 2016, we granted 231,934 restricted share and deferred share awards under the Civeo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vest in three equal annual installments beginning on February 23, 2017. On May 12, 2016, we granted 401,070 restricted share awards to our directors, which vest in their entirety on May 12, 2017.</w:t>
      </w:r>
    </w:p>
    <w:p>
      <w:pPr>
        <w:spacing w:after="0" w:line="1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Compensation expense associated with restricted share awards and deferred share awards recognized in the three month periods ended June 30, 2016 and 2015 totaled $0.9 million and $1.1 million, respectively. Compensation expense associated with restricted share awards and deferred share awards recognized in the six month periods ended June 30, 2016 and 2015 totaled $2.0 million and $2.2 million, respectively. The total fair value of restricted share awards and deferred share awards that vested during the three months ended June 30, 2016 and 2015 was $0.3 million and $0.3 million, respectively. The total fair value of restricted share awards and deferred share awards that vested during the six months ended June 30, 2016 and 2015 was $0.6 million and $0.9 million, respectively.</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15" w:name="page16"/>
    <w:bookmarkEnd w:id="15"/>
    <w:p>
      <w:pPr>
        <w:jc w:val="center"/>
        <w:ind w:right="-5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At June 30, 2016, unrecognized compensation cost related to restricted share awards and deferred share awards was $6.3 million, which is expected to be recognized over a weighted average period of 2.0 years.</w:t>
      </w:r>
    </w:p>
    <w:p>
      <w:pPr>
        <w:spacing w:after="0" w:line="170"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b w:val="1"/>
          <w:bCs w:val="1"/>
          <w:i w:val="1"/>
          <w:iCs w:val="1"/>
          <w:color w:val="auto"/>
        </w:rPr>
        <w:t xml:space="preserve">Phantom Share Awards. </w:t>
      </w:r>
      <w:r>
        <w:rPr>
          <w:rFonts w:ascii="Arial" w:cs="Arial" w:eastAsia="Arial" w:hAnsi="Arial"/>
          <w:sz w:val="18"/>
          <w:szCs w:val="18"/>
          <w:color w:val="auto"/>
        </w:rPr>
        <w:t>On February 23, 2016, we granted 2,917,130 phantom share awards under the Civeo Plan, which vest in three equal annual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installments beginning on February 23, 2017. We also granted 3,099,194 phantom share awards under the Canadian Long-Term Incentive Plan, which vest in three equal annual installments beginning on February 23, 2017.</w:t>
      </w:r>
    </w:p>
    <w:p>
      <w:pPr>
        <w:spacing w:after="0" w:line="181"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During the three month periods ended June 30, 2016 and 2015, we recognized compensation expense associated with phantom shares totaling $1.6 million and $0.5 million, respectively. During the six month periods ended June 30, 2016 and 2015, we recognized compensation expense associated with phantom shares totaling $1.8 million and $0.8 million, respectively. At June 30, 2016, unrecognized compensation cost related to phantom shares was $12.0 million, as remeasured at June 30, 2016, which is expected to be recognized over a weighted average period of 2.6 years.</w:t>
      </w:r>
    </w:p>
    <w:p>
      <w:pPr>
        <w:spacing w:after="0" w:line="154"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b w:val="1"/>
          <w:bCs w:val="1"/>
          <w:i w:val="1"/>
          <w:iCs w:val="1"/>
          <w:color w:val="auto"/>
        </w:rPr>
        <w:t xml:space="preserve">Performance Awards. </w:t>
      </w:r>
      <w:r>
        <w:rPr>
          <w:rFonts w:ascii="Arial" w:cs="Arial" w:eastAsia="Arial" w:hAnsi="Arial"/>
          <w:sz w:val="18"/>
          <w:szCs w:val="18"/>
          <w:color w:val="auto"/>
        </w:rPr>
        <w:t>On February 23, 2016, we granted 2,400,606 performance awards under the Civeo Plan, which cliff vest in three years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February 23, 2019. These awards will be earned in amounts between 0% and 200% of the participant’s target performance share award, based on the payout percentage associated with Civeo’s relative total shareholder return rank among a peer group of 12 other companies. Shareholder approval to grant these awards as equity awards to be settled in shares was obtained on May 12, 2016. Accordingly, the awards are being accounted for as equity awards, with a fair value of $3.18 calculated as of May 12, 2016.</w:t>
      </w:r>
    </w:p>
    <w:p>
      <w:pPr>
        <w:spacing w:after="0" w:line="188"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During the three month periods ended June 30, 2016 and 2015, we recognized compensation expense associated with performance awards totaling $0.9 million and zero, respectively. During the six month periods ended June 30, 2016 and 2015, we recognized compensation expense associated with performance awards totaling $1.0 million and zero, respectively. At June 30, 2016, unrecognized compensation cost related to performance shares was $6.6 million, which is expected to be recognized over a weighted average period of 2.7 years.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AND RELATED INFORMATION</w:t>
      </w:r>
    </w:p>
    <w:p>
      <w:pPr>
        <w:spacing w:after="0" w:line="229"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In accordance with current accounting standards regarding disclosures about segments of an enterprise and related information, we have identified the following reportable segments: Canada, Australia and U.S., which represent our strategic focus on workforce accommodations.</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38"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Financial information by business segment for each of the three and six months ended June 30, 2016 and 2015 is summarized in the following table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Revenues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Less: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from</w:t>
            </w:r>
          </w:p>
        </w:tc>
        <w:tc>
          <w:tcPr>
            <w:tcW w:w="1300" w:type="dxa"/>
            <w:vAlign w:val="bottom"/>
            <w:gridSpan w:val="4"/>
          </w:tcPr>
          <w:p>
            <w:pPr>
              <w:ind w:left="100"/>
              <w:spacing w:after="0"/>
              <w:rPr>
                <w:sz w:val="20"/>
                <w:szCs w:val="20"/>
                <w:color w:val="auto"/>
              </w:rPr>
            </w:pPr>
            <w:r>
              <w:rPr>
                <w:rFonts w:ascii="Arial" w:cs="Arial" w:eastAsia="Arial" w:hAnsi="Arial"/>
                <w:sz w:val="18"/>
                <w:szCs w:val="18"/>
                <w:b w:val="1"/>
                <w:bCs w:val="1"/>
                <w:color w:val="auto"/>
              </w:rPr>
              <w:t>Depreciation</w:t>
            </w:r>
          </w:p>
        </w:tc>
        <w:tc>
          <w:tcPr>
            <w:tcW w:w="11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Operating</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c>
          <w:tcPr>
            <w:tcW w:w="122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0"/>
              </w:rPr>
              <w:t>Intersegment</w:t>
            </w:r>
          </w:p>
        </w:tc>
        <w:tc>
          <w:tcPr>
            <w:tcW w:w="8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unaffiliated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and</w:t>
            </w:r>
          </w:p>
        </w:tc>
        <w:tc>
          <w:tcPr>
            <w:tcW w:w="14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income</w:t>
            </w:r>
          </w:p>
        </w:tc>
        <w:tc>
          <w:tcPr>
            <w:tcW w:w="16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Capital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1"/>
              </w:rPr>
              <w:t>Revenues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Revenues</w:t>
            </w:r>
          </w:p>
        </w:tc>
        <w:tc>
          <w:tcPr>
            <w:tcW w:w="80" w:type="dxa"/>
            <w:vAlign w:val="bottom"/>
          </w:tcPr>
          <w:p>
            <w:pPr>
              <w:spacing w:after="0"/>
              <w:rPr>
                <w:sz w:val="20"/>
                <w:szCs w:val="20"/>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5"/>
              </w:rPr>
              <w:t>customers</w:t>
            </w:r>
          </w:p>
        </w:tc>
        <w:tc>
          <w:tcPr>
            <w:tcW w:w="1300" w:type="dxa"/>
            <w:vAlign w:val="bottom"/>
            <w:gridSpan w:val="4"/>
          </w:tcPr>
          <w:p>
            <w:pPr>
              <w:ind w:left="100"/>
              <w:spacing w:after="0"/>
              <w:rPr>
                <w:sz w:val="20"/>
                <w:szCs w:val="20"/>
                <w:color w:val="auto"/>
              </w:rPr>
            </w:pPr>
            <w:r>
              <w:rPr>
                <w:rFonts w:ascii="Arial" w:cs="Arial" w:eastAsia="Arial" w:hAnsi="Arial"/>
                <w:sz w:val="18"/>
                <w:szCs w:val="18"/>
                <w:b w:val="1"/>
                <w:bCs w:val="1"/>
                <w:color w:val="auto"/>
              </w:rPr>
              <w:t>amortization</w:t>
            </w:r>
          </w:p>
        </w:tc>
        <w:tc>
          <w:tcPr>
            <w:tcW w:w="14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(loss)</w:t>
            </w: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w w:val="96"/>
              </w:rPr>
              <w:t>expenditures</w:t>
            </w:r>
          </w:p>
        </w:tc>
        <w:tc>
          <w:tcPr>
            <w:tcW w:w="100" w:type="dxa"/>
            <w:vAlign w:val="bottom"/>
          </w:tcPr>
          <w:p>
            <w:pPr>
              <w:spacing w:after="0"/>
              <w:rPr>
                <w:sz w:val="20"/>
                <w:szCs w:val="20"/>
                <w:color w:val="auto"/>
              </w:rPr>
            </w:pPr>
          </w:p>
        </w:tc>
        <w:tc>
          <w:tcPr>
            <w:tcW w:w="102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Total assets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40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Three months ended</w:t>
            </w: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June 30, 2016</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Canada</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77,107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77,107</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21,453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683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446</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636,008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11,434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(914)</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United States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2,423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1,282</w:t>
            </w: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(3,792)</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Corporate and eliminations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(27,741)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Pr>
          <w:p>
            <w:pPr>
              <w:ind w:left="32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107,035</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107,035</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33,168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(6,014)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5,133</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1,051,530</w:t>
            </w:r>
          </w:p>
        </w:tc>
        <w:tc>
          <w:tcPr>
            <w:tcW w:w="0" w:type="dxa"/>
            <w:vAlign w:val="bottom"/>
          </w:tcPr>
          <w:p>
            <w:pPr>
              <w:spacing w:after="0"/>
              <w:rPr>
                <w:sz w:val="1"/>
                <w:szCs w:val="1"/>
                <w:color w:val="auto"/>
              </w:rPr>
            </w:pPr>
          </w:p>
        </w:tc>
      </w:tr>
      <w:tr>
        <w:trPr>
          <w:trHeight w:val="20"/>
        </w:trPr>
        <w:tc>
          <w:tcPr>
            <w:tcW w:w="342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400" w:type="dxa"/>
            <w:vAlign w:val="bottom"/>
          </w:tcPr>
          <w:p>
            <w:pPr>
              <w:spacing w:after="0" w:line="198" w:lineRule="exact"/>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June 30, 2015</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90,072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90,072</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(3,820)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9,113</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Australia</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38,268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38,268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13,799</w:t>
            </w: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(4,882)</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621,831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Corporate and eliminations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(3,634)</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59,051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143,147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143,147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42,541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(14,137</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1,696,724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4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Six months ended</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June 30, 2016</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Canada</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142,629</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142,629</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41,792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(9,016)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1,493</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636,008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53,015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53,015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22,612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(2,536)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United States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6,427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3,188</w:t>
            </w: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(17,391)</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Corporate and eliminations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(3,268)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(27,741)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Pr>
          <w:p>
            <w:pPr>
              <w:ind w:left="32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202,071</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202,071</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66,723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(32,211)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9,893</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1,051,530</w:t>
            </w:r>
          </w:p>
        </w:tc>
        <w:tc>
          <w:tcPr>
            <w:tcW w:w="0" w:type="dxa"/>
            <w:vAlign w:val="bottom"/>
          </w:tcPr>
          <w:p>
            <w:pPr>
              <w:spacing w:after="0"/>
              <w:rPr>
                <w:sz w:val="1"/>
                <w:szCs w:val="1"/>
                <w:color w:val="auto"/>
              </w:rPr>
            </w:pPr>
          </w:p>
        </w:tc>
      </w:tr>
      <w:tr>
        <w:trPr>
          <w:trHeight w:val="20"/>
        </w:trPr>
        <w:tc>
          <w:tcPr>
            <w:tcW w:w="342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400" w:type="dxa"/>
            <w:vAlign w:val="bottom"/>
          </w:tcPr>
          <w:p>
            <w:pPr>
              <w:spacing w:after="0" w:line="198" w:lineRule="exact"/>
              <w:rPr>
                <w:sz w:val="20"/>
                <w:szCs w:val="20"/>
                <w:color w:val="auto"/>
              </w:rPr>
            </w:pPr>
            <w:r>
              <w:rPr>
                <w:rFonts w:ascii="Arial" w:cs="Arial" w:eastAsia="Arial" w:hAnsi="Arial"/>
                <w:sz w:val="18"/>
                <w:szCs w:val="18"/>
                <w:b w:val="1"/>
                <w:bCs w:val="1"/>
                <w:color w:val="auto"/>
              </w:rPr>
              <w:t>Six months ended</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June 30, 2015</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206,972</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206,972</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49,975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15,566</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Australia</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80,127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80,127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27,712</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1,845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5,135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621,831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29,431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(2,396)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7,074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(8,695)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Corporate and eliminations</w:t>
            </w: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(2,396)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2,396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226</w:t>
            </w: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(10,711)</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59,051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314,134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314,134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84,987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1,696,724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7" w:name="page18"/>
    <w:bookmarkEnd w:id="17"/>
    <w:p>
      <w:pPr>
        <w:ind w:left="302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This quarterly report on Form 10-Q contains certain “forward-looking statements" within the meaning of Section 27A of the Securities Act of 1933 and Section 21E of the Securities Exchange Act of 1934 (the Exchange Act). The Private Securities Litigation Reform Act of 1995 provides safe harbor provisions for forward-looking information. The forward-looking statements can be identified by the use of forward-looking terminology including "may," "expect," "anticipate," "estimate," "continue," "believe" or other similar words. Actual results could differ materially from those projected in the forward-looking statements as a result of a number of important factors. For a discussion of known material factors that could affect our results, please refer to “Risk Factors,” “Forward-Looking Statements,” and "Management’s Discussion and Analysis of Financial Condition and Results of Operations" included in our Annual Report on Form 10-K for the year ended December 31, 2015 and our subsequent SEC filings. Should one or more of these risks or uncertainties materialize, or should the assumptions prove incorrect, actual results may differ materially from those expected, estimated or projected. Our management believes these forward-looking statements are reasonable. However, you should not place undue reliance on these forward-looking statements, which are based only on our current expectations and are not guarantees of future performance. All subsequent written and oral forward-looking statements attributable to us or to persons acting on our behalf are expressly qualified in their entirety by the foregoing. Forward-looking statements speak only as of the date they are made, and we undertake no obligation to publicly update or revise any of them in light of new information, future events or otherwise.</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 addition, in certain places in this quarterly report, we refer to reports published by third parties that purport to describe trends or developments in the energy industry. We do so for the convenience of our shareholders and in an effort to provide information available in the market that will assist our investors in a better understanding of the market environment in which we operate. However, we specifically disclaim any responsibility for the accuracy and completeness of such information and undertake no obligation to update such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You should read the following discussion and analysis together with our consolidated financial statements and the notes to those statements included elsewhere in this quarterly report on Form 10-Q.</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Redomiciling to Canada</w:t>
      </w:r>
    </w:p>
    <w:p>
      <w:pPr>
        <w:spacing w:after="0" w:line="225"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On July 17, 2015, we completed our change in place of incorporation from Delaware to British Columbia, Canada (the Redomicile Transaction). In the Redomicile Transaction, Civeo Corporation, a British Columbia, Canada limited company formerly named Civeo Canadian Holdings ULC (Civeo Canada), became the publicly traded parent company of the Civeo group of companies, and our former publicly traded Delaware parent (Civeo US) became a wholly owned subsidiary of Civeo Canada. Each issued share of Civeo US common stock, other than those shares of Civeo US common stock held by Civeo US in treasury, was effectively transferred to Civeo Canada and converted into one common share, no par value, of Civeo Canada. An aggregate of approximately 107.5 million Civeo Canada common shares were issued in the Redomicile Transaction. The Civeo Canada common shares are listed on the NYSE under the symbol “CVEO,” the same symbol under which the Civeo US common stock traded prior to the effective time.</w:t>
      </w:r>
    </w:p>
    <w:p>
      <w:pPr>
        <w:spacing w:after="0" w:line="16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Redomicile Transaction qualified as a “self-directed redomiciling” of the Company as permitted under the U.S. Internal Revenue Code. U.S. federal income tax laws permit a company to change its domicile to a foreign jurisdiction without corporate-level U.S. federal income taxes provided that such company has “substantial business activity” in the relevant jurisdiction. “Substantial business activity” is defined as foreign operations consisting of over 25% of the company’s total (i) revenues, (ii) assets, (iii) employees and (iv) employee compensation. With approximately 50% or more of our operations in Canada based on these metrics, we qualified for a self-directed redomiciling.</w:t>
      </w:r>
    </w:p>
    <w:p>
      <w:pPr>
        <w:spacing w:after="0" w:line="188"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incurred costs related to the Redomicile Transaction totaling $0.2 million and $2.4 million for the three months ended June 30, 2016 and 2015, respectively. We incurred costs related to the Redomicile Transaction totaling $1.3 million and $3.6 million for the six months ended June 30, 2016 and 2015,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Macroeconomic Environment</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provide workforce accommodations to the natural resource industry in Canada, Australia and the U.S. Demand for our services can be attributed to two phases of our customers’ projects: (1) the development or construction phase and (2) the operations or production phase. Initial demand for our services is driven by our customers’ capital spending programs related to the construction and development of oil sands and coal mines and associated infrastructure as well as the exploration for oil and natural gas. Long-term demand for our services is driven by continued development and expansion of natural resource production and operation of oil sands and mining facilities. Industry capital spending programs are generally based on the outlook for commodity prices, economic growth and estimates of resource production. As a result, demand for our products and services is largely sensitive to expected commodity prices, principally related to crude oil, metallurgical (met) coal and natural gas.</w:t>
      </w:r>
    </w:p>
    <w:p>
      <w:pPr>
        <w:spacing w:after="0" w:line="178"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In Canada, Western Canadian Select (WCS) crude is the benchmark price for our oil sands accommodations customers. Pricing for WCS is driven by several factors, including the underlying price for West Texas Intermediate (WTI) crude and the availability of transportation infrastructure. Historically, WCS has traded at a discount to WTI, creating a “WCS Differential,” due to transportation costs and limited capacity to move Canadian heavy oil production to refineries, primarily in the U.S. Gulf Coast. The WCS Differential has varied depending on the extent of transportation capacity availability.</w:t>
      </w:r>
    </w:p>
    <w:p>
      <w:pPr>
        <w:spacing w:after="0" w:line="154"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During the first quarter of 2016, global oil prices dropped to their lowest level in over ten years due to concerns over global oil demand, global crude inventory levels, worldwide economic growth and price cutting by major oil producing countries, such as Saudi Arabia. Increasing global supply, including increased U.S. shale oil production, also negatively impacted pricing. With falling Brent Crude and WTI oil prices, WCS also fell. Prices began to increase in March 2016. WCS prices in the second quarter of 2016 increased moderately to an average of $32.84 per barrel, from a low of $20.26 in the first quarter of 2016, compared to a high of $83.78 in the second quarter of 2014. The WCS Differential increased modestly from $13.25 per barrel at the end of the fourth quarter of 2015 to $13.80 per barrel at the end of the second quarter of 2016. As of July 25, 2016, the WTI price was $42.38 and the WCS price was $28.38, resulting in a WCS Differential of $14.00.</w:t>
      </w:r>
    </w:p>
    <w:p>
      <w:pPr>
        <w:spacing w:after="0" w:line="189"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There remains a significant risk that prices for Canadian oil sands crude oil related products could continue to deteriorate or remain at current depressed levels for an extended period of time, and the discount between WCS crude prices and WTI crude prices could widen. The continuation of these depressed price levels has negatively impacted exploration, development, maintenance and production spending and activity by Canadian operators and, therefore, demand for our services in late 2014, 2015 and 2016. Our Canadian oil sands customers could continue to delay maintenance spending and additional investments in their oil sands assets as well.</w:t>
      </w:r>
    </w:p>
    <w:p>
      <w:pPr>
        <w:spacing w:after="0" w:line="188"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In Australia, approximately 80% of our rooms are located in the Bowen Basin and primarily serve met coal mines in that region. Met coal pricing and growth in production in the Bowen Basin region is influenced by levels of global steel production. Global steel production has decreased 1.9% during the first half of 2016 compared to the same period in 2015. Furthermore, Chinese steel production decreased 1.1% for the first six months of 2016 compared to the same period in 2015, and accordingly, Chinese demand for imported steel inputs, such as met coal and iron ore, has continued to decrease during 2016 compared to prior periods. Because of this, coupled with the fact that Australian met coal output has decreased 2% during the first half of 2016 compared to the same period in 2015, met coal prices have decreased materially from over $160 per metric tonne at the beginning of 2013 to approximately $84.00 per metric tonne in the second quarter of 2016. As of July 25, 2016, contract met coal prices were approximately $92.50 per metric tonne. We expect the historically low contract price of met coal to continue to negatively impact occupancy at our Bowen Basin villages throughout 2016. Depressed met coal prices have led to the implementation of cost control measures by our customers, some coal mine closures and delays in the start-up of new coal mining projects in Australia. A continued depressed met coal price will impact our customers’ future capital spending programs. Long-term demand for steel will be driven by increased steel consumption per capita in developing economies, such as China and India, whose current consumption per capita is a fraction of developed countries.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9" w:name="page20"/>
    <w:bookmarkEnd w:id="19"/>
    <w:p>
      <w:pPr>
        <w:ind w:right="120" w:firstLine="324"/>
        <w:spacing w:after="0" w:line="289" w:lineRule="auto"/>
        <w:rPr>
          <w:sz w:val="20"/>
          <w:szCs w:val="20"/>
          <w:color w:val="auto"/>
        </w:rPr>
      </w:pPr>
      <w:r>
        <w:rPr>
          <w:rFonts w:ascii="Arial" w:cs="Arial" w:eastAsia="Arial" w:hAnsi="Arial"/>
          <w:sz w:val="16"/>
          <w:szCs w:val="16"/>
          <w:color w:val="auto"/>
        </w:rPr>
        <w:t>Natural gas and WTI crude oil prices, discussed above, have an impact on the demand for our U.S. accommodations. With limited export capabilities, U.S. natural gas prices are primarily influenced by domestic supply/demand dynamics and resultant inventory levels. U.S. natural gas production has continued to outpace demand, which has caused prices to continue to be weak relative to historical prices over the past decade. U.S. natural gas inventory levels at June 30, 2016 were 3.14 Tcf, 22% over inventory levels from June 30, 2015 and 25% over seasonally comparable average inventory levels over the past five years. Prices for natural gas in the U.S. averaged $2.25 per mcf in the second quarter of 2016, a 18% decrease over the average price in the second quarter of 2015. These weaker prices are expected to continue. At these levels, it is uneconomic to increase development in several domestic, gas-focused basins. If natural gas production growth continues to surpass demand in the U.S. and/or the supply of natural gas were to increase, whether the supply comes from conventional or unconventional production or associated natural gas production from oil wells, prices for natural gas could be constrained for an extended period and result in fewer rigs drilling for natural gas in the near-term.</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Recent WTI crude, WCS crude, met coal and natural gas pricing trends are as follows:</w:t>
      </w:r>
    </w:p>
    <w:p>
      <w:pPr>
        <w:spacing w:after="0" w:line="111" w:lineRule="exact"/>
        <w:rPr>
          <w:sz w:val="20"/>
          <w:szCs w:val="20"/>
          <w:color w:val="auto"/>
        </w:rPr>
      </w:pPr>
    </w:p>
    <w:tbl>
      <w:tblPr>
        <w:tblLayout w:type="fixed"/>
        <w:tblInd w:w="1160" w:type="dxa"/>
        <w:tblCellMar>
          <w:top w:w="0" w:type="dxa"/>
          <w:left w:w="0" w:type="dxa"/>
          <w:bottom w:w="0" w:type="dxa"/>
          <w:right w:w="0" w:type="dxa"/>
        </w:tblCellMar>
      </w:tblPr>
      <w:tr>
        <w:trPr>
          <w:trHeight w:val="345"/>
        </w:trPr>
        <w:tc>
          <w:tcPr>
            <w:tcW w:w="3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 xml:space="preserve">Average Price </w:t>
            </w:r>
            <w:r>
              <w:rPr>
                <w:rFonts w:ascii="Arial" w:cs="Arial" w:eastAsia="Arial" w:hAnsi="Arial"/>
                <w:sz w:val="30"/>
                <w:szCs w:val="30"/>
                <w:b w:val="1"/>
                <w:bCs w:val="1"/>
                <w:color w:val="auto"/>
                <w:vertAlign w:val="superscript"/>
              </w:rPr>
              <w:t>(1)</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1"/>
        </w:trPr>
        <w:tc>
          <w:tcPr>
            <w:tcW w:w="3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3"/>
              </w:rPr>
              <w:t>Henry</w:t>
            </w:r>
          </w:p>
        </w:tc>
        <w:tc>
          <w:tcPr>
            <w:tcW w:w="80" w:type="dxa"/>
            <w:vAlign w:val="bottom"/>
          </w:tcPr>
          <w:p>
            <w:pPr>
              <w:spacing w:after="0"/>
              <w:rPr>
                <w:sz w:val="16"/>
                <w:szCs w:val="16"/>
                <w:color w:val="auto"/>
              </w:rPr>
            </w:pPr>
          </w:p>
        </w:tc>
      </w:tr>
      <w:tr>
        <w:trPr>
          <w:trHeight w:val="216"/>
        </w:trPr>
        <w:tc>
          <w:tcPr>
            <w:tcW w:w="3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Arial" w:cs="Arial" w:eastAsia="Arial" w:hAnsi="Arial"/>
                <w:sz w:val="18"/>
                <w:szCs w:val="18"/>
                <w:b w:val="1"/>
                <w:bCs w:val="1"/>
                <w:color w:val="auto"/>
              </w:rPr>
              <w:t>WTI</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WCS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50"/>
              <w:spacing w:after="0"/>
              <w:rPr>
                <w:sz w:val="20"/>
                <w:szCs w:val="20"/>
                <w:color w:val="auto"/>
              </w:rPr>
            </w:pPr>
            <w:r>
              <w:rPr>
                <w:rFonts w:ascii="Arial" w:cs="Arial" w:eastAsia="Arial" w:hAnsi="Arial"/>
                <w:sz w:val="18"/>
                <w:szCs w:val="18"/>
                <w:b w:val="1"/>
                <w:bCs w:val="1"/>
                <w:color w:val="auto"/>
              </w:rPr>
              <w:t>Hard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Hub</w:t>
            </w:r>
          </w:p>
        </w:tc>
        <w:tc>
          <w:tcPr>
            <w:tcW w:w="8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Coking Coal</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Natural</w:t>
            </w:r>
          </w:p>
        </w:tc>
        <w:tc>
          <w:tcPr>
            <w:tcW w:w="80" w:type="dxa"/>
            <w:vAlign w:val="bottom"/>
          </w:tcPr>
          <w:p>
            <w:pPr>
              <w:spacing w:after="0"/>
              <w:rPr>
                <w:sz w:val="18"/>
                <w:szCs w:val="18"/>
                <w:color w:val="auto"/>
              </w:rPr>
            </w:pPr>
          </w:p>
        </w:tc>
      </w:tr>
      <w:tr>
        <w:trPr>
          <w:trHeight w:val="216"/>
        </w:trPr>
        <w:tc>
          <w:tcPr>
            <w:tcW w:w="3300" w:type="dxa"/>
            <w:vAlign w:val="bottom"/>
          </w:tcPr>
          <w:p>
            <w:pPr>
              <w:jc w:val="center"/>
              <w:spacing w:after="0"/>
              <w:rPr>
                <w:sz w:val="20"/>
                <w:szCs w:val="20"/>
                <w:color w:val="auto"/>
              </w:rPr>
            </w:pPr>
            <w:r>
              <w:rPr>
                <w:rFonts w:ascii="Arial" w:cs="Arial" w:eastAsia="Arial" w:hAnsi="Arial"/>
                <w:sz w:val="18"/>
                <w:szCs w:val="18"/>
                <w:b w:val="1"/>
                <w:bCs w:val="1"/>
                <w:color w:val="auto"/>
                <w:w w:val="98"/>
              </w:rPr>
              <w:t>Quarter</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Crude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Crude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(Met Coal)</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Gas</w:t>
            </w:r>
          </w:p>
        </w:tc>
        <w:tc>
          <w:tcPr>
            <w:tcW w:w="80" w:type="dxa"/>
            <w:vAlign w:val="bottom"/>
          </w:tcPr>
          <w:p>
            <w:pPr>
              <w:spacing w:after="0"/>
              <w:rPr>
                <w:sz w:val="18"/>
                <w:szCs w:val="18"/>
                <w:color w:val="auto"/>
              </w:rPr>
            </w:pPr>
          </w:p>
        </w:tc>
      </w:tr>
      <w:tr>
        <w:trPr>
          <w:trHeight w:val="234"/>
        </w:trPr>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ended</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4"/>
              </w:rPr>
              <w:t>(per bbl)</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4"/>
              </w:rPr>
              <w:t>(per bbl)</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(per tonne)</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3"/>
              </w:rPr>
              <w:t>(per mcf)</w:t>
            </w:r>
          </w:p>
        </w:tc>
        <w:tc>
          <w:tcPr>
            <w:tcW w:w="80" w:type="dxa"/>
            <w:vAlign w:val="bottom"/>
          </w:tcPr>
          <w:p>
            <w:pPr>
              <w:spacing w:after="0"/>
              <w:rPr>
                <w:sz w:val="20"/>
                <w:szCs w:val="20"/>
                <w:color w:val="auto"/>
              </w:rPr>
            </w:pPr>
          </w:p>
        </w:tc>
      </w:tr>
      <w:tr>
        <w:trPr>
          <w:trHeight w:val="210"/>
        </w:trPr>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Third Quarter through 7/25/2016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80" w:type="dxa"/>
            <w:vAlign w:val="bottom"/>
            <w:shd w:val="clear" w:color="auto" w:fill="CCEEFF"/>
          </w:tcPr>
          <w:p>
            <w:pPr>
              <w:spacing w:after="0"/>
              <w:rPr>
                <w:sz w:val="18"/>
                <w:szCs w:val="18"/>
                <w:color w:val="auto"/>
              </w:rPr>
            </w:pPr>
          </w:p>
        </w:tc>
      </w:tr>
      <w:tr>
        <w:trPr>
          <w:trHeight w:val="216"/>
        </w:trPr>
        <w:tc>
          <w:tcPr>
            <w:tcW w:w="3300" w:type="dxa"/>
            <w:vAlign w:val="bottom"/>
          </w:tcPr>
          <w:p>
            <w:pPr>
              <w:jc w:val="center"/>
              <w:spacing w:after="0"/>
              <w:rPr>
                <w:sz w:val="20"/>
                <w:szCs w:val="20"/>
                <w:color w:val="auto"/>
              </w:rPr>
            </w:pPr>
            <w:r>
              <w:rPr>
                <w:rFonts w:ascii="Arial" w:cs="Arial" w:eastAsia="Arial" w:hAnsi="Arial"/>
                <w:sz w:val="18"/>
                <w:szCs w:val="18"/>
                <w:color w:val="auto"/>
                <w:w w:val="89"/>
              </w:rPr>
              <w:t>6/30/2016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45.53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2.25</w:t>
            </w:r>
          </w:p>
        </w:tc>
        <w:tc>
          <w:tcPr>
            <w:tcW w:w="80" w:type="dxa"/>
            <w:vAlign w:val="bottom"/>
          </w:tcPr>
          <w:p>
            <w:pPr>
              <w:spacing w:after="0"/>
              <w:rPr>
                <w:sz w:val="18"/>
                <w:szCs w:val="18"/>
                <w:color w:val="auto"/>
              </w:rPr>
            </w:pPr>
          </w:p>
        </w:tc>
      </w:tr>
      <w:tr>
        <w:trPr>
          <w:trHeight w:val="216"/>
        </w:trPr>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3/31/2016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CEEFF"/>
          </w:tcPr>
          <w:p>
            <w:pPr>
              <w:spacing w:after="0"/>
              <w:rPr>
                <w:sz w:val="18"/>
                <w:szCs w:val="18"/>
                <w:color w:val="auto"/>
              </w:rPr>
            </w:pPr>
          </w:p>
        </w:tc>
      </w:tr>
      <w:tr>
        <w:trPr>
          <w:trHeight w:val="216"/>
        </w:trPr>
        <w:tc>
          <w:tcPr>
            <w:tcW w:w="3300" w:type="dxa"/>
            <w:vAlign w:val="bottom"/>
          </w:tcPr>
          <w:p>
            <w:pPr>
              <w:jc w:val="center"/>
              <w:spacing w:after="0"/>
              <w:rPr>
                <w:sz w:val="20"/>
                <w:szCs w:val="20"/>
                <w:color w:val="auto"/>
              </w:rPr>
            </w:pPr>
            <w:r>
              <w:rPr>
                <w:rFonts w:ascii="Arial" w:cs="Arial" w:eastAsia="Arial" w:hAnsi="Arial"/>
                <w:sz w:val="18"/>
                <w:szCs w:val="18"/>
                <w:color w:val="auto"/>
                <w:w w:val="90"/>
              </w:rPr>
              <w:t>12/31/2015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42.02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2.23</w:t>
            </w:r>
          </w:p>
        </w:tc>
        <w:tc>
          <w:tcPr>
            <w:tcW w:w="80" w:type="dxa"/>
            <w:vAlign w:val="bottom"/>
          </w:tcPr>
          <w:p>
            <w:pPr>
              <w:spacing w:after="0"/>
              <w:rPr>
                <w:sz w:val="18"/>
                <w:szCs w:val="18"/>
                <w:color w:val="auto"/>
              </w:rPr>
            </w:pPr>
          </w:p>
        </w:tc>
      </w:tr>
      <w:tr>
        <w:trPr>
          <w:trHeight w:val="216"/>
        </w:trPr>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9/30/2015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80" w:type="dxa"/>
            <w:vAlign w:val="bottom"/>
            <w:shd w:val="clear" w:color="auto" w:fill="CCEEFF"/>
          </w:tcPr>
          <w:p>
            <w:pPr>
              <w:spacing w:after="0"/>
              <w:rPr>
                <w:sz w:val="18"/>
                <w:szCs w:val="18"/>
                <w:color w:val="auto"/>
              </w:rPr>
            </w:pPr>
          </w:p>
        </w:tc>
      </w:tr>
      <w:tr>
        <w:trPr>
          <w:trHeight w:val="216"/>
        </w:trPr>
        <w:tc>
          <w:tcPr>
            <w:tcW w:w="3300" w:type="dxa"/>
            <w:vAlign w:val="bottom"/>
          </w:tcPr>
          <w:p>
            <w:pPr>
              <w:jc w:val="center"/>
              <w:spacing w:after="0"/>
              <w:rPr>
                <w:sz w:val="20"/>
                <w:szCs w:val="20"/>
                <w:color w:val="auto"/>
              </w:rPr>
            </w:pPr>
            <w:r>
              <w:rPr>
                <w:rFonts w:ascii="Arial" w:cs="Arial" w:eastAsia="Arial" w:hAnsi="Arial"/>
                <w:sz w:val="18"/>
                <w:szCs w:val="18"/>
                <w:color w:val="auto"/>
                <w:w w:val="89"/>
              </w:rPr>
              <w:t>6/30/2015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57.64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109.50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2.73</w:t>
            </w:r>
          </w:p>
        </w:tc>
        <w:tc>
          <w:tcPr>
            <w:tcW w:w="80" w:type="dxa"/>
            <w:vAlign w:val="bottom"/>
          </w:tcPr>
          <w:p>
            <w:pPr>
              <w:spacing w:after="0"/>
              <w:rPr>
                <w:sz w:val="18"/>
                <w:szCs w:val="18"/>
                <w:color w:val="auto"/>
              </w:rPr>
            </w:pPr>
          </w:p>
        </w:tc>
      </w:tr>
      <w:tr>
        <w:trPr>
          <w:trHeight w:val="216"/>
        </w:trPr>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3/31/2015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80" w:type="dxa"/>
            <w:vAlign w:val="bottom"/>
            <w:shd w:val="clear" w:color="auto" w:fill="CCEEFF"/>
          </w:tcPr>
          <w:p>
            <w:pPr>
              <w:spacing w:after="0"/>
              <w:rPr>
                <w:sz w:val="18"/>
                <w:szCs w:val="18"/>
                <w:color w:val="auto"/>
              </w:rPr>
            </w:pPr>
          </w:p>
        </w:tc>
      </w:tr>
      <w:tr>
        <w:trPr>
          <w:trHeight w:val="216"/>
        </w:trPr>
        <w:tc>
          <w:tcPr>
            <w:tcW w:w="3300" w:type="dxa"/>
            <w:vAlign w:val="bottom"/>
          </w:tcPr>
          <w:p>
            <w:pPr>
              <w:jc w:val="center"/>
              <w:spacing w:after="0"/>
              <w:rPr>
                <w:sz w:val="20"/>
                <w:szCs w:val="20"/>
                <w:color w:val="auto"/>
              </w:rPr>
            </w:pPr>
            <w:r>
              <w:rPr>
                <w:rFonts w:ascii="Arial" w:cs="Arial" w:eastAsia="Arial" w:hAnsi="Arial"/>
                <w:sz w:val="18"/>
                <w:szCs w:val="18"/>
                <w:color w:val="auto"/>
                <w:w w:val="90"/>
              </w:rPr>
              <w:t>12/31/2014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73.21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3.83</w:t>
            </w:r>
          </w:p>
        </w:tc>
        <w:tc>
          <w:tcPr>
            <w:tcW w:w="80" w:type="dxa"/>
            <w:vAlign w:val="bottom"/>
          </w:tcPr>
          <w:p>
            <w:pPr>
              <w:spacing w:after="0"/>
              <w:rPr>
                <w:sz w:val="18"/>
                <w:szCs w:val="18"/>
                <w:color w:val="auto"/>
              </w:rPr>
            </w:pPr>
          </w:p>
        </w:tc>
      </w:tr>
      <w:tr>
        <w:trPr>
          <w:trHeight w:val="216"/>
        </w:trPr>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9/30/2014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80" w:type="dxa"/>
            <w:vAlign w:val="bottom"/>
            <w:shd w:val="clear" w:color="auto" w:fill="CCEEFF"/>
          </w:tcPr>
          <w:p>
            <w:pPr>
              <w:spacing w:after="0"/>
              <w:rPr>
                <w:sz w:val="18"/>
                <w:szCs w:val="18"/>
                <w:color w:val="auto"/>
              </w:rPr>
            </w:pPr>
          </w:p>
        </w:tc>
      </w:tr>
      <w:tr>
        <w:trPr>
          <w:trHeight w:val="216"/>
        </w:trPr>
        <w:tc>
          <w:tcPr>
            <w:tcW w:w="3300" w:type="dxa"/>
            <w:vAlign w:val="bottom"/>
          </w:tcPr>
          <w:p>
            <w:pPr>
              <w:jc w:val="center"/>
              <w:spacing w:after="0"/>
              <w:rPr>
                <w:sz w:val="20"/>
                <w:szCs w:val="20"/>
                <w:color w:val="auto"/>
              </w:rPr>
            </w:pPr>
            <w:r>
              <w:rPr>
                <w:rFonts w:ascii="Arial" w:cs="Arial" w:eastAsia="Arial" w:hAnsi="Arial"/>
                <w:sz w:val="18"/>
                <w:szCs w:val="18"/>
                <w:color w:val="auto"/>
                <w:w w:val="89"/>
              </w:rPr>
              <w:t>6/30/2014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103.06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4.58</w:t>
            </w:r>
          </w:p>
        </w:tc>
        <w:tc>
          <w:tcPr>
            <w:tcW w:w="80" w:type="dxa"/>
            <w:vAlign w:val="bottom"/>
          </w:tcPr>
          <w:p>
            <w:pPr>
              <w:spacing w:after="0"/>
              <w:rPr>
                <w:sz w:val="18"/>
                <w:szCs w:val="18"/>
                <w:color w:val="auto"/>
              </w:rPr>
            </w:pPr>
          </w:p>
        </w:tc>
      </w:tr>
      <w:tr>
        <w:trPr>
          <w:trHeight w:val="216"/>
        </w:trPr>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3/31/2014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80" w:type="dxa"/>
            <w:vAlign w:val="bottom"/>
            <w:shd w:val="clear" w:color="auto" w:fill="CCEEFF"/>
          </w:tcPr>
          <w:p>
            <w:pPr>
              <w:spacing w:after="0"/>
              <w:rPr>
                <w:sz w:val="18"/>
                <w:szCs w:val="18"/>
                <w:color w:val="auto"/>
              </w:rPr>
            </w:pPr>
          </w:p>
        </w:tc>
      </w:tr>
      <w:tr>
        <w:trPr>
          <w:trHeight w:val="216"/>
        </w:trPr>
        <w:tc>
          <w:tcPr>
            <w:tcW w:w="3300" w:type="dxa"/>
            <w:vAlign w:val="bottom"/>
          </w:tcPr>
          <w:p>
            <w:pPr>
              <w:jc w:val="center"/>
              <w:spacing w:after="0"/>
              <w:rPr>
                <w:sz w:val="20"/>
                <w:szCs w:val="20"/>
                <w:color w:val="auto"/>
              </w:rPr>
            </w:pPr>
            <w:r>
              <w:rPr>
                <w:rFonts w:ascii="Arial" w:cs="Arial" w:eastAsia="Arial" w:hAnsi="Arial"/>
                <w:sz w:val="18"/>
                <w:szCs w:val="18"/>
                <w:color w:val="auto"/>
                <w:w w:val="90"/>
              </w:rPr>
              <w:t>12/31/2013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97.50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3.85</w:t>
            </w:r>
          </w:p>
        </w:tc>
        <w:tc>
          <w:tcPr>
            <w:tcW w:w="80" w:type="dxa"/>
            <w:vAlign w:val="bottom"/>
          </w:tcPr>
          <w:p>
            <w:pPr>
              <w:spacing w:after="0"/>
              <w:rPr>
                <w:sz w:val="18"/>
                <w:szCs w:val="18"/>
                <w:color w:val="auto"/>
              </w:rPr>
            </w:pPr>
          </w:p>
        </w:tc>
      </w:tr>
      <w:tr>
        <w:trPr>
          <w:trHeight w:val="216"/>
        </w:trPr>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9/30/2013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80" w:type="dxa"/>
            <w:vAlign w:val="bottom"/>
            <w:shd w:val="clear" w:color="auto" w:fill="CCEEFF"/>
          </w:tcPr>
          <w:p>
            <w:pPr>
              <w:spacing w:after="0"/>
              <w:rPr>
                <w:sz w:val="18"/>
                <w:szCs w:val="18"/>
                <w:color w:val="auto"/>
              </w:rPr>
            </w:pPr>
          </w:p>
        </w:tc>
      </w:tr>
      <w:tr>
        <w:trPr>
          <w:trHeight w:val="218"/>
        </w:trPr>
        <w:tc>
          <w:tcPr>
            <w:tcW w:w="3300" w:type="dxa"/>
            <w:vAlign w:val="bottom"/>
          </w:tcPr>
          <w:p>
            <w:pPr>
              <w:jc w:val="center"/>
              <w:spacing w:after="0"/>
              <w:rPr>
                <w:sz w:val="20"/>
                <w:szCs w:val="20"/>
                <w:color w:val="auto"/>
              </w:rPr>
            </w:pPr>
            <w:r>
              <w:rPr>
                <w:rFonts w:ascii="Arial" w:cs="Arial" w:eastAsia="Arial" w:hAnsi="Arial"/>
                <w:sz w:val="18"/>
                <w:szCs w:val="18"/>
                <w:color w:val="auto"/>
                <w:w w:val="89"/>
              </w:rPr>
              <w:t>6/30/2013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94.05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172.00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4.02</w:t>
            </w:r>
          </w:p>
        </w:tc>
        <w:tc>
          <w:tcPr>
            <w:tcW w:w="80" w:type="dxa"/>
            <w:vAlign w:val="bottom"/>
          </w:tcPr>
          <w:p>
            <w:pPr>
              <w:spacing w:after="0"/>
              <w:rPr>
                <w:sz w:val="18"/>
                <w:szCs w:val="18"/>
                <w:color w:val="auto"/>
              </w:rPr>
            </w:pPr>
          </w:p>
        </w:tc>
      </w:tr>
    </w:tbl>
    <w:p>
      <w:pPr>
        <w:spacing w:after="0"/>
        <w:rPr>
          <w:sz w:val="20"/>
          <w:szCs w:val="20"/>
          <w:color w:val="auto"/>
        </w:rPr>
      </w:pPr>
      <w:r>
        <w:rPr>
          <w:rFonts w:ascii="Arial" w:cs="Arial" w:eastAsia="Arial" w:hAnsi="Arial"/>
          <w:sz w:val="18"/>
          <w:szCs w:val="18"/>
          <w:color w:val="auto"/>
        </w:rPr>
        <w:t>__________</w:t>
      </w:r>
    </w:p>
    <w:p>
      <w:pPr>
        <w:spacing w:after="0" w:line="7" w:lineRule="exact"/>
        <w:rPr>
          <w:sz w:val="20"/>
          <w:szCs w:val="20"/>
          <w:color w:val="auto"/>
        </w:rPr>
      </w:pPr>
    </w:p>
    <w:p>
      <w:pPr>
        <w:ind w:left="260" w:hanging="9"/>
        <w:spacing w:after="0" w:line="261"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Source: WTI crude and natural gas prices are from U.S. Energy Information Administration (EIA), and WCS crude prices and Seaborne hard coking coal contract prices are from Bloomberg.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As noted above, demand for our services is primarily tied to the outlook for crude oil and met coal prices. Other factors that can affect our business and financial results include the general global economic environment and regulatory changes in Canada, Australia, the U.S. and other markets.</w:t>
      </w:r>
    </w:p>
    <w:p>
      <w:pPr>
        <w:spacing w:after="0" w:line="124"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Our business is predominantly located in northern Alberta, Canada and Queensland, Australia, and we derive most of our business from resource companies who are developing and producing oil sands and met coal resources and, to a lesser extent, other hydrocarbon and mineral resources. More than three-fourths of our revenue is generated by our large-scale lodge and village facilities. Where traditional accommodations and infrastructure are insufficient, inaccessible or cost ineffective, our lodge and village facilities provide comprehensive accommodations services similar to those found in an urban hotel. We typically contract our facilities to our customers on a fee per day basis that covers lodging and meals and that is based on the duration of their needs which can range from several weeks to several years.</w:t>
      </w:r>
    </w:p>
    <w:p>
      <w:pPr>
        <w:spacing w:after="0" w:line="193" w:lineRule="exact"/>
        <w:rPr>
          <w:sz w:val="20"/>
          <w:szCs w:val="20"/>
          <w:color w:val="auto"/>
        </w:rPr>
      </w:pPr>
    </w:p>
    <w:p>
      <w:pPr>
        <w:jc w:val="both"/>
        <w:ind w:right="340" w:firstLine="324"/>
        <w:spacing w:after="0" w:line="279" w:lineRule="auto"/>
        <w:rPr>
          <w:sz w:val="20"/>
          <w:szCs w:val="20"/>
          <w:color w:val="auto"/>
        </w:rPr>
      </w:pPr>
      <w:r>
        <w:rPr>
          <w:rFonts w:ascii="Arial" w:cs="Arial" w:eastAsia="Arial" w:hAnsi="Arial"/>
          <w:sz w:val="17"/>
          <w:szCs w:val="17"/>
          <w:color w:val="auto"/>
        </w:rPr>
        <w:t>Generally, our customers are making multi-billion dollar investments to develop their prospects, which have estimated reserve lives ranging from ten years to in excess of thirty years. Consequently, these investments are dependent on those customers’ longer-term view of commodity demand and prices. Announcements of certain new and expanded oil sands projects can create the opportunity to extend existing accommodations contracts and incremental contracts for us in Canada. There have been few new or expanded projects announced in recent months.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 w:name="page21"/>
    <w:bookmarkEnd w:id="20"/>
    <w:p>
      <w:pPr>
        <w:ind w:right="20" w:firstLine="324"/>
        <w:spacing w:after="0" w:line="273" w:lineRule="auto"/>
        <w:rPr>
          <w:sz w:val="20"/>
          <w:szCs w:val="20"/>
          <w:color w:val="auto"/>
        </w:rPr>
      </w:pPr>
      <w:r>
        <w:rPr>
          <w:rFonts w:ascii="Arial" w:cs="Arial" w:eastAsia="Arial" w:hAnsi="Arial"/>
          <w:sz w:val="17"/>
          <w:szCs w:val="17"/>
          <w:color w:val="auto"/>
        </w:rPr>
        <w:t>With the current commodity price environment and expected demand, concerns about take-away capacity out of the Canadian oil sands region and continued high costs including labor costs, the current outlook for Canadian oil sands activity has continued to deteriorate in 2016. Although we are currently the primary third-party accommodations provider for the two major construction projects in the Canadian oil sands region, the Fort Hills project and the Kearl project, outlook for additional major oil sands construction projects is limited. Oil sands operators are looking to reduce their costs and capital spending, limiting the demand for accommodations like we provide. As a result, we experienced materially lower revenues and earnings from our Canadian operations in the first half of 2016 compared to the first half of 2015 and expect this trend to continue for the rest of 2016.</w:t>
      </w:r>
    </w:p>
    <w:p>
      <w:pPr>
        <w:spacing w:after="0" w:line="178"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We began expansion of our room count in Kitimat, British Columbia during the second half of 2015 to support potential liquefied natural gas (LNG) projects on the west coast of British Columbia. We were awarded a contract with LNG Canada for the provision of open lodge rooms and associated services. To support this contract, we have developed a new accommodations facility, named Sitka Lodge, which includes private washrooms, recreational facilities and other amenities. This lodge currently has 386 rooms with the potential to expand to serve future accommodations demand in the region.</w:t>
      </w:r>
    </w:p>
    <w:p>
      <w:pPr>
        <w:spacing w:after="0" w:line="154"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addition, we were awarded a contract with LNG Canada (LNGC) to construct a 4,500 person workforce accommodation center (Cedar Valley Lodge) for a proposed liquefaction and export facility in Kitimat, British Columbia. Construction of Cedar Valley Lodge will not commence until LNGC’s joint venture participants have made a positive final investment decision. The final investment decision was originally planned for the end of 2016; however, this decision has been delayed until a future time that has not yet been determined. If the final investment decision continues to be delayed, or if the investment is cancelled, the resulting impact may negatively affect our results of operations and the value of our existing long-lived assets in Canada and may require us to record impairment charges equal to the excess of the carrying value of these assets over fair value. With the delay in the final investment decision, we currently expect that LNGC will continue to utilize rooms at our Sitka Lodge through September 2017 in accordance with the terms of our contract. There can be no assurance that LNGC’s joint venture participants will reach a positive final investment decision.</w:t>
      </w:r>
    </w:p>
    <w:p>
      <w:pPr>
        <w:spacing w:after="0" w:line="179"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We expanded our Australian room capacity in 2012 and 2013 to meet increasing demand, notably in the Bowen Basin in Queensland and in the Gunnedah Basin in New South Wales to support coal production, and in Western Australia to support LNG and other energy-related projects. In early 2013, a confluence of low met coal pricing, additional carbon and mining taxes on our Australian accommodations customers and several years of cost inflation caused several of our customers to curtail or cease production from higher cost mines and delay or materially reduce their growth plans. This has negatively affected our ability to expand our room count and has led to a decrease in occupancy levels. Despite the repeal of carbon and mining taxes, continued concerns about China’s economy, which significantly influences the global demand for steel, and therefore, met coal, the outlook for met coal demand continues to be negative. As a result, our Australian business experienced lower occupancy levels throughout 2015, and this trend is continuing in 2016.</w:t>
      </w:r>
    </w:p>
    <w:p>
      <w:pPr>
        <w:spacing w:after="0" w:line="167"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Exchange rates between the U.S. dollar and each of the Canadian dollar and the Australian dollar influence our U.S. dollar reported financial results. Our business has historically derived the vast majority of its revenues and operating income in Canada and Australia. These revenues and profits are translated into U.S. dollars for U.S. Generally Accepted Accounting Principles (U.S. GAAP) financial reporting purposes. The Canadian dollar was valued at an average exchange rate of U.S. $0.78 for the second quarter of 2016 compared to U.S. $0.81 for the second quarter of 2015, a decrease of approximately 5%. The Canadian dollar was valued at an average exchange rate of U.S. $0.75 for the first half of 2016 compared to U.S. $0.81 for the first half of 2015, a decrease of approximately 7%. The Canadian dollar was valued at an exchange rate of $0.77 on June 30, 2016 and $0.72 on December 31, 2015. The Australian dollar was valued at an average exchange rate of U.S. $0.75 for the second quarter of 2016 compared to U.S. $0.78 for the second quarter of 2015, a decrease of approximately 4%. The Australian dollar was valued at an average exchange rate of U.S. $0.73 for the first half of 2016 compared to U.S. $0.78 for the first half of 2015, a decrease of approximately 6%. The Australian dollar was valued at an exchange rate of $0.74 on June 30, 2016 and $0.73 on December 31, 2015. These fluctuations of the Canadian and Australian dollars have had and will continue to have an impact on the translation of earnings generated from our Canadian and Australian subsidiaries and, therefore, our financial results.</w:t>
      </w:r>
    </w:p>
    <w:p>
      <w:pPr>
        <w:spacing w:after="0" w:line="173" w:lineRule="exact"/>
        <w:rPr>
          <w:sz w:val="20"/>
          <w:szCs w:val="20"/>
          <w:color w:val="auto"/>
        </w:rPr>
      </w:pPr>
    </w:p>
    <w:p>
      <w:pPr>
        <w:ind w:right="140" w:firstLine="324"/>
        <w:spacing w:after="0" w:line="312" w:lineRule="auto"/>
        <w:rPr>
          <w:sz w:val="20"/>
          <w:szCs w:val="20"/>
          <w:color w:val="auto"/>
        </w:rPr>
      </w:pPr>
      <w:r>
        <w:rPr>
          <w:rFonts w:ascii="Arial" w:cs="Arial" w:eastAsia="Arial" w:hAnsi="Arial"/>
          <w:sz w:val="16"/>
          <w:szCs w:val="16"/>
          <w:color w:val="auto"/>
        </w:rPr>
        <w:t>We continue to monitor the global economy, the demand for crude oil, met coal and natural gas and the resultant impact on the capital spending plans of our customers in order to plan our business. We currently expect that our 2016 capital expenditures will total approximately $25 million, compared to 2015 capital expenditures of $62 million. Please see “Liquidity and Capital Resources</w:t>
      </w:r>
      <w:r>
        <w:rPr>
          <w:rFonts w:ascii="Arial" w:cs="Arial" w:eastAsia="Arial" w:hAnsi="Arial"/>
          <w:sz w:val="16"/>
          <w:szCs w:val="16"/>
          <w:i w:val="1"/>
          <w:iCs w:val="1"/>
          <w:color w:val="auto"/>
        </w:rPr>
        <w:t>”</w:t>
      </w:r>
      <w:r>
        <w:rPr>
          <w:rFonts w:ascii="Arial" w:cs="Arial" w:eastAsia="Arial" w:hAnsi="Arial"/>
          <w:sz w:val="16"/>
          <w:szCs w:val="16"/>
          <w:color w:val="auto"/>
        </w:rPr>
        <w:t xml:space="preserve"> below for further discussion of 2016 capital expenditures.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Unless otherwise indicated, discussion of results for the three- and six-month periods ended June 30, 2016, is based on a comparison to the corresponding periods of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Three Months Ended June 30, 2016 Compared to Three Months Ended June 30, 2015</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2"/>
              </w:rPr>
              <w:t>Three Months Ended</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8"/>
                <w:szCs w:val="18"/>
                <w:b w:val="1"/>
                <w:bCs w:val="1"/>
                <w:color w:val="auto"/>
                <w:w w:val="88"/>
              </w:rPr>
              <w:t>June 30,</w:t>
            </w: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Canada</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77,107</w:t>
            </w:r>
          </w:p>
        </w:tc>
        <w:tc>
          <w:tcPr>
            <w:tcW w:w="80" w:type="dxa"/>
            <w:vAlign w:val="bottom"/>
          </w:tcPr>
          <w:p>
            <w:pPr>
              <w:spacing w:after="0"/>
              <w:rPr>
                <w:sz w:val="18"/>
                <w:szCs w:val="18"/>
                <w:color w:val="auto"/>
              </w:rPr>
            </w:pP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90,072</w:t>
            </w:r>
          </w:p>
        </w:tc>
        <w:tc>
          <w:tcPr>
            <w:tcW w:w="12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(12,965)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Australia</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United States and other</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2,423</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14,807</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(12,384)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143,147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sales and services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320"/>
              <w:spacing w:after="0"/>
              <w:rPr>
                <w:sz w:val="20"/>
                <w:szCs w:val="20"/>
                <w:color w:val="auto"/>
              </w:rPr>
            </w:pPr>
            <w:r>
              <w:rPr>
                <w:rFonts w:ascii="Arial" w:cs="Arial" w:eastAsia="Arial" w:hAnsi="Arial"/>
                <w:sz w:val="18"/>
                <w:szCs w:val="18"/>
                <w:color w:val="auto"/>
              </w:rPr>
              <w:t>Canada</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47,579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61,375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(13,796)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Australia</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320"/>
              <w:spacing w:after="0"/>
              <w:rPr>
                <w:sz w:val="20"/>
                <w:szCs w:val="20"/>
                <w:color w:val="auto"/>
              </w:rPr>
            </w:pPr>
            <w:r>
              <w:rPr>
                <w:rFonts w:ascii="Arial" w:cs="Arial" w:eastAsia="Arial" w:hAnsi="Arial"/>
                <w:sz w:val="18"/>
                <w:szCs w:val="18"/>
                <w:color w:val="auto"/>
              </w:rPr>
              <w:t>United States and other</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3,875</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12,017</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(8,142)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cost of sales and services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89,424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15,295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18,419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 expense</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42,541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Impairment expense</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9,473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(9,473)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operating expense (income)</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(2,573)</w:t>
            </w:r>
          </w:p>
        </w:tc>
        <w:tc>
          <w:tcPr>
            <w:tcW w:w="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Pr>
          <w:p>
            <w:pPr>
              <w:ind w:left="320"/>
              <w:spacing w:after="0"/>
              <w:rPr>
                <w:sz w:val="20"/>
                <w:szCs w:val="20"/>
                <w:color w:val="auto"/>
              </w:rPr>
            </w:pPr>
            <w:r>
              <w:rPr>
                <w:rFonts w:ascii="Arial" w:cs="Arial" w:eastAsia="Arial" w:hAnsi="Arial"/>
                <w:sz w:val="18"/>
                <w:szCs w:val="18"/>
                <w:color w:val="auto"/>
              </w:rPr>
              <w:t>Total costs and expenses</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113,049</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157,284</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(44,235)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(14,137)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income, net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(5,897)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(5,561)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(19,132)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Income tax benefit</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5,863</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(4,914)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(13,269)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Less: Net income attributable to noncontrolling</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interest</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Civeo</w:t>
            </w:r>
          </w:p>
        </w:tc>
        <w:tc>
          <w:tcPr>
            <w:tcW w:w="44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(11,486)</w:t>
            </w:r>
          </w:p>
        </w:tc>
        <w:tc>
          <w:tcPr>
            <w:tcW w:w="40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(13,461)</w:t>
            </w:r>
          </w:p>
        </w:tc>
        <w:tc>
          <w:tcPr>
            <w:tcW w:w="34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8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reported net loss attributable to Civeo for the quarter ended June 30, 2016 of $11.5 million, or $0.11 per diluted share. As further discussed below, net loss included a $0.2 million pre-tax loss ($0.2 million after-tax, or $0.00 per diluted share) from costs incurred in connection with the Redomicile Transaction, included in Selling, general and administrative (SG&amp;A) expense below.</w:t>
      </w:r>
    </w:p>
    <w:p>
      <w:pPr>
        <w:spacing w:after="0" w:line="18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These results compare to net loss attributable to Civeo for the quarter ended June 30, 2015 of $13.5 million, or $0.13 per diluted share. As further discussed in Impairment expense below, net loss for the second quarter of 2015 included $6.6 million of after-tax charges, or $0.06 per diluted share, resulting from the impairment of fixed assets at Kambalda, a village located in Western Australia, due to the continued downturn in gold mining activity and lack of contract renewals. Net loss for 2015 also included $2.4 million (or $0.03 per diluted share) in after-tax loss from costs incurred in connection with the Redomicile Transaction.</w:t>
      </w:r>
    </w:p>
    <w:p>
      <w:pPr>
        <w:spacing w:after="0" w:line="184" w:lineRule="exact"/>
        <w:rPr>
          <w:sz w:val="20"/>
          <w:szCs w:val="20"/>
          <w:color w:val="auto"/>
        </w:rPr>
      </w:pPr>
    </w:p>
    <w:p>
      <w:pPr>
        <w:ind w:right="180" w:firstLine="324"/>
        <w:spacing w:after="0" w:line="266"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Consolidated revenues decreased $36.1 million, or 25%, in the second quarter of 2016 compared to the second quarter of 2015. This decline</w:t>
      </w:r>
      <w:r>
        <w:rPr>
          <w:rFonts w:ascii="Arial" w:cs="Arial" w:eastAsia="Arial" w:hAnsi="Arial"/>
          <w:sz w:val="18"/>
          <w:szCs w:val="18"/>
          <w:b w:val="1"/>
          <w:bCs w:val="1"/>
          <w:color w:val="auto"/>
        </w:rPr>
        <w:t xml:space="preserve"> </w:t>
      </w:r>
      <w:r>
        <w:rPr>
          <w:rFonts w:ascii="Arial" w:cs="Arial" w:eastAsia="Arial" w:hAnsi="Arial"/>
          <w:sz w:val="18"/>
          <w:szCs w:val="18"/>
          <w:color w:val="auto"/>
        </w:rPr>
        <w:t>was largely driven by decreases in Canada and Australia, due to lower occupancy, as well as weaker Canadian and Australian dollars in 2016 compared to 2015. Please see the discussion of segment results of operations below for further information.</w:t>
      </w:r>
    </w:p>
    <w:p>
      <w:pPr>
        <w:spacing w:after="0" w:line="176" w:lineRule="exact"/>
        <w:rPr>
          <w:sz w:val="20"/>
          <w:szCs w:val="20"/>
          <w:color w:val="auto"/>
        </w:rPr>
      </w:pPr>
    </w:p>
    <w:p>
      <w:pPr>
        <w:jc w:val="both"/>
        <w:ind w:right="520" w:firstLine="324"/>
        <w:spacing w:after="0" w:line="289" w:lineRule="auto"/>
        <w:rPr>
          <w:sz w:val="20"/>
          <w:szCs w:val="20"/>
          <w:color w:val="auto"/>
        </w:rPr>
      </w:pPr>
      <w:r>
        <w:rPr>
          <w:rFonts w:ascii="Arial" w:cs="Arial" w:eastAsia="Arial" w:hAnsi="Arial"/>
          <w:sz w:val="17"/>
          <w:szCs w:val="17"/>
          <w:b w:val="1"/>
          <w:bCs w:val="1"/>
          <w:color w:val="auto"/>
        </w:rPr>
        <w:t xml:space="preserve">Cost of Sales and Services. </w:t>
      </w:r>
      <w:r>
        <w:rPr>
          <w:rFonts w:ascii="Arial" w:cs="Arial" w:eastAsia="Arial" w:hAnsi="Arial"/>
          <w:sz w:val="17"/>
          <w:szCs w:val="17"/>
          <w:color w:val="auto"/>
        </w:rPr>
        <w:t>Our consolidated cost of sales decreased $24.8 million, or 28%, in the second quarter of 2016 compared to the second</w:t>
      </w:r>
      <w:r>
        <w:rPr>
          <w:rFonts w:ascii="Arial" w:cs="Arial" w:eastAsia="Arial" w:hAnsi="Arial"/>
          <w:sz w:val="17"/>
          <w:szCs w:val="17"/>
          <w:b w:val="1"/>
          <w:bCs w:val="1"/>
          <w:color w:val="auto"/>
        </w:rPr>
        <w:t xml:space="preserve"> </w:t>
      </w:r>
      <w:r>
        <w:rPr>
          <w:rFonts w:ascii="Arial" w:cs="Arial" w:eastAsia="Arial" w:hAnsi="Arial"/>
          <w:sz w:val="17"/>
          <w:szCs w:val="17"/>
          <w:color w:val="auto"/>
        </w:rPr>
        <w:t>quarter of 2015, primarily due to decreases in occupancy in both Canada and Australia, as well as the weaker Canadian and Australian dollars in 2016 compared to 2015. Please see the discussion of segment results of operations below for further information.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2" w:name="page23"/>
    <w:bookmarkEnd w:id="22"/>
    <w:p>
      <w:pPr>
        <w:ind w:right="60" w:firstLine="324"/>
        <w:spacing w:after="0" w:line="256" w:lineRule="auto"/>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Selling, general and administrative (SG&amp;A) expense decreased $3.1 million, or 17%, in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2016 compared to the second quarter of 2015. This decrease was primarily due to reduced compensation as a result of workforce reductions in 2015, lower professional fees due to lower costs associated with the Redomicile Transaction, lower bad debt reserves when compared to 2015 and the impact of the weaker Canadian and Australian dollars. These items were partially offset by higher share based compensation expense associated with phantom share awards. The increase in share based compensation is due to the increase in our share price during the period, which is used to remeasure these awards at each reporting date.</w:t>
      </w:r>
    </w:p>
    <w:p>
      <w:pPr>
        <w:spacing w:after="0" w:line="188" w:lineRule="exact"/>
        <w:rPr>
          <w:sz w:val="20"/>
          <w:szCs w:val="20"/>
          <w:color w:val="auto"/>
        </w:rPr>
      </w:pPr>
    </w:p>
    <w:p>
      <w:pPr>
        <w:ind w:right="40" w:firstLine="324"/>
        <w:spacing w:after="0" w:line="266" w:lineRule="auto"/>
        <w:rPr>
          <w:sz w:val="20"/>
          <w:szCs w:val="20"/>
          <w:color w:val="auto"/>
        </w:rPr>
      </w:pPr>
      <w:r>
        <w:rPr>
          <w:rFonts w:ascii="Arial" w:cs="Arial" w:eastAsia="Arial" w:hAnsi="Arial"/>
          <w:sz w:val="18"/>
          <w:szCs w:val="18"/>
          <w:b w:val="1"/>
          <w:bCs w:val="1"/>
          <w:color w:val="auto"/>
        </w:rPr>
        <w:t xml:space="preserve">Depreciation and Amortization Expense. </w:t>
      </w:r>
      <w:r>
        <w:rPr>
          <w:rFonts w:ascii="Arial" w:cs="Arial" w:eastAsia="Arial" w:hAnsi="Arial"/>
          <w:sz w:val="18"/>
          <w:szCs w:val="18"/>
          <w:color w:val="auto"/>
        </w:rPr>
        <w:t>Depreciation and amortization expense decreased $9.4 million, or 22%, in the second quarter of 2016</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second quarter of 2015, primarily due to reduced depreciation expense resulting from impairments recorded in 2015, as well as the impact of the weaker Canadian and Australian dollars.</w:t>
      </w:r>
    </w:p>
    <w:p>
      <w:pPr>
        <w:spacing w:after="0" w:line="176" w:lineRule="exact"/>
        <w:rPr>
          <w:sz w:val="20"/>
          <w:szCs w:val="20"/>
          <w:color w:val="auto"/>
        </w:rPr>
      </w:pPr>
    </w:p>
    <w:p>
      <w:pPr>
        <w:ind w:right="400" w:firstLine="324"/>
        <w:spacing w:after="0" w:line="282" w:lineRule="auto"/>
        <w:rPr>
          <w:sz w:val="20"/>
          <w:szCs w:val="20"/>
          <w:color w:val="auto"/>
        </w:rPr>
      </w:pPr>
      <w:r>
        <w:rPr>
          <w:rFonts w:ascii="Arial" w:cs="Arial" w:eastAsia="Arial" w:hAnsi="Arial"/>
          <w:sz w:val="18"/>
          <w:szCs w:val="18"/>
          <w:b w:val="1"/>
          <w:bCs w:val="1"/>
          <w:color w:val="auto"/>
        </w:rPr>
        <w:t xml:space="preserve">Impairment Expense. </w:t>
      </w:r>
      <w:r>
        <w:rPr>
          <w:rFonts w:ascii="Arial" w:cs="Arial" w:eastAsia="Arial" w:hAnsi="Arial"/>
          <w:sz w:val="18"/>
          <w:szCs w:val="18"/>
          <w:color w:val="auto"/>
        </w:rPr>
        <w:t>We recorded pre-tax impairment expense of $9.5 million in the second quarter of 2015 related to fixed assets at Kambalda, a</w:t>
      </w:r>
      <w:r>
        <w:rPr>
          <w:rFonts w:ascii="Arial" w:cs="Arial" w:eastAsia="Arial" w:hAnsi="Arial"/>
          <w:sz w:val="18"/>
          <w:szCs w:val="18"/>
          <w:b w:val="1"/>
          <w:bCs w:val="1"/>
          <w:color w:val="auto"/>
        </w:rPr>
        <w:t xml:space="preserve"> </w:t>
      </w:r>
      <w:r>
        <w:rPr>
          <w:rFonts w:ascii="Arial" w:cs="Arial" w:eastAsia="Arial" w:hAnsi="Arial"/>
          <w:sz w:val="18"/>
          <w:szCs w:val="18"/>
          <w:color w:val="auto"/>
        </w:rPr>
        <w:t>village located in Western Australia, due to the continued downturn in gold mining activity and lack of contract renewals.</w:t>
      </w:r>
    </w:p>
    <w:p>
      <w:pPr>
        <w:spacing w:after="0" w:line="162" w:lineRule="exact"/>
        <w:rPr>
          <w:sz w:val="20"/>
          <w:szCs w:val="20"/>
          <w:color w:val="auto"/>
        </w:rPr>
      </w:pPr>
    </w:p>
    <w:p>
      <w:pPr>
        <w:ind w:right="360" w:firstLine="324"/>
        <w:spacing w:after="0" w:line="347" w:lineRule="auto"/>
        <w:rPr>
          <w:sz w:val="20"/>
          <w:szCs w:val="20"/>
          <w:color w:val="auto"/>
        </w:rPr>
      </w:pPr>
      <w:r>
        <w:rPr>
          <w:rFonts w:ascii="Arial" w:cs="Arial" w:eastAsia="Arial" w:hAnsi="Arial"/>
          <w:sz w:val="16"/>
          <w:szCs w:val="16"/>
          <w:b w:val="1"/>
          <w:bCs w:val="1"/>
          <w:color w:val="auto"/>
        </w:rPr>
        <w:t xml:space="preserve">Operating Loss. </w:t>
      </w:r>
      <w:r>
        <w:rPr>
          <w:rFonts w:ascii="Arial" w:cs="Arial" w:eastAsia="Arial" w:hAnsi="Arial"/>
          <w:sz w:val="16"/>
          <w:szCs w:val="16"/>
          <w:color w:val="auto"/>
        </w:rPr>
        <w:t>Consolidated operating loss decreased $8.1 million, or 57%, in the second quarter of 2016 compared to the second quarter of 2015,</w:t>
      </w:r>
      <w:r>
        <w:rPr>
          <w:rFonts w:ascii="Arial" w:cs="Arial" w:eastAsia="Arial" w:hAnsi="Arial"/>
          <w:sz w:val="16"/>
          <w:szCs w:val="16"/>
          <w:b w:val="1"/>
          <w:bCs w:val="1"/>
          <w:color w:val="auto"/>
        </w:rPr>
        <w:t xml:space="preserve"> </w:t>
      </w:r>
      <w:r>
        <w:rPr>
          <w:rFonts w:ascii="Arial" w:cs="Arial" w:eastAsia="Arial" w:hAnsi="Arial"/>
          <w:sz w:val="16"/>
          <w:szCs w:val="16"/>
          <w:color w:val="auto"/>
        </w:rPr>
        <w:t>primarily due to lower impairment expense, as well as, lower depreciation and amortization expense and the weaker Canadian and Australian dollars.</w:t>
      </w:r>
    </w:p>
    <w:p>
      <w:pPr>
        <w:spacing w:after="0" w:line="116"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b w:val="1"/>
          <w:bCs w:val="1"/>
          <w:color w:val="auto"/>
        </w:rPr>
        <w:t xml:space="preserve">Interest Expense and Interest Income, net. </w:t>
      </w:r>
      <w:r>
        <w:rPr>
          <w:rFonts w:ascii="Arial" w:cs="Arial" w:eastAsia="Arial" w:hAnsi="Arial"/>
          <w:sz w:val="18"/>
          <w:szCs w:val="18"/>
          <w:color w:val="auto"/>
        </w:rPr>
        <w:t>Net interest expense increased by $0.3 million, or 6%, in the second quarter of 2016 compared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 quarter of 2015, primarily due to decreased interest income due to lower average cash balances in the second quarter of 2016 as compared to the same period in 2015. This was partially offset by decreased interest expense associated with lower amounts outstanding under the Amended Credit Facility in the second quarter of 2016 as compared to the second quarter of 2015.</w:t>
      </w:r>
    </w:p>
    <w:p>
      <w:pPr>
        <w:spacing w:after="0" w:line="180" w:lineRule="exact"/>
        <w:rPr>
          <w:sz w:val="20"/>
          <w:szCs w:val="20"/>
          <w:color w:val="auto"/>
        </w:rPr>
      </w:pPr>
    </w:p>
    <w:p>
      <w:pPr>
        <w:ind w:right="40" w:firstLine="324"/>
        <w:spacing w:after="0" w:line="292" w:lineRule="auto"/>
        <w:rPr>
          <w:sz w:val="20"/>
          <w:szCs w:val="20"/>
          <w:color w:val="auto"/>
        </w:rPr>
      </w:pPr>
      <w:r>
        <w:rPr>
          <w:rFonts w:ascii="Arial" w:cs="Arial" w:eastAsia="Arial" w:hAnsi="Arial"/>
          <w:sz w:val="16"/>
          <w:szCs w:val="16"/>
          <w:b w:val="1"/>
          <w:bCs w:val="1"/>
          <w:color w:val="auto"/>
        </w:rPr>
        <w:t xml:space="preserve">Income Tax Benefit. </w:t>
      </w:r>
      <w:r>
        <w:rPr>
          <w:rFonts w:ascii="Arial" w:cs="Arial" w:eastAsia="Arial" w:hAnsi="Arial"/>
          <w:sz w:val="16"/>
          <w:szCs w:val="16"/>
          <w:color w:val="auto"/>
        </w:rPr>
        <w:t>Our income tax benefit for the three months ended June 30, 2016 totaled $0.9 million, or 7.7% of pretax income, compared to a</w:t>
      </w:r>
      <w:r>
        <w:rPr>
          <w:rFonts w:ascii="Arial" w:cs="Arial" w:eastAsia="Arial" w:hAnsi="Arial"/>
          <w:sz w:val="16"/>
          <w:szCs w:val="16"/>
          <w:b w:val="1"/>
          <w:bCs w:val="1"/>
          <w:color w:val="auto"/>
        </w:rPr>
        <w:t xml:space="preserve"> </w:t>
      </w:r>
      <w:r>
        <w:rPr>
          <w:rFonts w:ascii="Arial" w:cs="Arial" w:eastAsia="Arial" w:hAnsi="Arial"/>
          <w:sz w:val="16"/>
          <w:szCs w:val="16"/>
          <w:color w:val="auto"/>
        </w:rPr>
        <w:t>benefit of $5.9 million, or 30.6% of pretax income, for the three months ended June 30, 2015. Our effective tax rate in 2016 was reduced approximately 16% by the exclusion of Australia and U.S. for purposes of computing the interim tax provision since they are loss jurisdictions for tax accounting purposes. In addition, the lower effective tax rate for the three months ended June 30, 2016 is due to a reduction in the 2016 annual effective tax rate from March 31, 2016 to June 30, 2016 due to changes in estimated taxable loss. Under ASC 740-270, Accounting for Income Taxes, the quarterly tax provision is based on our current estimate of the annual effective tax rate less the prior quarter’s year-to-date tax provision. Our effective tax rate in 2015 was impacted by a $2.7 million charge, related to an increase in statutory tax rates in Alberta, Canada, which reduced our 2015 income tax benefit.</w:t>
      </w:r>
    </w:p>
    <w:p>
      <w:pPr>
        <w:spacing w:after="0" w:line="162"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b w:val="1"/>
          <w:bCs w:val="1"/>
          <w:color w:val="auto"/>
        </w:rPr>
        <w:t xml:space="preserve">Other Comprehensive Income (Loss). </w:t>
      </w:r>
      <w:r>
        <w:rPr>
          <w:rFonts w:ascii="Arial" w:cs="Arial" w:eastAsia="Arial" w:hAnsi="Arial"/>
          <w:sz w:val="18"/>
          <w:szCs w:val="18"/>
          <w:color w:val="auto"/>
        </w:rPr>
        <w:t>Other comprehensive loss increased $30.8 million in the second quarter of 2016 compared to the second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of 2015, primarily as a result of foreign currency translation adjustments due to changes in the Canadian and Australian dollar exchange rates compared to the U.S. dollar. The Canadian dollar exchange rate compared to the U.S. dollar was flat in the second quarter of 2016 compared to a 2% increase in the second quarter of 2015. The Australian dollar exchange rate compared to the U.S. dollar decreased 3% in the second quarter of 2016 compared to being effectively flat in the second quarter of 2015.</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0"/>
        </w:trPr>
        <w:tc>
          <w:tcPr>
            <w:tcW w:w="46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Segment Results of Operations – Canadian Segment</w:t>
            </w: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2"/>
              </w:rPr>
              <w:t>Three Months Ended</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8"/>
                <w:szCs w:val="18"/>
                <w:b w:val="1"/>
                <w:bCs w:val="1"/>
                <w:color w:val="auto"/>
                <w:w w:val="88"/>
              </w:rPr>
              <w:t>June 30,</w:t>
            </w: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Revenues ($ in thousands)</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Lodge revenue (1)</w:t>
            </w:r>
          </w:p>
        </w:tc>
        <w:tc>
          <w:tcPr>
            <w:tcW w:w="136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66,301</w:t>
            </w:r>
          </w:p>
        </w:tc>
        <w:tc>
          <w:tcPr>
            <w:tcW w:w="16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70,351</w:t>
            </w:r>
          </w:p>
        </w:tc>
        <w:tc>
          <w:tcPr>
            <w:tcW w:w="20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(4,050)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Mobile, open camp and product revenue</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10,806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(8,915)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3460" w:type="dxa"/>
            <w:vAlign w:val="bottom"/>
          </w:tcPr>
          <w:p>
            <w:pPr>
              <w:ind w:left="320"/>
              <w:spacing w:after="0"/>
              <w:rPr>
                <w:sz w:val="20"/>
                <w:szCs w:val="20"/>
                <w:color w:val="auto"/>
              </w:rPr>
            </w:pPr>
            <w:r>
              <w:rPr>
                <w:rFonts w:ascii="Arial" w:cs="Arial" w:eastAsia="Arial" w:hAnsi="Arial"/>
                <w:sz w:val="18"/>
                <w:szCs w:val="18"/>
                <w:color w:val="auto"/>
              </w:rPr>
              <w:t>Total revenues</w:t>
            </w:r>
          </w:p>
        </w:tc>
        <w:tc>
          <w:tcPr>
            <w:tcW w:w="136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77,107</w:t>
            </w:r>
          </w:p>
        </w:tc>
        <w:tc>
          <w:tcPr>
            <w:tcW w:w="16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90,072</w:t>
            </w:r>
          </w:p>
        </w:tc>
        <w:tc>
          <w:tcPr>
            <w:tcW w:w="20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(12,965)</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9"/>
              </w:rPr>
              <w:t>Cost of sales and services ($ in thousands)</w:t>
            </w:r>
          </w:p>
        </w:tc>
        <w:tc>
          <w:tcPr>
            <w:tcW w:w="136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47,579</w:t>
            </w:r>
          </w:p>
        </w:tc>
        <w:tc>
          <w:tcPr>
            <w:tcW w:w="16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61,375</w:t>
            </w:r>
          </w:p>
        </w:tc>
        <w:tc>
          <w:tcPr>
            <w:tcW w:w="20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(13,796)</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Gross margin as a % of revenues</w:t>
            </w: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38.3%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31.9%</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Average available lodge rooms (2)</w:t>
            </w: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13,929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13,229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Rentable rooms for lodges (3)</w:t>
            </w: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10,902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10,398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Average daily rate for lodges (4)</w:t>
            </w:r>
          </w:p>
        </w:tc>
        <w:tc>
          <w:tcPr>
            <w:tcW w:w="136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Occupancy in lodges (5)</w:t>
            </w: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Canadian dollar to U.S. dollar</w:t>
            </w:r>
          </w:p>
        </w:tc>
        <w:tc>
          <w:tcPr>
            <w:tcW w:w="136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0.776</w:t>
            </w:r>
          </w:p>
        </w:tc>
        <w:tc>
          <w:tcPr>
            <w:tcW w:w="160" w:type="dxa"/>
            <w:vAlign w:val="bottom"/>
          </w:tcPr>
          <w:p>
            <w:pPr>
              <w:spacing w:after="0"/>
              <w:rPr>
                <w:sz w:val="20"/>
                <w:szCs w:val="20"/>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0.814</w:t>
            </w:r>
          </w:p>
        </w:tc>
        <w:tc>
          <w:tcPr>
            <w:tcW w:w="200" w:type="dxa"/>
            <w:vAlign w:val="bottom"/>
          </w:tcPr>
          <w:p>
            <w:pPr>
              <w:spacing w:after="0"/>
              <w:rPr>
                <w:sz w:val="20"/>
                <w:szCs w:val="20"/>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(0.038)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0890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81"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revenue related to rooms as well as the fees associated with catering, laundry and other services including facilities management.</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Average available rooms include rooms that are utilized for our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Rentable rooms exclude rooms that are utilized for our personnel and out-of-service rooms.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Average daily rate is based on rentable rooms and lodge/village revenue.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Occupancy represents total billed days divided by rentable days. Rentable days excludes staff rooms and out-of-service rooms.</w:t>
      </w:r>
    </w:p>
    <w:p>
      <w:pPr>
        <w:spacing w:after="0" w:line="22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Our Canadian segment reported revenues in the second quarter of 2016 that were $13.0 million, or 14%, lower than the second quarter of 2015. The weakening of the average exchange rates for the Canadian dollar relative to the U.S. dollar by 5% in the second quarter of 2016 compared to the second quarter of 2015 resulted in a $3.7 million period-over-period reduction in revenues. In addition, excluding the impact of the weaker Canadian exchange rates, the segment experienced a 1% decline in lodge revenues. This decline was driven by lower room rates, which was largely offset by an increase in rented rooms due to the Fort McMurray fires in May 2016 as well as the ramping up of the Mariana Lake Lodge in the third quarter of 2015 and the Sitka Lodge in the fourth quarter of 2015. Finally, mobile, open camp and product revenues all declined due to overall lower activity levels.</w:t>
      </w:r>
    </w:p>
    <w:p>
      <w:pPr>
        <w:spacing w:after="0" w:line="178"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Our Canadian segment cost of sales and services decreased $14.0 million, or 22%, in the second quarter of 2016 compared to the second quarter of 2015 primarily due to reduced activity, as well as the weakening of the average exchange rates.</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Canadian segment gross margin as a percentage of revenues increased from 32% in the second quarter of 2015 to 38% in the second quarter of 2016. This increase was driven by (i) an increase in rented rooms due to the Fort McMurray fires in May 2016; (ii) the ramping up of the Mariana Lake Lodge in the third quarter of 2015 and the Sitka Lodge in the fourth quarter of 2015; and (iii) lower costs due to a focus on cost containment and operational efficiencies.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0"/>
        </w:trPr>
        <w:tc>
          <w:tcPr>
            <w:tcW w:w="452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8"/>
              </w:rPr>
              <w:t>Segment Results of Operations – Australian Segment</w:t>
            </w: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2"/>
              </w:rPr>
              <w:t>Three Months Ended</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8"/>
                <w:szCs w:val="18"/>
                <w:b w:val="1"/>
                <w:bCs w:val="1"/>
                <w:color w:val="auto"/>
                <w:w w:val="88"/>
              </w:rPr>
              <w:t>June 30,</w:t>
            </w: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2015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Revenues ($ in thousands)</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60" w:type="dxa"/>
            <w:vAlign w:val="bottom"/>
          </w:tcPr>
          <w:p>
            <w:pPr>
              <w:ind w:left="160"/>
              <w:spacing w:after="0"/>
              <w:rPr>
                <w:sz w:val="20"/>
                <w:szCs w:val="20"/>
                <w:color w:val="auto"/>
              </w:rPr>
            </w:pPr>
            <w:r>
              <w:rPr>
                <w:rFonts w:ascii="Arial" w:cs="Arial" w:eastAsia="Arial" w:hAnsi="Arial"/>
                <w:sz w:val="18"/>
                <w:szCs w:val="18"/>
                <w:color w:val="auto"/>
              </w:rPr>
              <w:t>Village revenue (1)</w:t>
            </w:r>
          </w:p>
        </w:tc>
        <w:tc>
          <w:tcPr>
            <w:tcW w:w="158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27,505</w:t>
            </w:r>
          </w:p>
        </w:tc>
        <w:tc>
          <w:tcPr>
            <w:tcW w:w="160" w:type="dxa"/>
            <w:vAlign w:val="bottom"/>
          </w:tcPr>
          <w:p>
            <w:pPr>
              <w:spacing w:after="0"/>
              <w:rPr>
                <w:sz w:val="19"/>
                <w:szCs w:val="19"/>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38,268</w:t>
            </w:r>
          </w:p>
        </w:tc>
        <w:tc>
          <w:tcPr>
            <w:tcW w:w="200" w:type="dxa"/>
            <w:vAlign w:val="bottom"/>
          </w:tcPr>
          <w:p>
            <w:pPr>
              <w:spacing w:after="0"/>
              <w:rPr>
                <w:sz w:val="19"/>
                <w:szCs w:val="19"/>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(10,763)</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5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27,505</w:t>
            </w: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38,268</w:t>
            </w:r>
          </w:p>
        </w:tc>
        <w:tc>
          <w:tcPr>
            <w:tcW w:w="2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58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in thousands)</w:t>
            </w:r>
          </w:p>
        </w:tc>
        <w:tc>
          <w:tcPr>
            <w:tcW w:w="158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13,132</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16,032</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Gross margin as a % of revenues</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58.1%</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Average available village rooms (2)</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Rentable rooms for villages (3)</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58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 for villages (4)</w:t>
            </w:r>
          </w:p>
        </w:tc>
        <w:tc>
          <w:tcPr>
            <w:tcW w:w="158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Occupancy in Villages (5)</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58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Australian dollar to U.S. dollar</w:t>
            </w:r>
          </w:p>
        </w:tc>
        <w:tc>
          <w:tcPr>
            <w:tcW w:w="158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0.746</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0.778</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0890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revenue related to rooms as well as the fees associated with catering, laundry and other services including facilities management.</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Average available rooms include rooms that are utilized for our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Rentable rooms exclude rooms that are utilized for our personnel and out-of-service rooms.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Average daily rate is based on rentable rooms and lodge/village revenue.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Occupancy represents total billed days divided by rentable days. Rentable days excludes staff rooms and out-of-service rooms.</w:t>
      </w:r>
    </w:p>
    <w:p>
      <w:pPr>
        <w:spacing w:after="0" w:line="200" w:lineRule="exact"/>
        <w:rPr>
          <w:sz w:val="20"/>
          <w:szCs w:val="20"/>
          <w:color w:val="auto"/>
        </w:rPr>
      </w:pPr>
    </w:p>
    <w:p>
      <w:pPr>
        <w:spacing w:after="0" w:line="24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Our Australian segment reported revenues in the second quarter of 2016 that were $10.8 million, or 28%, lower than the second quarter of 2015. The weakening of the average exchange rates for Australian dollars relative to the U.S. dollar by 4% in the second quarter of 2016 compared to the second quarter of 2015 resulted in a $1.2 million period-over-period reduction in revenues. Excluding the impact of the weaker Australian exchange rates, the Australian segment experienced a 25% decline in revenues due to lower occupancy levels in the second quarter of 2016 compared to the second quarter of 2015, primarily as a result of the continued slowdown in mining activity.</w:t>
      </w:r>
    </w:p>
    <w:p>
      <w:pPr>
        <w:spacing w:after="0" w:line="18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Australian segment cost of sales decreased $2.9 million, or 18%, in the second quarter of 2016 compared to the second quarter of 2015. The decrease was driven by lower occupancy levels as well as the weakening of the Australian dollar.</w:t>
      </w:r>
    </w:p>
    <w:p>
      <w:pPr>
        <w:spacing w:after="0" w:line="170"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Our Australian segment gross margin as a percentage of revenues decreased to 52% in the second quarter of 2016 from 58% in the second quarter of 2015. This was primarily driven by reduced take or pay revenues on expired contracts and lower occupancy compared to the second quarter of 2015.</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0"/>
        </w:trPr>
        <w:tc>
          <w:tcPr>
            <w:tcW w:w="464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5"/>
              </w:rPr>
              <w:t>Segment Results of Operations – United States Segment</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4"/>
          </w:tcPr>
          <w:p>
            <w:pPr>
              <w:ind w:left="40"/>
              <w:spacing w:after="0"/>
              <w:rPr>
                <w:sz w:val="20"/>
                <w:szCs w:val="20"/>
                <w:color w:val="auto"/>
              </w:rPr>
            </w:pPr>
            <w:r>
              <w:rPr>
                <w:rFonts w:ascii="Arial" w:cs="Arial" w:eastAsia="Arial" w:hAnsi="Arial"/>
                <w:sz w:val="18"/>
                <w:szCs w:val="18"/>
                <w:b w:val="1"/>
                <w:bCs w:val="1"/>
                <w:color w:val="auto"/>
                <w:w w:val="97"/>
              </w:rPr>
              <w:t>Three Months Ended</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8"/>
                <w:szCs w:val="18"/>
                <w:b w:val="1"/>
                <w:bCs w:val="1"/>
                <w:color w:val="auto"/>
              </w:rPr>
              <w:t>June 30,</w:t>
            </w: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Revenues ($ in thousands)</w:t>
            </w:r>
          </w:p>
        </w:tc>
        <w:tc>
          <w:tcPr>
            <w:tcW w:w="148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14,807</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(12,384)</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in thousands)</w:t>
            </w:r>
          </w:p>
        </w:tc>
        <w:tc>
          <w:tcPr>
            <w:tcW w:w="148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12,017</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(8,142)</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Gross margin as a % of revenues</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(59.9%)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Our United States segment reported revenues in the second quarter of 2016 that were $12.4 million, or 84%, lower than the second quarter of 2015. The reduction was primarily due to lower U.S. drilling activity in the Bakken, Rockies and Texas markets and decreased sales in our offshore business.</w:t>
      </w:r>
    </w:p>
    <w:p>
      <w:pPr>
        <w:spacing w:after="0" w:line="124"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Our United States cost of sales decreased $8.1 million, or 68%, in the second quarter of 2016 compared to the second quarter of 2015. The decrease was driven by overall lower activity levels.</w:t>
      </w:r>
    </w:p>
    <w:p>
      <w:pPr>
        <w:spacing w:after="0" w:line="170"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Our United States segment gross margin as a percentage of revenues decreased from 19% in the second quarter of 2015 to (60%) in the second quarter of 2016 primarily due to overall lower activity levels, which were insufficient to cover the fixed cost structure of our United States segment.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Six Months Ended June 30, 2016 Compared to Six Months Ended June 30, 2015</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Six Months Ended</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8"/>
                <w:szCs w:val="18"/>
                <w:b w:val="1"/>
                <w:bCs w:val="1"/>
                <w:color w:val="auto"/>
                <w:w w:val="88"/>
              </w:rPr>
              <w:t>June 30,</w:t>
            </w: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Canada</w:t>
            </w:r>
          </w:p>
        </w:tc>
        <w:tc>
          <w:tcPr>
            <w:tcW w:w="6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142,629</w:t>
            </w:r>
          </w:p>
        </w:tc>
        <w:tc>
          <w:tcPr>
            <w:tcW w:w="120" w:type="dxa"/>
            <w:vAlign w:val="bottom"/>
          </w:tcPr>
          <w:p>
            <w:pPr>
              <w:spacing w:after="0"/>
              <w:rPr>
                <w:sz w:val="18"/>
                <w:szCs w:val="18"/>
                <w:color w:val="auto"/>
              </w:rPr>
            </w:pP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206,972</w:t>
            </w:r>
          </w:p>
        </w:tc>
        <w:tc>
          <w:tcPr>
            <w:tcW w:w="12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(64,343)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Australia</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53,015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80,127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United States and other</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6,427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27,035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(20,608)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3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202,071</w:t>
            </w: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314,134</w:t>
            </w: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Costs and expenses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sales and services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320"/>
              <w:spacing w:after="0"/>
              <w:rPr>
                <w:sz w:val="20"/>
                <w:szCs w:val="20"/>
                <w:color w:val="auto"/>
              </w:rPr>
            </w:pPr>
            <w:r>
              <w:rPr>
                <w:rFonts w:ascii="Arial" w:cs="Arial" w:eastAsia="Arial" w:hAnsi="Arial"/>
                <w:sz w:val="18"/>
                <w:szCs w:val="18"/>
                <w:color w:val="auto"/>
              </w:rPr>
              <w:t>Canada</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95,343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135,081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(39,738)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Australia</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320"/>
              <w:spacing w:after="0"/>
              <w:rPr>
                <w:sz w:val="20"/>
                <w:szCs w:val="20"/>
                <w:color w:val="auto"/>
              </w:rPr>
            </w:pPr>
            <w:r>
              <w:rPr>
                <w:rFonts w:ascii="Arial" w:cs="Arial" w:eastAsia="Arial" w:hAnsi="Arial"/>
                <w:sz w:val="18"/>
                <w:szCs w:val="18"/>
                <w:color w:val="auto"/>
              </w:rPr>
              <w:t>United States and other</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9,535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23,551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(14,016)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cost of sales and services</w:t>
            </w:r>
          </w:p>
        </w:tc>
        <w:tc>
          <w:tcPr>
            <w:tcW w:w="3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130,529</w:t>
            </w: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192,335</w:t>
            </w: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w w:val="98"/>
              </w:rPr>
              <w:t>Selling, general and administrative expenses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28,412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35,105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 expense</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66,723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84,987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Impairment expense</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12,211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operating expense (income)</w:t>
            </w:r>
          </w:p>
        </w:tc>
        <w:tc>
          <w:tcPr>
            <w:tcW w:w="3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(1,243)</w:t>
            </w:r>
          </w:p>
        </w:tc>
        <w:tc>
          <w:tcPr>
            <w:tcW w:w="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Pr>
          <w:p>
            <w:pPr>
              <w:ind w:left="320"/>
              <w:spacing w:after="0"/>
              <w:rPr>
                <w:sz w:val="20"/>
                <w:szCs w:val="20"/>
                <w:color w:val="auto"/>
              </w:rPr>
            </w:pPr>
            <w:r>
              <w:rPr>
                <w:rFonts w:ascii="Arial" w:cs="Arial" w:eastAsia="Arial" w:hAnsi="Arial"/>
                <w:sz w:val="18"/>
                <w:szCs w:val="18"/>
                <w:color w:val="auto"/>
              </w:rPr>
              <w:t>Total costs and expenses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234,282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323,395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(89,113)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(32,211)</w:t>
            </w:r>
          </w:p>
        </w:tc>
        <w:tc>
          <w:tcPr>
            <w:tcW w:w="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(9,261)</w:t>
            </w:r>
          </w:p>
        </w:tc>
        <w:tc>
          <w:tcPr>
            <w:tcW w:w="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income, net</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(11,057)</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(10,048)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(280)</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1,564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(1,844)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before income taxes</w:t>
            </w:r>
          </w:p>
        </w:tc>
        <w:tc>
          <w:tcPr>
            <w:tcW w:w="3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(43,548)</w:t>
            </w:r>
          </w:p>
        </w:tc>
        <w:tc>
          <w:tcPr>
            <w:tcW w:w="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(17,745)</w:t>
            </w:r>
          </w:p>
        </w:tc>
        <w:tc>
          <w:tcPr>
            <w:tcW w:w="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Income tax benefit</w:t>
            </w: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5,520</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4,706</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(38,028)</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(13,039)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tcPr>
          <w:p>
            <w:pPr>
              <w:spacing w:after="0" w:line="201" w:lineRule="exact"/>
              <w:rPr>
                <w:sz w:val="20"/>
                <w:szCs w:val="20"/>
                <w:color w:val="auto"/>
              </w:rPr>
            </w:pPr>
            <w:r>
              <w:rPr>
                <w:rFonts w:ascii="Arial" w:cs="Arial" w:eastAsia="Arial" w:hAnsi="Arial"/>
                <w:sz w:val="18"/>
                <w:szCs w:val="18"/>
                <w:color w:val="auto"/>
                <w:w w:val="99"/>
              </w:rPr>
              <w:t>Less: Net income attributable to noncontrolling</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7"/>
        </w:trPr>
        <w:tc>
          <w:tcPr>
            <w:tcW w:w="372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Civeo</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(38,308)</w:t>
            </w:r>
          </w:p>
        </w:tc>
        <w:tc>
          <w:tcPr>
            <w:tcW w:w="360" w:type="dxa"/>
            <w:vAlign w:val="bottom"/>
            <w:tcBorders>
              <w:top w:val="single" w:sz="8" w:color="auto"/>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(13,477)</w:t>
            </w:r>
          </w:p>
        </w:tc>
        <w:tc>
          <w:tcPr>
            <w:tcW w:w="340" w:type="dxa"/>
            <w:vAlign w:val="bottom"/>
            <w:tcBorders>
              <w:top w:val="single" w:sz="8" w:color="auto"/>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(24,831)</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420" w:firstLine="324"/>
        <w:spacing w:after="0" w:line="279" w:lineRule="auto"/>
        <w:rPr>
          <w:sz w:val="20"/>
          <w:szCs w:val="20"/>
          <w:color w:val="auto"/>
        </w:rPr>
      </w:pPr>
      <w:r>
        <w:rPr>
          <w:rFonts w:ascii="Arial" w:cs="Arial" w:eastAsia="Arial" w:hAnsi="Arial"/>
          <w:sz w:val="17"/>
          <w:szCs w:val="17"/>
          <w:color w:val="auto"/>
        </w:rPr>
        <w:t>We reported net loss attributable to Civeo for the six months ended June 30, 2016 of $38.3 million, or $0.36 per diluted share. As further discussed below, net loss included (i) an $8.4 million pre-tax loss ($8.4 million after-tax, or $0.08 per diluted share) resulting from the impairment of fixed assets, included in Impairment expense below, and (ii) a $1.3 million pre-tax loss ($1.2 million after-tax, or $0.01 per diluted share) from costs incurred in connection with the Redomicile Transaction, included in Selling, general and administrative (SG&amp;A) expense below.</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26" w:name="page27"/>
    <w:bookmarkEnd w:id="26"/>
    <w:p>
      <w:pPr>
        <w:ind w:right="280" w:firstLine="324"/>
        <w:spacing w:after="0" w:line="257" w:lineRule="auto"/>
        <w:rPr>
          <w:sz w:val="20"/>
          <w:szCs w:val="20"/>
          <w:color w:val="auto"/>
        </w:rPr>
      </w:pPr>
      <w:r>
        <w:rPr>
          <w:rFonts w:ascii="Arial" w:cs="Arial" w:eastAsia="Arial" w:hAnsi="Arial"/>
          <w:sz w:val="18"/>
          <w:szCs w:val="18"/>
          <w:color w:val="auto"/>
        </w:rPr>
        <w:t>These results compare to net loss attributable to Civeo for the six months ended June 30, 2015 of $13.5 million, or $0.13 per diluted share. As further discussed in Impairment expense, below, net loss for 2015 included $6.6 million of after-tax charges, or $0.06 per diluted share, resulting from the impairment of fixed assets at Kambalda, a village located in Western Australia, due to the continued downturn in gold mining activity and lack of contract renewals. Net loss for 2015 also included $2.4 million (or $0.03 per diluted share) in after-tax loss from costs incurred in connection with the Redomicile Transaction.</w:t>
      </w:r>
    </w:p>
    <w:p>
      <w:pPr>
        <w:spacing w:after="0" w:line="184" w:lineRule="exact"/>
        <w:rPr>
          <w:sz w:val="20"/>
          <w:szCs w:val="20"/>
          <w:color w:val="auto"/>
        </w:rPr>
      </w:pPr>
    </w:p>
    <w:p>
      <w:pPr>
        <w:ind w:right="80" w:firstLine="324"/>
        <w:spacing w:after="0" w:line="266"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Consolidated revenues decreased $112.1 million, or 36%, in the first half of 2016 compared to the first half of 2015. This decline was largely</w:t>
      </w:r>
      <w:r>
        <w:rPr>
          <w:rFonts w:ascii="Arial" w:cs="Arial" w:eastAsia="Arial" w:hAnsi="Arial"/>
          <w:sz w:val="18"/>
          <w:szCs w:val="18"/>
          <w:b w:val="1"/>
          <w:bCs w:val="1"/>
          <w:color w:val="auto"/>
        </w:rPr>
        <w:t xml:space="preserve"> </w:t>
      </w:r>
      <w:r>
        <w:rPr>
          <w:rFonts w:ascii="Arial" w:cs="Arial" w:eastAsia="Arial" w:hAnsi="Arial"/>
          <w:sz w:val="18"/>
          <w:szCs w:val="18"/>
          <w:color w:val="auto"/>
        </w:rPr>
        <w:t>driven by decreases in Canada and Australia, due to lower occupancy, as well as weaker Canadian and Australian dollars in 2016 compared to 2015. Please see the discussion of segment results of operations below for further information.</w:t>
      </w:r>
    </w:p>
    <w:p>
      <w:pPr>
        <w:spacing w:after="0" w:line="176" w:lineRule="exact"/>
        <w:rPr>
          <w:sz w:val="20"/>
          <w:szCs w:val="20"/>
          <w:color w:val="auto"/>
        </w:rPr>
      </w:pPr>
    </w:p>
    <w:p>
      <w:pPr>
        <w:ind w:right="180" w:firstLine="324"/>
        <w:spacing w:after="0" w:line="289" w:lineRule="auto"/>
        <w:rPr>
          <w:sz w:val="20"/>
          <w:szCs w:val="20"/>
          <w:color w:val="auto"/>
        </w:rPr>
      </w:pPr>
      <w:r>
        <w:rPr>
          <w:rFonts w:ascii="Arial" w:cs="Arial" w:eastAsia="Arial" w:hAnsi="Arial"/>
          <w:sz w:val="17"/>
          <w:szCs w:val="17"/>
          <w:b w:val="1"/>
          <w:bCs w:val="1"/>
          <w:color w:val="auto"/>
        </w:rPr>
        <w:t xml:space="preserve">Cost of Sales and Services. </w:t>
      </w:r>
      <w:r>
        <w:rPr>
          <w:rFonts w:ascii="Arial" w:cs="Arial" w:eastAsia="Arial" w:hAnsi="Arial"/>
          <w:sz w:val="17"/>
          <w:szCs w:val="17"/>
          <w:color w:val="auto"/>
        </w:rPr>
        <w:t>Our consolidated cost of sales decreased $61.8 million, or 32%, in the first half of 2016 compared to the first half of 2015,</w:t>
      </w:r>
      <w:r>
        <w:rPr>
          <w:rFonts w:ascii="Arial" w:cs="Arial" w:eastAsia="Arial" w:hAnsi="Arial"/>
          <w:sz w:val="17"/>
          <w:szCs w:val="17"/>
          <w:b w:val="1"/>
          <w:bCs w:val="1"/>
          <w:color w:val="auto"/>
        </w:rPr>
        <w:t xml:space="preserve"> </w:t>
      </w:r>
      <w:r>
        <w:rPr>
          <w:rFonts w:ascii="Arial" w:cs="Arial" w:eastAsia="Arial" w:hAnsi="Arial"/>
          <w:sz w:val="17"/>
          <w:szCs w:val="17"/>
          <w:color w:val="auto"/>
        </w:rPr>
        <w:t>primarily due to decreases in occupancy in both Canada and Australia, as well as the weaker Canadian and Australian dollars in the first half of 2016 compared to the same period in 2015. Please see the discussion of segment results of operations below for further information.</w:t>
      </w:r>
    </w:p>
    <w:p>
      <w:pPr>
        <w:spacing w:after="0" w:line="158" w:lineRule="exact"/>
        <w:rPr>
          <w:sz w:val="20"/>
          <w:szCs w:val="20"/>
          <w:color w:val="auto"/>
        </w:rPr>
      </w:pPr>
    </w:p>
    <w:p>
      <w:pPr>
        <w:ind w:right="100" w:firstLine="324"/>
        <w:spacing w:after="0" w:line="298" w:lineRule="auto"/>
        <w:rPr>
          <w:sz w:val="20"/>
          <w:szCs w:val="20"/>
          <w:color w:val="auto"/>
        </w:rPr>
      </w:pPr>
      <w:r>
        <w:rPr>
          <w:rFonts w:ascii="Arial" w:cs="Arial" w:eastAsia="Arial" w:hAnsi="Arial"/>
          <w:sz w:val="16"/>
          <w:szCs w:val="16"/>
          <w:b w:val="1"/>
          <w:bCs w:val="1"/>
          <w:color w:val="auto"/>
        </w:rPr>
        <w:t xml:space="preserve">Selling, General and Administrative Expenses. </w:t>
      </w:r>
      <w:r>
        <w:rPr>
          <w:rFonts w:ascii="Arial" w:cs="Arial" w:eastAsia="Arial" w:hAnsi="Arial"/>
          <w:sz w:val="16"/>
          <w:szCs w:val="16"/>
          <w:color w:val="auto"/>
        </w:rPr>
        <w:t>SG&amp;A expense decreased $6.7 million, or 19%, in the first half of 2016 compared to the first half of</w:t>
      </w:r>
      <w:r>
        <w:rPr>
          <w:rFonts w:ascii="Arial" w:cs="Arial" w:eastAsia="Arial" w:hAnsi="Arial"/>
          <w:sz w:val="16"/>
          <w:szCs w:val="16"/>
          <w:b w:val="1"/>
          <w:bCs w:val="1"/>
          <w:color w:val="auto"/>
        </w:rPr>
        <w:t xml:space="preserve"> </w:t>
      </w:r>
      <w:r>
        <w:rPr>
          <w:rFonts w:ascii="Arial" w:cs="Arial" w:eastAsia="Arial" w:hAnsi="Arial"/>
          <w:sz w:val="16"/>
          <w:szCs w:val="16"/>
          <w:color w:val="auto"/>
        </w:rPr>
        <w:t>2015. This decrease was primarily due to reduced compensation as a result of workforce reductions in 2015, lower professional fees due to lower costs associated with the Redomicile Transaction, lower bad debt reserves when compared to 2015, and the impact of the weaker Canadian and Australian dollars. These items were partially offset by higher share based compensation expense associated with phantom share awards. The increase in share based compensation is due to the increase in our share price during the period, which is used to remeasure these awards at each reporting date.</w:t>
      </w:r>
    </w:p>
    <w:p>
      <w:pPr>
        <w:spacing w:after="0" w:line="154" w:lineRule="exact"/>
        <w:rPr>
          <w:sz w:val="20"/>
          <w:szCs w:val="20"/>
          <w:color w:val="auto"/>
        </w:rPr>
      </w:pPr>
    </w:p>
    <w:p>
      <w:pPr>
        <w:ind w:firstLine="324"/>
        <w:spacing w:after="0" w:line="266" w:lineRule="auto"/>
        <w:rPr>
          <w:sz w:val="20"/>
          <w:szCs w:val="20"/>
          <w:color w:val="auto"/>
        </w:rPr>
      </w:pPr>
      <w:r>
        <w:rPr>
          <w:rFonts w:ascii="Arial" w:cs="Arial" w:eastAsia="Arial" w:hAnsi="Arial"/>
          <w:sz w:val="18"/>
          <w:szCs w:val="18"/>
          <w:b w:val="1"/>
          <w:bCs w:val="1"/>
          <w:color w:val="auto"/>
        </w:rPr>
        <w:t xml:space="preserve">Depreciation and Amortization Expense. </w:t>
      </w:r>
      <w:r>
        <w:rPr>
          <w:rFonts w:ascii="Arial" w:cs="Arial" w:eastAsia="Arial" w:hAnsi="Arial"/>
          <w:sz w:val="18"/>
          <w:szCs w:val="18"/>
          <w:color w:val="auto"/>
        </w:rPr>
        <w:t>Depreciation and amortization expense decreased $18.3 million, or 21%, in the first half of 2016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half of 2015 primarily due to reduced depreciation expense resulting from impairments recorded in 2015 as well as the impact of the weaker Canadian and Australian dollars.</w:t>
      </w:r>
    </w:p>
    <w:p>
      <w:pPr>
        <w:spacing w:after="0" w:line="176" w:lineRule="exact"/>
        <w:rPr>
          <w:sz w:val="20"/>
          <w:szCs w:val="20"/>
          <w:color w:val="auto"/>
        </w:rPr>
      </w:pPr>
    </w:p>
    <w:p>
      <w:pPr>
        <w:ind w:right="40" w:firstLine="324"/>
        <w:spacing w:after="0" w:line="258" w:lineRule="auto"/>
        <w:rPr>
          <w:sz w:val="20"/>
          <w:szCs w:val="20"/>
          <w:color w:val="auto"/>
        </w:rPr>
      </w:pPr>
      <w:r>
        <w:rPr>
          <w:rFonts w:ascii="Arial" w:cs="Arial" w:eastAsia="Arial" w:hAnsi="Arial"/>
          <w:sz w:val="18"/>
          <w:szCs w:val="18"/>
          <w:b w:val="1"/>
          <w:bCs w:val="1"/>
          <w:color w:val="auto"/>
        </w:rPr>
        <w:t xml:space="preserve">Impairment Expense. </w:t>
      </w:r>
      <w:r>
        <w:rPr>
          <w:rFonts w:ascii="Arial" w:cs="Arial" w:eastAsia="Arial" w:hAnsi="Arial"/>
          <w:sz w:val="18"/>
          <w:szCs w:val="18"/>
          <w:color w:val="auto"/>
        </w:rPr>
        <w:t>We recorded pre-tax impairment expense of $8.4 million in the first half of 2016 primarily related to the impairment of fixed</w:t>
      </w:r>
      <w:r>
        <w:rPr>
          <w:rFonts w:ascii="Arial" w:cs="Arial" w:eastAsia="Arial" w:hAnsi="Arial"/>
          <w:sz w:val="18"/>
          <w:szCs w:val="18"/>
          <w:b w:val="1"/>
          <w:bCs w:val="1"/>
          <w:color w:val="auto"/>
        </w:rPr>
        <w:t xml:space="preserve"> </w:t>
      </w:r>
      <w:r>
        <w:rPr>
          <w:rFonts w:ascii="Arial" w:cs="Arial" w:eastAsia="Arial" w:hAnsi="Arial"/>
          <w:sz w:val="18"/>
          <w:szCs w:val="18"/>
          <w:color w:val="auto"/>
        </w:rPr>
        <w:t>assets in our U.S. segment, due to a continued reduction of U.S. drilling activity in the Bakken Shale region. Pre-tax impairment expense of $12.2 million in the first half of 2015 consisted of the $9.5 million impairment of fixed assets at Kambalda, a village located in Western Australia, due to the continued downturn in gold mining activity and lack of contract renewals. Additionally, we recognized an impairment totaling $2.7 million in 2015 related to a decision to sell our U.S. manufacturing facility.</w:t>
      </w:r>
    </w:p>
    <w:p>
      <w:pPr>
        <w:spacing w:after="0" w:line="184" w:lineRule="exact"/>
        <w:rPr>
          <w:sz w:val="20"/>
          <w:szCs w:val="20"/>
          <w:color w:val="auto"/>
        </w:rPr>
      </w:pPr>
    </w:p>
    <w:p>
      <w:pPr>
        <w:ind w:right="120" w:firstLine="324"/>
        <w:spacing w:after="0" w:line="282" w:lineRule="auto"/>
        <w:rPr>
          <w:sz w:val="20"/>
          <w:szCs w:val="20"/>
          <w:color w:val="auto"/>
        </w:rPr>
      </w:pPr>
      <w:r>
        <w:rPr>
          <w:rFonts w:ascii="Arial" w:cs="Arial" w:eastAsia="Arial" w:hAnsi="Arial"/>
          <w:sz w:val="18"/>
          <w:szCs w:val="18"/>
          <w:b w:val="1"/>
          <w:bCs w:val="1"/>
          <w:color w:val="auto"/>
        </w:rPr>
        <w:t xml:space="preserve">Operating Income (Loss). </w:t>
      </w:r>
      <w:r>
        <w:rPr>
          <w:rFonts w:ascii="Arial" w:cs="Arial" w:eastAsia="Arial" w:hAnsi="Arial"/>
          <w:sz w:val="18"/>
          <w:szCs w:val="18"/>
          <w:color w:val="auto"/>
        </w:rPr>
        <w:t>Consolidated operating income decreased $23.0 million, or 248%, in the first half of 2016 compared to the first half of 2015</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due to lower occupancy levels in Canada and Australia as well as the weaker Canadian and Australian dollars.</w:t>
      </w:r>
    </w:p>
    <w:p>
      <w:pPr>
        <w:spacing w:after="0" w:line="162" w:lineRule="exact"/>
        <w:rPr>
          <w:sz w:val="20"/>
          <w:szCs w:val="20"/>
          <w:color w:val="auto"/>
        </w:rPr>
      </w:pPr>
    </w:p>
    <w:p>
      <w:pPr>
        <w:ind w:right="20" w:firstLine="324"/>
        <w:spacing w:after="0" w:line="281" w:lineRule="auto"/>
        <w:rPr>
          <w:sz w:val="20"/>
          <w:szCs w:val="20"/>
          <w:color w:val="auto"/>
        </w:rPr>
      </w:pPr>
      <w:r>
        <w:rPr>
          <w:rFonts w:ascii="Arial" w:cs="Arial" w:eastAsia="Arial" w:hAnsi="Arial"/>
          <w:sz w:val="17"/>
          <w:szCs w:val="17"/>
          <w:b w:val="1"/>
          <w:bCs w:val="1"/>
          <w:color w:val="auto"/>
        </w:rPr>
        <w:t xml:space="preserve">Interest Expense and Interest Income, net. </w:t>
      </w:r>
      <w:r>
        <w:rPr>
          <w:rFonts w:ascii="Arial" w:cs="Arial" w:eastAsia="Arial" w:hAnsi="Arial"/>
          <w:sz w:val="17"/>
          <w:szCs w:val="17"/>
          <w:color w:val="auto"/>
        </w:rPr>
        <w:t>Net interest expense increased by $1.0 million, or 10%, in the first half of 2016 compared to the first half of</w:t>
      </w:r>
      <w:r>
        <w:rPr>
          <w:rFonts w:ascii="Arial" w:cs="Arial" w:eastAsia="Arial" w:hAnsi="Arial"/>
          <w:sz w:val="17"/>
          <w:szCs w:val="17"/>
          <w:b w:val="1"/>
          <w:bCs w:val="1"/>
          <w:color w:val="auto"/>
        </w:rPr>
        <w:t xml:space="preserve"> </w:t>
      </w:r>
      <w:r>
        <w:rPr>
          <w:rFonts w:ascii="Arial" w:cs="Arial" w:eastAsia="Arial" w:hAnsi="Arial"/>
          <w:sz w:val="17"/>
          <w:szCs w:val="17"/>
          <w:color w:val="auto"/>
        </w:rPr>
        <w:t>2015 primarily due to decreased interest income due to lower average cash balances in 2016 as compared to 2015 and the 2016 write-off of $0.3 million of debt issuance costs associated with the Amended Credit Facility. This was partially offset by decreased interest expense associated with lower amounts outstanding under the Amended Credit Facility in the first half of 2016 as compared to the first half of 2015.</w:t>
      </w:r>
    </w:p>
    <w:p>
      <w:pPr>
        <w:spacing w:after="0" w:line="219"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b w:val="1"/>
          <w:bCs w:val="1"/>
          <w:color w:val="auto"/>
        </w:rPr>
        <w:t xml:space="preserve">Income Tax Benefit. </w:t>
      </w:r>
      <w:r>
        <w:rPr>
          <w:rFonts w:ascii="Arial" w:cs="Arial" w:eastAsia="Arial" w:hAnsi="Arial"/>
          <w:sz w:val="18"/>
          <w:szCs w:val="18"/>
          <w:color w:val="auto"/>
        </w:rPr>
        <w:t>Our income tax benefit for the six months ended June 30, 2016 totaled $5.5 million, or 12.7% of pretax income, compared to a</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of $4.7 million, or 26.5% of pretax income, for the six months ended June 30, 2015. Our effective tax rate in 2016 was reduced approximately 18% by the exclusion of Australia and U.S. for purposes of computing the interim tax provision since they are loss jurisdictions for tax accounting purposes. Our effective tax rate in 2015 was impacted by a $2.7 million charge, related to an increase in statutory tax rates in Alberta, Canada, which reduced our 2015 income tax benefit.</w:t>
      </w:r>
    </w:p>
    <w:p>
      <w:pPr>
        <w:spacing w:after="0" w:line="184" w:lineRule="exact"/>
        <w:rPr>
          <w:sz w:val="20"/>
          <w:szCs w:val="20"/>
          <w:color w:val="auto"/>
        </w:rPr>
      </w:pPr>
    </w:p>
    <w:p>
      <w:pPr>
        <w:jc w:val="both"/>
        <w:ind w:right="240" w:firstLine="324"/>
        <w:spacing w:after="0" w:line="258" w:lineRule="auto"/>
        <w:rPr>
          <w:sz w:val="20"/>
          <w:szCs w:val="20"/>
          <w:color w:val="auto"/>
        </w:rPr>
      </w:pPr>
      <w:r>
        <w:rPr>
          <w:rFonts w:ascii="Arial" w:cs="Arial" w:eastAsia="Arial" w:hAnsi="Arial"/>
          <w:sz w:val="18"/>
          <w:szCs w:val="18"/>
          <w:b w:val="1"/>
          <w:bCs w:val="1"/>
          <w:color w:val="auto"/>
        </w:rPr>
        <w:t xml:space="preserve">Other Comprehensive Income (Loss). </w:t>
      </w:r>
      <w:r>
        <w:rPr>
          <w:rFonts w:ascii="Arial" w:cs="Arial" w:eastAsia="Arial" w:hAnsi="Arial"/>
          <w:sz w:val="18"/>
          <w:szCs w:val="18"/>
          <w:color w:val="auto"/>
        </w:rPr>
        <w:t>Other comprehensive loss decreased $109.6 million in the first half of 2016 compared to the first half of 2015</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as a result of foreign currency translation adjustments due to changes in the Canadian and Australian dollar exchange rates compared to the U.S. dollar. The Canadian dollar exchange rate compared to the U.S. dollar increased 6% in the first half of 2016 compared to a 7% decrease in the first half of 2015. The Australian dollar exchange rate compared to the U.S. dollar increased 2% in the first half of 2016 compared to a 6% decrease in the first half of 2015.</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0"/>
        </w:trPr>
        <w:tc>
          <w:tcPr>
            <w:tcW w:w="46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Segment Results of Operations – Canadian Segment</w:t>
            </w: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Six Months Ended</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8"/>
                <w:szCs w:val="18"/>
                <w:b w:val="1"/>
                <w:bCs w:val="1"/>
                <w:color w:val="auto"/>
                <w:w w:val="88"/>
              </w:rPr>
              <w:t>June 30,</w:t>
            </w: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6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2015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Revenues ($ in thousands)</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Lodge revenue (1)</w:t>
            </w:r>
          </w:p>
        </w:tc>
        <w:tc>
          <w:tcPr>
            <w:tcW w:w="13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121,187</w:t>
            </w:r>
          </w:p>
        </w:tc>
        <w:tc>
          <w:tcPr>
            <w:tcW w:w="180" w:type="dxa"/>
            <w:vAlign w:val="bottom"/>
          </w:tcPr>
          <w:p>
            <w:pPr>
              <w:spacing w:after="0"/>
              <w:rPr>
                <w:sz w:val="18"/>
                <w:szCs w:val="18"/>
                <w:color w:val="auto"/>
              </w:rPr>
            </w:pP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158,188</w:t>
            </w:r>
          </w:p>
        </w:tc>
        <w:tc>
          <w:tcPr>
            <w:tcW w:w="20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(37,001)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Mobile, open camp and product revenue</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21,442</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48,784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(27,342)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3500" w:type="dxa"/>
            <w:vAlign w:val="bottom"/>
          </w:tcPr>
          <w:p>
            <w:pPr>
              <w:ind w:left="320"/>
              <w:spacing w:after="0"/>
              <w:rPr>
                <w:sz w:val="20"/>
                <w:szCs w:val="20"/>
                <w:color w:val="auto"/>
              </w:rPr>
            </w:pPr>
            <w:r>
              <w:rPr>
                <w:rFonts w:ascii="Arial" w:cs="Arial" w:eastAsia="Arial" w:hAnsi="Arial"/>
                <w:sz w:val="18"/>
                <w:szCs w:val="18"/>
                <w:color w:val="auto"/>
              </w:rPr>
              <w:t>Total revenues</w:t>
            </w:r>
          </w:p>
        </w:tc>
        <w:tc>
          <w:tcPr>
            <w:tcW w:w="13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142,629</w:t>
            </w:r>
          </w:p>
        </w:tc>
        <w:tc>
          <w:tcPr>
            <w:tcW w:w="180" w:type="dxa"/>
            <w:vAlign w:val="bottom"/>
          </w:tcPr>
          <w:p>
            <w:pPr>
              <w:spacing w:after="0"/>
              <w:rPr>
                <w:sz w:val="18"/>
                <w:szCs w:val="18"/>
                <w:color w:val="auto"/>
              </w:rPr>
            </w:pP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206,972</w:t>
            </w:r>
          </w:p>
        </w:tc>
        <w:tc>
          <w:tcPr>
            <w:tcW w:w="20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(64,343)</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Cost of sales and services ($ in thousands)</w:t>
            </w:r>
          </w:p>
        </w:tc>
        <w:tc>
          <w:tcPr>
            <w:tcW w:w="13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95,343</w:t>
            </w:r>
          </w:p>
        </w:tc>
        <w:tc>
          <w:tcPr>
            <w:tcW w:w="180" w:type="dxa"/>
            <w:vAlign w:val="bottom"/>
          </w:tcPr>
          <w:p>
            <w:pPr>
              <w:spacing w:after="0"/>
              <w:rPr>
                <w:sz w:val="18"/>
                <w:szCs w:val="18"/>
                <w:color w:val="auto"/>
              </w:rPr>
            </w:pP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135,081</w:t>
            </w:r>
          </w:p>
        </w:tc>
        <w:tc>
          <w:tcPr>
            <w:tcW w:w="20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(39,738)</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Gross margin as a % of revenues</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33.2%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34.7%</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Average available lodge rooms (2)</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14,266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13,225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Rentable rooms for lodges (3)</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10,003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10,471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Average daily rate for lodges (4)</w:t>
            </w:r>
          </w:p>
        </w:tc>
        <w:tc>
          <w:tcPr>
            <w:tcW w:w="13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18"/>
                <w:szCs w:val="18"/>
                <w:color w:val="auto"/>
              </w:rPr>
            </w:pP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Occupancy in lodges (5)</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Canadian dollar to U.S. dollar</w:t>
            </w:r>
          </w:p>
        </w:tc>
        <w:tc>
          <w:tcPr>
            <w:tcW w:w="13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0.752</w:t>
            </w:r>
          </w:p>
        </w:tc>
        <w:tc>
          <w:tcPr>
            <w:tcW w:w="180" w:type="dxa"/>
            <w:vAlign w:val="bottom"/>
          </w:tcPr>
          <w:p>
            <w:pPr>
              <w:spacing w:after="0"/>
              <w:rPr>
                <w:sz w:val="20"/>
                <w:szCs w:val="20"/>
                <w:color w:val="auto"/>
              </w:rPr>
            </w:pP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0.810</w:t>
            </w:r>
          </w:p>
        </w:tc>
        <w:tc>
          <w:tcPr>
            <w:tcW w:w="200" w:type="dxa"/>
            <w:vAlign w:val="bottom"/>
          </w:tcPr>
          <w:p>
            <w:pPr>
              <w:spacing w:after="0"/>
              <w:rPr>
                <w:sz w:val="20"/>
                <w:szCs w:val="20"/>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(0.058)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0890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97"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revenue related to rooms as well as the fees associated with catering, laundry and other services including facilities management.</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Average available rooms include rooms that are utilized for our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Rentable rooms exclude rooms that are utilized for our personnel and out-of-service rooms.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Average daily rate is based on rentable rooms and lodge/village revenue.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Occupancy represents total billed days divided by rentable days. Rentable days excludes staff rooms and out-of-service rooms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Canadian segment reported revenues in the first half of 2016 that were $64.3 million, or 31%, lower than the first half of 2015. The weakening of the average exchange rates for the Canadian dollar relative to the U.S. dollar by 7% in the first half of 2016 compared to the first half of 2015 resulted in a $10.7 million year-over-year reduction in revenues. In addition, excluding the impact of the weaker Canadian exchange rates, the segment experienced a 17% decline in lodge revenues, primarily due to reduced occupancy and lower room rates. This was partially offset by an increase in rented rooms due to the Fort McMurray fires in May 2016 as well as the ramping up of the Mariana Lake Lodge in the third quarter of 2015 and the Sitka Lodge in the fourth quarter of 2015.</w:t>
      </w:r>
    </w:p>
    <w:p>
      <w:pPr>
        <w:spacing w:after="0" w:line="193"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Our Canadian segment cost of sales and services decreased $39.7 million, or 29%, in the first half of 2016 compared to the first half of 2015 primarily due to lower occupancy, as well as the weakening of the average exchange rates.</w:t>
      </w:r>
    </w:p>
    <w:p>
      <w:pPr>
        <w:spacing w:after="0" w:line="170"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Our Canadian segment gross margin as a percentage of revenues decreased from 35% in the first half of 2015 to 33% in the first half of 2016 primarily due to lower contracted room rates and occupancy, partially offset by (i) an increase in rented rooms due to the Fort McMurray fires in May 2016; (ii) the ramping up of the Mariana Lake Lodge in the third quarter of 2015 and the Sitka Lodge in the fourth quarter of 2015; and (iii) lower costs due to a focus on cost containment and operational efficiencies.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0"/>
        </w:trPr>
        <w:tc>
          <w:tcPr>
            <w:tcW w:w="452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8"/>
              </w:rPr>
              <w:t>Segment Results of Operations – Australian Segment</w:t>
            </w: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11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Six Months Ended</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8"/>
                <w:szCs w:val="18"/>
                <w:b w:val="1"/>
                <w:bCs w:val="1"/>
                <w:color w:val="auto"/>
                <w:w w:val="88"/>
              </w:rPr>
              <w:t>June 30,</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2015</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Revenues ($ in thousands)</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60" w:type="dxa"/>
            <w:vAlign w:val="bottom"/>
          </w:tcPr>
          <w:p>
            <w:pPr>
              <w:ind w:left="160"/>
              <w:spacing w:after="0"/>
              <w:rPr>
                <w:sz w:val="20"/>
                <w:szCs w:val="20"/>
                <w:color w:val="auto"/>
              </w:rPr>
            </w:pPr>
            <w:r>
              <w:rPr>
                <w:rFonts w:ascii="Arial" w:cs="Arial" w:eastAsia="Arial" w:hAnsi="Arial"/>
                <w:sz w:val="18"/>
                <w:szCs w:val="18"/>
                <w:color w:val="auto"/>
              </w:rPr>
              <w:t>Village revenue (1)</w:t>
            </w:r>
          </w:p>
        </w:tc>
        <w:tc>
          <w:tcPr>
            <w:tcW w:w="158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53,015</w:t>
            </w:r>
          </w:p>
        </w:tc>
        <w:tc>
          <w:tcPr>
            <w:tcW w:w="160" w:type="dxa"/>
            <w:vAlign w:val="bottom"/>
          </w:tcPr>
          <w:p>
            <w:pPr>
              <w:spacing w:after="0"/>
              <w:rPr>
                <w:sz w:val="18"/>
                <w:szCs w:val="18"/>
                <w:color w:val="auto"/>
              </w:rPr>
            </w:pP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80,127</w:t>
            </w:r>
          </w:p>
        </w:tc>
        <w:tc>
          <w:tcPr>
            <w:tcW w:w="160" w:type="dxa"/>
            <w:vAlign w:val="bottom"/>
          </w:tcPr>
          <w:p>
            <w:pPr>
              <w:spacing w:after="0"/>
              <w:rPr>
                <w:sz w:val="18"/>
                <w:szCs w:val="18"/>
                <w:color w:val="auto"/>
              </w:rPr>
            </w:pP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(27,112)</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5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53,015</w:t>
            </w: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80,127</w:t>
            </w:r>
          </w:p>
        </w:tc>
        <w:tc>
          <w:tcPr>
            <w:tcW w:w="1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58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in thousands)</w:t>
            </w:r>
          </w:p>
        </w:tc>
        <w:tc>
          <w:tcPr>
            <w:tcW w:w="158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25,651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33,703</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(8,052)</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Gross margin as a % of revenues</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51.6%</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57.9%</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Average available village rooms (2)</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9,304</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9,296</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Rentable rooms for villages (3)</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9,022</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58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 for villages (4)</w:t>
            </w:r>
          </w:p>
        </w:tc>
        <w:tc>
          <w:tcPr>
            <w:tcW w:w="158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Occupancy in Villages (5)</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58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Australian dollar to U.S. dollar</w:t>
            </w:r>
          </w:p>
        </w:tc>
        <w:tc>
          <w:tcPr>
            <w:tcW w:w="158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0.734</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0.782</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0890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revenue related to rooms as well as the fees associated with catering, laundry and other services including facilities management.</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Average available rooms include rooms that are utilized for our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Rentable rooms exclude rooms that are utilized for our personnel and out-of-service rooms.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Average daily rate is based on rentable rooms and lodge/village revenue.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Occupancy represents total billed days divided by rentable days. Rentable days excludes staff rooms and out-of-service rooms.</w:t>
      </w:r>
    </w:p>
    <w:p>
      <w:pPr>
        <w:spacing w:after="0" w:line="200" w:lineRule="exact"/>
        <w:rPr>
          <w:sz w:val="20"/>
          <w:szCs w:val="20"/>
          <w:color w:val="auto"/>
        </w:rPr>
      </w:pPr>
    </w:p>
    <w:p>
      <w:pPr>
        <w:spacing w:after="0" w:line="24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Australian segment reported revenues in the first half of 2016 that were $27.1 million, or 34%, lower than the first half of 2015. The weakening of the average exchange rates for Australian dollars relative to the U.S. dollar by 6% in the first half of 2016 compared to the first half of 2015 resulted in a $3.5 million year-over-year reduction in revenues. Excluding the impact of the weaker Australian exchange rates, the segment experienced a 30% decline in revenues due to lower occupancy levels in the first half of 2016 compared to the first half of 2015, primarily as a result of the continued slowdown in mining activity.</w:t>
      </w:r>
    </w:p>
    <w:p>
      <w:pPr>
        <w:spacing w:after="0" w:line="18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Australian segment cost of sales decreased $8.1 million, or 24%, in the first half of 2016 compared to the first half of 2015. The decrease was driven by lower occupancy levels as well as the weakening of the Australian dollar.</w:t>
      </w:r>
    </w:p>
    <w:p>
      <w:pPr>
        <w:spacing w:after="0" w:line="170"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Our Australian segment gross margin as a percentage of revenues decreased to 52% in the first half of 2016 from 58% in the first half of 2015. This was primarily driven by reduced take or pay revenues on expired contracts and lower occupancy compared to the first half of 2015.</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0"/>
        </w:trPr>
        <w:tc>
          <w:tcPr>
            <w:tcW w:w="464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5"/>
              </w:rPr>
              <w:t>Segment Results of Operations – United States Segment</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Six Months Ended</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8"/>
                <w:szCs w:val="18"/>
                <w:b w:val="1"/>
                <w:bCs w:val="1"/>
                <w:color w:val="auto"/>
              </w:rPr>
              <w:t>June 30,</w:t>
            </w: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Revenues ($ in thousands)</w:t>
            </w:r>
          </w:p>
        </w:tc>
        <w:tc>
          <w:tcPr>
            <w:tcW w:w="148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6,427</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27,035</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(20,608)</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in thousands)</w:t>
            </w:r>
          </w:p>
        </w:tc>
        <w:tc>
          <w:tcPr>
            <w:tcW w:w="148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9,535</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23,551</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(14,016)</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Gross margin as a % of revenues</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(48.4%)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Our United States segment reported revenues in the first half of 2016 that were $20.6 million, or 76%, lower than the first half of 2015. The reduction was primarily due to lower U.S. drilling activity in the Bakken, Rockies and Texas markets and decreased sales in our offshore business.</w:t>
      </w:r>
    </w:p>
    <w:p>
      <w:pPr>
        <w:spacing w:after="0" w:line="147"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Our United States cost of sales decreased $14.0 million, or 60%, in the first half of 2016 compared to the first half of 2015. The decrease was driven by overall lower activity levels.</w:t>
      </w:r>
    </w:p>
    <w:p>
      <w:pPr>
        <w:spacing w:after="0" w:line="170" w:lineRule="exact"/>
        <w:rPr>
          <w:sz w:val="20"/>
          <w:szCs w:val="20"/>
          <w:color w:val="auto"/>
        </w:rPr>
      </w:pPr>
    </w:p>
    <w:p>
      <w:pPr>
        <w:ind w:right="280" w:firstLine="324"/>
        <w:spacing w:after="0" w:line="308" w:lineRule="auto"/>
        <w:rPr>
          <w:sz w:val="20"/>
          <w:szCs w:val="20"/>
          <w:color w:val="auto"/>
        </w:rPr>
      </w:pPr>
      <w:r>
        <w:rPr>
          <w:rFonts w:ascii="Arial" w:cs="Arial" w:eastAsia="Arial" w:hAnsi="Arial"/>
          <w:sz w:val="17"/>
          <w:szCs w:val="17"/>
          <w:color w:val="auto"/>
        </w:rPr>
        <w:t>Our United States segment gross margin as a percentage of revenues decreased from 13% in the first half of 2015 to (48%) in the second half of 2016, primarily due to overall lower activity levels, which were insufficient to cover the fixed cost structure of our United States segment.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primary liquidity needs are to fund capital expenditures, which in the past have included expanding and improving our accommodations, developing new lodges and villages and purchasing or leasing land under our land banking strategy, and for general working capital needs. In addition, capital has been used to repay debt, fund strategic business acquisitions and pay dividends. Historically, our primary sources of funds have been available cash, cash flow from operations and borrowings under our credit facility. The following table summarizes our consolidated liquidity position as of June 30, 2016 and December 31, 2015:</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line="210" w:lineRule="exact"/>
              <w:rPr>
                <w:sz w:val="20"/>
                <w:szCs w:val="20"/>
                <w:color w:val="auto"/>
              </w:rPr>
            </w:pPr>
            <w:r>
              <w:rPr>
                <w:rFonts w:ascii="Arial" w:cs="Arial" w:eastAsia="Arial" w:hAnsi="Arial"/>
                <w:sz w:val="15"/>
                <w:szCs w:val="15"/>
                <w:color w:val="auto"/>
              </w:rPr>
              <w:t xml:space="preserve">Lender commitments </w:t>
            </w:r>
            <w:r>
              <w:rPr>
                <w:rFonts w:ascii="Arial" w:cs="Arial" w:eastAsia="Arial" w:hAnsi="Arial"/>
                <w:sz w:val="24"/>
                <w:szCs w:val="24"/>
                <w:color w:val="auto"/>
                <w:vertAlign w:val="superscript"/>
              </w:rPr>
              <w:t>(1)</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line="216" w:lineRule="exact"/>
              <w:rPr>
                <w:sz w:val="20"/>
                <w:szCs w:val="20"/>
                <w:color w:val="auto"/>
              </w:rPr>
            </w:pPr>
            <w:r>
              <w:rPr>
                <w:rFonts w:ascii="Arial" w:cs="Arial" w:eastAsia="Arial" w:hAnsi="Arial"/>
                <w:sz w:val="16"/>
                <w:szCs w:val="16"/>
                <w:color w:val="auto"/>
              </w:rPr>
              <w:t xml:space="preserve">Reductions in availability </w:t>
            </w:r>
            <w:r>
              <w:rPr>
                <w:rFonts w:ascii="Arial" w:cs="Arial" w:eastAsia="Arial" w:hAnsi="Arial"/>
                <w:sz w:val="25"/>
                <w:szCs w:val="25"/>
                <w:color w:val="auto"/>
                <w:vertAlign w:val="superscript"/>
              </w:rPr>
              <w:t>(2)</w:t>
            </w:r>
          </w:p>
        </w:tc>
        <w:tc>
          <w:tcPr>
            <w:tcW w:w="28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(158,483)</w:t>
            </w:r>
          </w:p>
        </w:tc>
        <w:tc>
          <w:tcPr>
            <w:tcW w:w="1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(121,690)</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Borrowings against revolver capacity</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(60,376)</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(52,020)</w:t>
            </w: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Outstanding letters of credit</w:t>
            </w:r>
          </w:p>
        </w:tc>
        <w:tc>
          <w:tcPr>
            <w:tcW w:w="28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(1,547)</w:t>
            </w:r>
          </w:p>
        </w:tc>
        <w:tc>
          <w:tcPr>
            <w:tcW w:w="1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(5,070)</w:t>
            </w: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Unused availability</w:t>
            </w: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129,594</w:t>
            </w: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196,220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2,255</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7,837</w:t>
            </w:r>
          </w:p>
        </w:tc>
        <w:tc>
          <w:tcPr>
            <w:tcW w:w="8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available liquidity</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131,849</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204,057</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0890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0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also have a A$2.0 million bank guarantee facility. We had bank guarantees of A$0.8 million and A$1.3 million under this facility outstanding as of June 30, 2016 and December 31, 2015, respectively.</w:t>
      </w:r>
    </w:p>
    <w:p>
      <w:pPr>
        <w:spacing w:after="0" w:line="170"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 of June 30, 2016 and December 31, 2015, $158.5 million and $121.7 million, respectively, of our borrowing capacity under our Amended Credit Facility could not be utilized in order to maintain compliance with the maximum leverage ratio financial covenant in our Amended Credit Facility.</w:t>
      </w:r>
    </w:p>
    <w:p>
      <w:pPr>
        <w:spacing w:after="0" w:line="124" w:lineRule="exact"/>
        <w:rPr>
          <w:sz w:val="20"/>
          <w:szCs w:val="20"/>
          <w:color w:val="auto"/>
        </w:rPr>
      </w:pPr>
    </w:p>
    <w:p>
      <w:pPr>
        <w:jc w:val="both"/>
        <w:ind w:right="220" w:firstLine="324"/>
        <w:spacing w:after="0" w:line="286" w:lineRule="auto"/>
        <w:rPr>
          <w:sz w:val="20"/>
          <w:szCs w:val="20"/>
          <w:color w:val="auto"/>
        </w:rPr>
      </w:pPr>
      <w:r>
        <w:rPr>
          <w:rFonts w:ascii="Arial" w:cs="Arial" w:eastAsia="Arial" w:hAnsi="Arial"/>
          <w:sz w:val="17"/>
          <w:szCs w:val="17"/>
          <w:color w:val="auto"/>
        </w:rPr>
        <w:t>Cash totaling $35.1 million was provided by operations during the first half of 2016, compared to $94.3 million provided by operations during the first half of 2015. The decrease in operating cash flow in 2016 compared to 2015 was primarily due to lower revenue resulting from occupancy levels in lodges and villages. During the first half of 2016 and 2015, $0.1 million and $14.0 million, respectively, was provided by working capital.</w:t>
      </w:r>
    </w:p>
    <w:p>
      <w:pPr>
        <w:spacing w:after="0" w:line="166"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Cash was used in investing activities during the six months ended June 30, 2016 in the amount of $9.3 million, compared to cash used in investing activities during the six months ended June 30, 2015 in the amount of $22.3 million. Capital expenditures totaled $9.9 million and $24.1 million during the six months ended June 30, 2016 and 2015, respectively. Capital expenditures in the first half of 2016 consisted primarily of investments in an enterprise information system and maintenance. Capital expenditures in the first half of 2015 consisted principally of costs for the construction and installation of assets for our lodges primarily in support of Canadian oil sands projects.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 w:name="page31"/>
    <w:bookmarkEnd w:id="30"/>
    <w:p>
      <w:pPr>
        <w:jc w:val="both"/>
        <w:ind w:right="420" w:firstLine="324"/>
        <w:spacing w:after="0" w:line="279" w:lineRule="auto"/>
        <w:rPr>
          <w:sz w:val="20"/>
          <w:szCs w:val="20"/>
          <w:color w:val="auto"/>
        </w:rPr>
      </w:pPr>
      <w:r>
        <w:rPr>
          <w:rFonts w:ascii="Arial" w:cs="Arial" w:eastAsia="Arial" w:hAnsi="Arial"/>
          <w:sz w:val="17"/>
          <w:szCs w:val="17"/>
          <w:color w:val="auto"/>
        </w:rPr>
        <w:t>We expect our capital expenditures for 2016 to be approximately $25 million, which excludes any expenditures for unannounced and uncommitted projects, the spending for which is contingent on obtaining customer contracts. Whether planned expenditures will actually be spent in 2016 depends on industry conditions, project approvals and schedules, customer room commitments and project and construction timing. We expect to fund these capital expenditures with available cash, cash flow from operations and borrowings under our Amended Credit Facility.</w:t>
      </w:r>
    </w:p>
    <w:p>
      <w:pPr>
        <w:spacing w:after="0" w:line="171" w:lineRule="exact"/>
        <w:rPr>
          <w:sz w:val="20"/>
          <w:szCs w:val="20"/>
          <w:color w:val="auto"/>
        </w:rPr>
      </w:pPr>
    </w:p>
    <w:p>
      <w:pPr>
        <w:ind w:right="240" w:firstLine="324"/>
        <w:spacing w:after="0" w:line="312" w:lineRule="auto"/>
        <w:rPr>
          <w:sz w:val="20"/>
          <w:szCs w:val="20"/>
          <w:color w:val="auto"/>
        </w:rPr>
      </w:pPr>
      <w:r>
        <w:rPr>
          <w:rFonts w:ascii="Arial" w:cs="Arial" w:eastAsia="Arial" w:hAnsi="Arial"/>
          <w:sz w:val="16"/>
          <w:szCs w:val="16"/>
          <w:color w:val="auto"/>
        </w:rPr>
        <w:t>Net cash of $30.4 million was used by financing activities during the six months ended June 30, 2016 due to repayments of term loan borrowings of $33.1 million and debt issuance costs of $2.0 million, partially offset by net revolver borrowings of $4.8 million. Net cash of $0.5 million was provided by financing activities during the six months ended June 30, 2015 due to proceeds from issuance of common stock associated with stock option exercises.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debt outstanding during the first half of 2016 (in thousands):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Canada</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Australia</w:t>
            </w:r>
          </w:p>
        </w:tc>
        <w:tc>
          <w:tcPr>
            <w:tcW w:w="280" w:type="dxa"/>
            <w:vAlign w:val="bottom"/>
          </w:tcPr>
          <w:p>
            <w:pPr>
              <w:spacing w:after="0"/>
              <w:rPr>
                <w:sz w:val="20"/>
                <w:szCs w:val="20"/>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U.S.</w:t>
            </w:r>
          </w:p>
        </w:tc>
        <w:tc>
          <w:tcPr>
            <w:tcW w:w="260" w:type="dxa"/>
            <w:vAlign w:val="bottom"/>
          </w:tcPr>
          <w:p>
            <w:pPr>
              <w:spacing w:after="0"/>
              <w:rPr>
                <w:sz w:val="20"/>
                <w:szCs w:val="20"/>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352,185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49,375</w:t>
            </w:r>
          </w:p>
        </w:tc>
        <w:tc>
          <w:tcPr>
            <w:tcW w:w="16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401,560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320"/>
              <w:spacing w:after="0"/>
              <w:rPr>
                <w:sz w:val="20"/>
                <w:szCs w:val="20"/>
                <w:color w:val="auto"/>
              </w:rPr>
            </w:pPr>
            <w:r>
              <w:rPr>
                <w:rFonts w:ascii="Arial" w:cs="Arial" w:eastAsia="Arial" w:hAnsi="Arial"/>
                <w:sz w:val="18"/>
                <w:szCs w:val="18"/>
                <w:color w:val="auto"/>
                <w:w w:val="98"/>
              </w:rPr>
              <w:t>Borrowings on revolving credit facilities</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119,778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35,153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13,500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168,431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6"/>
              </w:rPr>
              <w:t>Repayments of revolving credit facilities</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(137,260)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(14,416)</w:t>
            </w:r>
          </w:p>
        </w:tc>
        <w:tc>
          <w:tcPr>
            <w:tcW w:w="2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(12,000)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320"/>
              <w:spacing w:after="0"/>
              <w:rPr>
                <w:sz w:val="20"/>
                <w:szCs w:val="20"/>
                <w:color w:val="auto"/>
              </w:rPr>
            </w:pPr>
            <w:r>
              <w:rPr>
                <w:rFonts w:ascii="Arial" w:cs="Arial" w:eastAsia="Arial" w:hAnsi="Arial"/>
                <w:sz w:val="18"/>
                <w:szCs w:val="18"/>
                <w:color w:val="auto"/>
              </w:rPr>
              <w:t>Repayments of term loans</w:t>
            </w:r>
          </w:p>
        </w:tc>
        <w:tc>
          <w:tcPr>
            <w:tcW w:w="2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(8,097)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c>
          <w:tcPr>
            <w:tcW w:w="2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(33,097)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Translation</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Balance at June 30, 2016</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349,709</w:t>
            </w:r>
          </w:p>
        </w:tc>
        <w:tc>
          <w:tcPr>
            <w:tcW w:w="120" w:type="dxa"/>
            <w:vAlign w:val="bottom"/>
          </w:tcPr>
          <w:p>
            <w:pPr>
              <w:spacing w:after="0"/>
              <w:rPr>
                <w:sz w:val="18"/>
                <w:szCs w:val="18"/>
                <w:color w:val="auto"/>
              </w:rPr>
            </w:pP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20,441</w:t>
            </w:r>
          </w:p>
        </w:tc>
        <w:tc>
          <w:tcPr>
            <w:tcW w:w="18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25,875</w:t>
            </w:r>
          </w:p>
        </w:tc>
        <w:tc>
          <w:tcPr>
            <w:tcW w:w="16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396,025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believe that cash on hand and cash flow from operations will be sufficient to meet our liquidity needs in the coming twelve months. If our plans or assumptions change, or are inaccurate, or if we make acquisitions, we may need to raise additional capital. Acquisitions have been, and our management believes acquisitions will continue to be, an element of our business strategy. The timing, size or success of any acquisition effort and the associated potential capital commitments are unpredictable and uncertain. We may seek to fund all or part of any such efforts with proceeds from debt and/or equity issuances. Our ability to obtain capital for additional projects to implement our growth strategy over the longer term will depend upon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such additional debt service requirements could be based on higher interest rates and shorter maturities and could impose a significant burden on our results of operations and financial condition, and the issuance of additional equity securities could result in significant dilution to shareholders. In addition, in some cases, we may incur costs to acquire land and/or construct assets without securing a customer contract or prior to finalization of an accommodations contract with a customer. If the contract is not obtained or delayed, the resulting impact could result in an impairment of the related investment.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 and Long Term Debt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February 18, 2016, the Second Amendment (Second Amendment) to the Credit Facility (together with all amendments, the Amended Credit Facility)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became effective, which provided for the following:</w:t>
      </w:r>
    </w:p>
    <w:p>
      <w:pPr>
        <w:spacing w:after="0" w:line="211" w:lineRule="exact"/>
        <w:rPr>
          <w:sz w:val="20"/>
          <w:szCs w:val="20"/>
          <w:color w:val="auto"/>
        </w:rPr>
      </w:pPr>
    </w:p>
    <w:p>
      <w:pPr>
        <w:ind w:left="660" w:right="2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Civeo Management LLC, an indirect wholly owned subsidiary of the Company, became a co-borrower under the US$50.0 million U.S. revolving credit facility under the Amended Credit Facility;</w:t>
      </w:r>
    </w:p>
    <w:p>
      <w:pPr>
        <w:spacing w:after="0" w:line="170" w:lineRule="exact"/>
        <w:rPr>
          <w:rFonts w:ascii="Arial" w:cs="Arial" w:eastAsia="Arial" w:hAnsi="Arial"/>
          <w:sz w:val="18"/>
          <w:szCs w:val="18"/>
          <w:color w:val="auto"/>
        </w:rPr>
      </w:pPr>
    </w:p>
    <w:p>
      <w:pPr>
        <w:ind w:left="660" w:right="100" w:hanging="328"/>
        <w:spacing w:after="0" w:line="31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partial prepayment of the U.S. term loan under the Amended Credit Facility in the aggregate principal amount of US$25.0 million and the reduction by US$25.0 million of the aggregate revolving loan commitments under the Canadian revolving credit facility under the Amended Credit Facility, which was incurred in connection with the first amendment to the Credit Facility, to a maximum principal amount of US$100.0 million;</w:t>
      </w:r>
    </w:p>
    <w:p>
      <w:pPr>
        <w:spacing w:after="0" w:line="146" w:lineRule="exact"/>
        <w:rPr>
          <w:rFonts w:ascii="Arial" w:cs="Arial" w:eastAsia="Arial" w:hAnsi="Arial"/>
          <w:sz w:val="16"/>
          <w:szCs w:val="16"/>
          <w:color w:val="auto"/>
        </w:rPr>
      </w:pPr>
    </w:p>
    <w:p>
      <w:pPr>
        <w:ind w:left="660" w:right="20" w:hanging="328"/>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Increased the interest rate margin by 0.25% when the leverage ratio is less than 1.50x (by removing the lowest level in the leverage-based interest rate margin grid), (ii) established two additional levels to the total leverage-based grid such that the interest rates for the loans range from LIBOR +2.25% to LIBOR +5.00% and (iii) increased the undrawn commitment fee from a range of 0.45% to 0.90% to a range of 0.51% to 1.13% based on total leverage;</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31" w:name="page32"/>
    <w:bookmarkEnd w:id="31"/>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the maximum leverage ratio financial covenant, as follows:</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154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Maximum</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15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Leverage Ratio</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Period Ended</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March 31, 2016</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4.25</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7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June 30, 2016</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5.25</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September 30, 2016</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7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March 31, 2017</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5.25</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7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June 30, 2017</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5.25</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September 30, 2017</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7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March 31, 2018</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4.75</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7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June 30, 2018</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September 30, 2018 &amp; thereafter</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3.50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7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right="80" w:hanging="328"/>
        <w:spacing w:after="0" w:line="276"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Included a provision for a mandatory prepayment of the revolving credit facilities under the Amended Credit Facility in the event the Company and its subsidiaries hold an aggregate amount of cash exceeding US$40.0 million for a period of more than three consecutive business days, such mandatory prepayment to be made within two business days in an amount equal to the lesser of (a) an amount sufficient to reduce the aggregate amount of cash and permitted investments on hand at the Company and its subsidiaries to less than US$40.0 million or (b) an amount sufficient to repay all of the outstanding commitments under the revolving credit facilities under the Amended Credit Facility; and</w:t>
      </w:r>
    </w:p>
    <w:p>
      <w:pPr>
        <w:spacing w:after="0" w:line="172" w:lineRule="exact"/>
        <w:rPr>
          <w:rFonts w:ascii="Arial" w:cs="Arial" w:eastAsia="Arial" w:hAnsi="Arial"/>
          <w:sz w:val="17"/>
          <w:szCs w:val="17"/>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technical changes and amendments to the Credit Facility.</w:t>
      </w:r>
    </w:p>
    <w:p>
      <w:pPr>
        <w:spacing w:after="0" w:line="22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following table summarizes the capacity available under the Amended Credit Facility as compared to the first amendment to the Credit Facility (in thousands):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First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Amendment to</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the Credit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ind w:right="310"/>
              <w:spacing w:after="0"/>
              <w:rPr>
                <w:sz w:val="20"/>
                <w:szCs w:val="20"/>
                <w:color w:val="auto"/>
              </w:rPr>
            </w:pPr>
            <w:r>
              <w:rPr>
                <w:rFonts w:ascii="Arial" w:cs="Arial" w:eastAsia="Arial" w:hAnsi="Arial"/>
                <w:sz w:val="18"/>
                <w:szCs w:val="18"/>
                <w:b w:val="1"/>
                <w:bCs w:val="1"/>
                <w:color w:val="auto"/>
              </w:rPr>
              <w:t>Amended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3"/>
              </w:rPr>
              <w:t>Facility</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Credit Facility</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Term loans: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320"/>
              <w:spacing w:after="0"/>
              <w:rPr>
                <w:sz w:val="20"/>
                <w:szCs w:val="20"/>
                <w:color w:val="auto"/>
              </w:rPr>
            </w:pPr>
            <w:r>
              <w:rPr>
                <w:rFonts w:ascii="Arial" w:cs="Arial" w:eastAsia="Arial" w:hAnsi="Arial"/>
                <w:sz w:val="18"/>
                <w:szCs w:val="18"/>
                <w:color w:val="auto"/>
              </w:rPr>
              <w:t>U.S. term loan</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24,375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Canadian term loan</w:t>
            </w:r>
          </w:p>
        </w:tc>
        <w:tc>
          <w:tcPr>
            <w:tcW w:w="1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Total term loans outstanding</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375,000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349,375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Total capacity under revolving credit facilities: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U.S. revolving credit facility</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320"/>
              <w:spacing w:after="0"/>
              <w:rPr>
                <w:sz w:val="20"/>
                <w:szCs w:val="20"/>
                <w:color w:val="auto"/>
              </w:rPr>
            </w:pPr>
            <w:r>
              <w:rPr>
                <w:rFonts w:ascii="Arial" w:cs="Arial" w:eastAsia="Arial" w:hAnsi="Arial"/>
                <w:sz w:val="18"/>
                <w:szCs w:val="18"/>
                <w:color w:val="auto"/>
              </w:rPr>
              <w:t>Canadian revolving credit facility</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New Canadian revolving credit facility</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320"/>
              <w:spacing w:after="0"/>
              <w:rPr>
                <w:sz w:val="20"/>
                <w:szCs w:val="20"/>
                <w:color w:val="auto"/>
              </w:rPr>
            </w:pPr>
            <w:r>
              <w:rPr>
                <w:rFonts w:ascii="Arial" w:cs="Arial" w:eastAsia="Arial" w:hAnsi="Arial"/>
                <w:sz w:val="18"/>
                <w:szCs w:val="18"/>
                <w:color w:val="auto"/>
              </w:rPr>
              <w:t>Australian revolving credit facility</w:t>
            </w:r>
          </w:p>
        </w:tc>
        <w:tc>
          <w:tcPr>
            <w:tcW w:w="1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capacity under revolving credit facilities</w:t>
            </w:r>
          </w:p>
        </w:tc>
        <w:tc>
          <w:tcPr>
            <w:tcW w:w="1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U.S. dollar amounts outstanding under the Amended Credit Facility bear interest at a variable rate equal to LIBOR plus a margin of 2.25% to 5.00%, or a base rate plus 1.25% to 4.00%, in each case based on a ratio of our total leverage to EBITDA (as defined in the Amended Credit Facility). Canadian dollar amounts outstanding under the Amended Credit Facility bear interest at a variable rate equal to CDOR plus a margin of 2.25% to 5.00%, or a base rate plus a margin of 1.25% to 4.00%, in each case based on a ratio of our consolidated total leverage to EBITDA (as defined in the Amended Credit Facility). Australian dollar amounts outstanding under the Amended Credit Facility bear interest at a variable rate equal to BBSY plus a margin of 2.25% to 5.00%, based on a ratio of our consolidated total leverage to EBITDA (as defined in the Amended Credit Facility).</w:t>
      </w:r>
    </w:p>
    <w:p>
      <w:pPr>
        <w:spacing w:after="0" w:line="178"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Amended Credit Facility contains customary affirmative and negative covenants that, among other things, limit or restrict (i) subsidiary indebtedness, liens and fundamental changes, (ii) asset sales, (iii) margin stock, (iv) specified acquisitions, (v) restrictive agreements, (vi) transactions with affiliates and (vii) investments and other restricted payments, including dividends and other distributions. Specifically, we must maintain an interest coverage ratio, defined as the ratio of consolidated EBITDA (as defined in the Amended Credit Facility) to consolidated interest expense, of at least 3.0 to 1.0 and a maximum leverage ratio, defined as the ratio of total debt to consolidated EBITDA, of no greater than 5.25 to 1.0 (as of June 30, 2016). As noted above, the permitted level of the maximum leverage ratio changes over time. Each of the factors considered in the calculations of these ratios are defined in the Amended Credit Facility. EBITDA and consolidated interest, as defined in the Amended Credit Facility, exclude goodwill and asset impairments, debt discount amortization and other non-cash charges. We were in compliance with these covenants as of June 30, 2016.</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32" w:name="page33"/>
    <w:bookmarkEnd w:id="32"/>
    <w:p>
      <w:pPr>
        <w:ind w:left="340"/>
        <w:spacing w:after="0"/>
        <w:rPr>
          <w:sz w:val="20"/>
          <w:szCs w:val="20"/>
          <w:color w:val="auto"/>
        </w:rPr>
      </w:pPr>
      <w:r>
        <w:rPr>
          <w:rFonts w:ascii="Arial" w:cs="Arial" w:eastAsia="Arial" w:hAnsi="Arial"/>
          <w:sz w:val="18"/>
          <w:szCs w:val="18"/>
          <w:color w:val="auto"/>
        </w:rPr>
        <w:t>We have 15 lenders in our Amended Credit Facility with commitments ranging from $1.2 million to $135.7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firstLine="366"/>
        <w:spacing w:after="0" w:line="254" w:lineRule="auto"/>
        <w:rPr>
          <w:sz w:val="20"/>
          <w:szCs w:val="20"/>
          <w:color w:val="auto"/>
        </w:rPr>
      </w:pPr>
      <w:r>
        <w:rPr>
          <w:rFonts w:ascii="Arial" w:cs="Arial" w:eastAsia="Arial" w:hAnsi="Arial"/>
          <w:sz w:val="18"/>
          <w:szCs w:val="18"/>
          <w:color w:val="auto"/>
        </w:rPr>
        <w:t>We do not currently pay dividends. The declaration and amount of all potential future dividends will be at the discretion of our Board of Directors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of Directors deems relevant. In addition, our ability to pay dividends is limited by covenants in our Amended Credit Facility. Future agreements may also limit our ability to pay dividends, and we may incur incremental taxes in the U.S. if we are required to repatriate foreign earnings to pay such dividends. If we elect to pay dividends in the future, the amount per share of our dividend payments may be changed, or dividends may again be suspended, without advance notice. The likelihood that dividends will be reduced or suspended is increased during periods of market weakness. There can be no assurance that we will pay a dividend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2016, we had no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500" w:firstLine="324"/>
        <w:spacing w:after="0" w:line="312" w:lineRule="auto"/>
        <w:rPr>
          <w:sz w:val="20"/>
          <w:szCs w:val="20"/>
          <w:color w:val="auto"/>
        </w:rPr>
      </w:pPr>
      <w:r>
        <w:rPr>
          <w:rFonts w:ascii="Arial" w:cs="Arial" w:eastAsia="Arial" w:hAnsi="Arial"/>
          <w:sz w:val="16"/>
          <w:szCs w:val="16"/>
          <w:color w:val="auto"/>
        </w:rPr>
        <w:t>For additional information about our contractual obligations, refer to “Liquidity and Capital Resources—Contractual Obligations” contained in the Information Statement included in our 2015 Annual Report on Form 10-K. As of June 30, 2016, except for net borrowings under our revolving credit facilities, there were no material changes to this disclosure regarding our contractual obligations made in our 2015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For a discussion of the critical accounting policies and estimates that we use in the preparation of our consolidated financial statements, see “Management’s Discussion and Analysis of Financial Condition and Results of Operations” in the Information Statement included in our 2015 Annual Report on Form 10-K. These estimates require significant judgments, assumptions and estimates. We have discussed the development, selection and disclosure of these critical accounting policies and estimates with the audit committee of our Board of Directors. There have been no material changes to the judgments, assumptions and estimates upon which our critical accounting estimates are based.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principal market risks are our exposure to changes in interest rates and foreign currency exchange rates.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300" w:firstLine="324"/>
        <w:spacing w:after="0" w:line="279" w:lineRule="auto"/>
        <w:rPr>
          <w:sz w:val="20"/>
          <w:szCs w:val="20"/>
          <w:color w:val="auto"/>
        </w:rPr>
      </w:pPr>
      <w:r>
        <w:rPr>
          <w:rFonts w:ascii="Arial" w:cs="Arial" w:eastAsia="Arial" w:hAnsi="Arial"/>
          <w:sz w:val="17"/>
          <w:szCs w:val="17"/>
          <w:color w:val="auto"/>
        </w:rPr>
        <w:t>We have credit facilities that are subject to the risk of higher interest charges associated with increases in interest rates. As of June 30, 2016, we had $396.0 million of outstanding floating-rate obligations under our credit facilities. These floating-rate obligations expose us to the risk of increased interest expense in the event of increases in short-term interest rates. If floating interest rates increase by 1%, our consolidated interest expense would increase by approximately $4.0 million annually, based on our floating-rate debt obligations as of June 30, 2016.</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Our operations are conducted in various countries around the world and we receive revenue and pay expenses from these operations in a number of different currencies. As such, our earnings are subject to movements in foreign currency exchange rates when transactions are denominated in (i) currencies other than the U.S. dollar, which is our functional currency, or (ii) the functional currency of our subsidiaries, which is not necessarily the U.S. dollar. Excluding intercompany balances, our Canadian dollar and Australian dollar functional currency net assets total approximately C$0.2 billion and A$0.5 billion, respectively, at June 30, 2016. We use a sensitivity analysis model to measure the impact of a 10% adverse movement of foreign currency exchange rates against the United States dollar. A hypothetical 10% adverse change in the value of the Canadian dollar and Australian dollar relative to the U.S. dollar as of June 30, 2016 would result in translation adjustments of approximately $23.0 million and $48.0 million, respectively, recorded in other comprehensive loss. Although we do not currently have any foreign exchange agreements outstanding, in order to reduce our exposure to fluctuations in currency exchange rates, we may enter into foreign exchange agreements with financial institutions in the future.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of the Exchange Act). Our disclosure controls and procedures are designed to provide reasonable assurance that the information required to be disclosed by us in reports that we file under the Exchange Act is accumulated and communicated to our management, including our Chief Executive Officer and Chief Financial Officer, as appropriate, to allow timely decisions regarding required disclosure and is recorded, processed, summarized and reported within the time periods specified in the rules and forms of the SEC. Based upon that evaluation, our Chief Executive Officer and Chief Financial Officer concluded that our disclosure controls and procedures were effective as of June 30, 2016 at the reasonable assurance level.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During the three months ended June 30, 2016, there were no changes in our internal control over financial reporting (as defined in Rules 13a-15(f) and 15d-15(f) of the Exchange Act) which have materially affected, or are reasonably likely to materially affect, our internal control over financial reporting.</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34" w:name="page35"/>
    <w:bookmarkEnd w:id="34"/>
    <w:p>
      <w:pPr>
        <w:jc w:val="center"/>
        <w:ind w:left="34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matters occurring prior to our acquisition of businesses, and some relate to businesses we have sold. In certain cases, we are entitled to indemnification from the sellers of businesses, and in other cases, we have indemnified the buyers of businesses from us.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consolidated financial position, results of operations or liquidity.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For additional information about our risk factors, please read the section entitled “Risk Factors” in the Information Statement included in our 2015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purchases of our common shares during the three months ended June 30, 2016.</w:t>
      </w:r>
    </w:p>
    <w:p>
      <w:pPr>
        <w:spacing w:after="0" w:line="216" w:lineRule="exact"/>
        <w:rPr>
          <w:sz w:val="20"/>
          <w:szCs w:val="20"/>
          <w:color w:val="auto"/>
        </w:rPr>
      </w:pPr>
    </w:p>
    <w:tbl>
      <w:tblPr>
        <w:tblLayout w:type="fixed"/>
        <w:tblInd w:w="290" w:type="dxa"/>
        <w:tblCellMar>
          <w:top w:w="0" w:type="dxa"/>
          <w:left w:w="0" w:type="dxa"/>
          <w:bottom w:w="0" w:type="dxa"/>
          <w:right w:w="0" w:type="dxa"/>
        </w:tblCellMar>
      </w:tblPr>
      <w:tr>
        <w:trPr>
          <w:trHeight w:val="214"/>
        </w:trPr>
        <w:tc>
          <w:tcPr>
            <w:tcW w:w="3320" w:type="dxa"/>
            <w:vAlign w:val="bottom"/>
            <w:tcBorders>
              <w:top w:val="single" w:sz="8" w:color="auto"/>
              <w:left w:val="single" w:sz="8" w:color="auto"/>
              <w:right w:val="single" w:sz="8" w:color="auto"/>
            </w:tcBorders>
          </w:tcPr>
          <w:p>
            <w:pPr>
              <w:ind w:left="1420"/>
              <w:spacing w:after="0"/>
              <w:rPr>
                <w:sz w:val="20"/>
                <w:szCs w:val="20"/>
                <w:color w:val="auto"/>
              </w:rPr>
            </w:pPr>
            <w:r>
              <w:rPr>
                <w:rFonts w:ascii="Arial" w:cs="Arial" w:eastAsia="Arial" w:hAnsi="Arial"/>
                <w:sz w:val="18"/>
                <w:szCs w:val="18"/>
                <w:b w:val="1"/>
                <w:bCs w:val="1"/>
                <w:color w:val="auto"/>
              </w:rPr>
              <w:t>Period</w:t>
            </w:r>
          </w:p>
        </w:tc>
        <w:tc>
          <w:tcPr>
            <w:tcW w:w="1960" w:type="dxa"/>
            <w:vAlign w:val="bottom"/>
            <w:tcBorders>
              <w:top w:val="single" w:sz="8" w:color="auto"/>
              <w:right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Total Number of</w:t>
            </w:r>
          </w:p>
        </w:tc>
        <w:tc>
          <w:tcPr>
            <w:tcW w:w="260" w:type="dxa"/>
            <w:vAlign w:val="bottom"/>
            <w:tcBorders>
              <w:top w:val="single" w:sz="8" w:color="auto"/>
            </w:tcBorders>
          </w:tcPr>
          <w:p>
            <w:pPr>
              <w:spacing w:after="0"/>
              <w:rPr>
                <w:sz w:val="18"/>
                <w:szCs w:val="18"/>
                <w:color w:val="auto"/>
              </w:rPr>
            </w:pPr>
          </w:p>
        </w:tc>
        <w:tc>
          <w:tcPr>
            <w:tcW w:w="1680" w:type="dxa"/>
            <w:vAlign w:val="bottom"/>
            <w:tcBorders>
              <w:top w:val="single" w:sz="8" w:color="auto"/>
              <w:right w:val="single" w:sz="8" w:color="auto"/>
            </w:tcBorders>
          </w:tcPr>
          <w:p>
            <w:pPr>
              <w:jc w:val="right"/>
              <w:ind w:right="412"/>
              <w:spacing w:after="0"/>
              <w:rPr>
                <w:sz w:val="20"/>
                <w:szCs w:val="20"/>
                <w:color w:val="auto"/>
              </w:rPr>
            </w:pPr>
            <w:r>
              <w:rPr>
                <w:rFonts w:ascii="Arial" w:cs="Arial" w:eastAsia="Arial" w:hAnsi="Arial"/>
                <w:sz w:val="18"/>
                <w:szCs w:val="18"/>
                <w:b w:val="1"/>
                <w:bCs w:val="1"/>
                <w:color w:val="auto"/>
                <w:w w:val="96"/>
              </w:rPr>
              <w:t>Average Price</w:t>
            </w: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Maximum number</w:t>
            </w:r>
          </w:p>
        </w:tc>
      </w:tr>
      <w:tr>
        <w:trPr>
          <w:trHeight w:val="216"/>
        </w:trPr>
        <w:tc>
          <w:tcPr>
            <w:tcW w:w="3320" w:type="dxa"/>
            <w:vAlign w:val="bottom"/>
            <w:tcBorders>
              <w:left w:val="single" w:sz="8" w:color="auto"/>
              <w:right w:val="single" w:sz="8" w:color="auto"/>
            </w:tcBorders>
          </w:tcPr>
          <w:p>
            <w:pPr>
              <w:spacing w:after="0"/>
              <w:rPr>
                <w:sz w:val="18"/>
                <w:szCs w:val="18"/>
                <w:color w:val="auto"/>
              </w:rPr>
            </w:pPr>
          </w:p>
        </w:tc>
        <w:tc>
          <w:tcPr>
            <w:tcW w:w="1960" w:type="dxa"/>
            <w:vAlign w:val="bottom"/>
            <w:tcBorders>
              <w:right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Shares Purchased</w:t>
            </w:r>
          </w:p>
        </w:tc>
        <w:tc>
          <w:tcPr>
            <w:tcW w:w="260" w:type="dxa"/>
            <w:vAlign w:val="bottom"/>
          </w:tcPr>
          <w:p>
            <w:pPr>
              <w:spacing w:after="0"/>
              <w:rPr>
                <w:sz w:val="18"/>
                <w:szCs w:val="18"/>
                <w:color w:val="auto"/>
              </w:rPr>
            </w:pPr>
          </w:p>
        </w:tc>
        <w:tc>
          <w:tcPr>
            <w:tcW w:w="1680" w:type="dxa"/>
            <w:vAlign w:val="bottom"/>
            <w:tcBorders>
              <w:right w:val="single" w:sz="8" w:color="auto"/>
            </w:tcBorders>
          </w:tcPr>
          <w:p>
            <w:pPr>
              <w:jc w:val="right"/>
              <w:ind w:right="372"/>
              <w:spacing w:after="0"/>
              <w:rPr>
                <w:sz w:val="20"/>
                <w:szCs w:val="20"/>
                <w:color w:val="auto"/>
              </w:rPr>
            </w:pPr>
            <w:r>
              <w:rPr>
                <w:rFonts w:ascii="Arial" w:cs="Arial" w:eastAsia="Arial" w:hAnsi="Arial"/>
                <w:sz w:val="18"/>
                <w:szCs w:val="18"/>
                <w:b w:val="1"/>
                <w:bCs w:val="1"/>
                <w:color w:val="auto"/>
                <w:w w:val="95"/>
              </w:rPr>
              <w:t>Paid per Share</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shares purchased as</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of shares that may</w:t>
            </w:r>
          </w:p>
        </w:tc>
      </w:tr>
      <w:tr>
        <w:trPr>
          <w:trHeight w:val="216"/>
        </w:trPr>
        <w:tc>
          <w:tcPr>
            <w:tcW w:w="3320" w:type="dxa"/>
            <w:vAlign w:val="bottom"/>
            <w:tcBorders>
              <w:left w:val="single" w:sz="8" w:color="auto"/>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part of publicly</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yet be purchased</w:t>
            </w:r>
          </w:p>
        </w:tc>
      </w:tr>
      <w:tr>
        <w:trPr>
          <w:trHeight w:val="197"/>
        </w:trPr>
        <w:tc>
          <w:tcPr>
            <w:tcW w:w="3320" w:type="dxa"/>
            <w:vAlign w:val="bottom"/>
            <w:tcBorders>
              <w:left w:val="single" w:sz="8" w:color="auto"/>
              <w:right w:val="single" w:sz="8" w:color="auto"/>
            </w:tcBorders>
          </w:tcPr>
          <w:p>
            <w:pPr>
              <w:spacing w:after="0"/>
              <w:rPr>
                <w:sz w:val="17"/>
                <w:szCs w:val="17"/>
                <w:color w:val="auto"/>
              </w:rPr>
            </w:pPr>
          </w:p>
        </w:tc>
        <w:tc>
          <w:tcPr>
            <w:tcW w:w="196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1840" w:type="dxa"/>
            <w:vAlign w:val="bottom"/>
            <w:tcBorders>
              <w:right w:val="single" w:sz="8" w:color="auto"/>
            </w:tcBorders>
          </w:tcPr>
          <w:p>
            <w:pPr>
              <w:jc w:val="center"/>
              <w:spacing w:after="0" w:line="197" w:lineRule="exact"/>
              <w:rPr>
                <w:sz w:val="20"/>
                <w:szCs w:val="20"/>
                <w:color w:val="auto"/>
              </w:rPr>
            </w:pPr>
            <w:r>
              <w:rPr>
                <w:rFonts w:ascii="Arial" w:cs="Arial" w:eastAsia="Arial" w:hAnsi="Arial"/>
                <w:sz w:val="18"/>
                <w:szCs w:val="18"/>
                <w:b w:val="1"/>
                <w:bCs w:val="1"/>
                <w:color w:val="auto"/>
                <w:w w:val="87"/>
              </w:rPr>
              <w:t>announced plans</w:t>
            </w:r>
          </w:p>
        </w:tc>
        <w:tc>
          <w:tcPr>
            <w:tcW w:w="1780" w:type="dxa"/>
            <w:vAlign w:val="bottom"/>
            <w:tcBorders>
              <w:right w:val="single" w:sz="8" w:color="auto"/>
            </w:tcBorders>
          </w:tcPr>
          <w:p>
            <w:pPr>
              <w:jc w:val="center"/>
              <w:spacing w:after="0" w:line="197" w:lineRule="exact"/>
              <w:rPr>
                <w:sz w:val="20"/>
                <w:szCs w:val="20"/>
                <w:color w:val="auto"/>
              </w:rPr>
            </w:pPr>
            <w:r>
              <w:rPr>
                <w:rFonts w:ascii="Arial" w:cs="Arial" w:eastAsia="Arial" w:hAnsi="Arial"/>
                <w:sz w:val="18"/>
                <w:szCs w:val="18"/>
                <w:b w:val="1"/>
                <w:bCs w:val="1"/>
                <w:color w:val="auto"/>
                <w:w w:val="90"/>
              </w:rPr>
              <w:t>under the plans or</w:t>
            </w:r>
          </w:p>
        </w:tc>
      </w:tr>
      <w:tr>
        <w:trPr>
          <w:trHeight w:val="254"/>
        </w:trPr>
        <w:tc>
          <w:tcPr>
            <w:tcW w:w="3320" w:type="dxa"/>
            <w:vAlign w:val="bottom"/>
            <w:tcBorders>
              <w:left w:val="single" w:sz="8" w:color="auto"/>
              <w:right w:val="single" w:sz="8" w:color="auto"/>
            </w:tcBorders>
          </w:tcPr>
          <w:p>
            <w:pPr>
              <w:spacing w:after="0"/>
              <w:rPr>
                <w:sz w:val="22"/>
                <w:szCs w:val="22"/>
                <w:color w:val="auto"/>
              </w:rPr>
            </w:pPr>
          </w:p>
        </w:tc>
        <w:tc>
          <w:tcPr>
            <w:tcW w:w="1960" w:type="dxa"/>
            <w:vAlign w:val="bottom"/>
            <w:tcBorders>
              <w:right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1680" w:type="dxa"/>
            <w:vAlign w:val="bottom"/>
            <w:tcBorders>
              <w:right w:val="single" w:sz="8" w:color="auto"/>
            </w:tcBorders>
          </w:tcPr>
          <w:p>
            <w:pPr>
              <w:spacing w:after="0"/>
              <w:rPr>
                <w:sz w:val="22"/>
                <w:szCs w:val="22"/>
                <w:color w:val="auto"/>
              </w:rPr>
            </w:pPr>
          </w:p>
        </w:tc>
        <w:tc>
          <w:tcPr>
            <w:tcW w:w="1840" w:type="dxa"/>
            <w:vAlign w:val="bottom"/>
            <w:tcBorders>
              <w:right w:val="single" w:sz="8" w:color="auto"/>
            </w:tcBorders>
          </w:tcPr>
          <w:p>
            <w:pPr>
              <w:jc w:val="center"/>
              <w:spacing w:after="0" w:line="253" w:lineRule="exact"/>
              <w:rPr>
                <w:sz w:val="20"/>
                <w:szCs w:val="20"/>
                <w:color w:val="auto"/>
              </w:rPr>
            </w:pPr>
            <w:r>
              <w:rPr>
                <w:rFonts w:ascii="Arial" w:cs="Arial" w:eastAsia="Arial" w:hAnsi="Arial"/>
                <w:sz w:val="18"/>
                <w:szCs w:val="18"/>
                <w:b w:val="1"/>
                <w:bCs w:val="1"/>
                <w:color w:val="auto"/>
                <w:w w:val="87"/>
              </w:rPr>
              <w:t>or programs</w:t>
            </w:r>
            <w:r>
              <w:rPr>
                <w:rFonts w:ascii="Arial" w:cs="Arial" w:eastAsia="Arial" w:hAnsi="Arial"/>
                <w:sz w:val="29"/>
                <w:szCs w:val="29"/>
                <w:color w:val="auto"/>
                <w:w w:val="87"/>
                <w:vertAlign w:val="superscript"/>
              </w:rPr>
              <w:t>(3)</w:t>
            </w:r>
          </w:p>
        </w:tc>
        <w:tc>
          <w:tcPr>
            <w:tcW w:w="1780" w:type="dxa"/>
            <w:vAlign w:val="bottom"/>
            <w:tcBorders>
              <w:right w:val="single" w:sz="8" w:color="auto"/>
            </w:tcBorders>
          </w:tcPr>
          <w:p>
            <w:pPr>
              <w:jc w:val="center"/>
              <w:spacing w:after="0" w:line="253" w:lineRule="exact"/>
              <w:rPr>
                <w:sz w:val="20"/>
                <w:szCs w:val="20"/>
                <w:color w:val="auto"/>
              </w:rPr>
            </w:pPr>
            <w:r>
              <w:rPr>
                <w:rFonts w:ascii="Arial" w:cs="Arial" w:eastAsia="Arial" w:hAnsi="Arial"/>
                <w:sz w:val="18"/>
                <w:szCs w:val="18"/>
                <w:b w:val="1"/>
                <w:bCs w:val="1"/>
                <w:color w:val="auto"/>
                <w:w w:val="86"/>
              </w:rPr>
              <w:t>programs</w:t>
            </w:r>
            <w:r>
              <w:rPr>
                <w:rFonts w:ascii="Arial" w:cs="Arial" w:eastAsia="Arial" w:hAnsi="Arial"/>
                <w:sz w:val="29"/>
                <w:szCs w:val="29"/>
                <w:color w:val="auto"/>
                <w:w w:val="86"/>
                <w:vertAlign w:val="superscript"/>
              </w:rPr>
              <w:t>(3)</w:t>
            </w:r>
          </w:p>
        </w:tc>
      </w:tr>
      <w:tr>
        <w:trPr>
          <w:trHeight w:val="223"/>
        </w:trPr>
        <w:tc>
          <w:tcPr>
            <w:tcW w:w="3320" w:type="dxa"/>
            <w:vAlign w:val="bottom"/>
            <w:tcBorders>
              <w:top w:val="single" w:sz="8" w:color="auto"/>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April 1, 2016 – April 30, 2016</w:t>
            </w:r>
          </w:p>
        </w:tc>
        <w:tc>
          <w:tcPr>
            <w:tcW w:w="1960" w:type="dxa"/>
            <w:vAlign w:val="bottom"/>
            <w:tcBorders>
              <w:top w:val="single" w:sz="8" w:color="auto"/>
              <w:bottom w:val="single" w:sz="8" w:color="auto"/>
              <w:right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680" w:type="dxa"/>
            <w:vAlign w:val="bottom"/>
            <w:tcBorders>
              <w:top w:val="single" w:sz="8" w:color="auto"/>
              <w:bottom w:val="single" w:sz="8" w:color="auto"/>
              <w:right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840" w:type="dxa"/>
            <w:vAlign w:val="bottom"/>
            <w:tcBorders>
              <w:top w:val="single" w:sz="8" w:color="auto"/>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8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3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May 1, 2016 – May 31, 2016</w:t>
            </w:r>
          </w:p>
        </w:tc>
        <w:tc>
          <w:tcPr>
            <w:tcW w:w="1960" w:type="dxa"/>
            <w:vAlign w:val="bottom"/>
            <w:tcBorders>
              <w:bottom w:val="single" w:sz="8" w:color="auto"/>
              <w:right w:val="single" w:sz="8" w:color="auto"/>
            </w:tcBorders>
          </w:tcPr>
          <w:p>
            <w:pPr>
              <w:jc w:val="right"/>
              <w:spacing w:after="0" w:line="223" w:lineRule="exact"/>
              <w:rPr>
                <w:sz w:val="20"/>
                <w:szCs w:val="20"/>
                <w:color w:val="auto"/>
              </w:rPr>
            </w:pPr>
            <w:r>
              <w:rPr>
                <w:rFonts w:ascii="Arial" w:cs="Arial" w:eastAsia="Arial" w:hAnsi="Arial"/>
                <w:sz w:val="16"/>
                <w:szCs w:val="16"/>
                <w:color w:val="auto"/>
              </w:rPr>
              <w:t>6,913</w:t>
            </w:r>
            <w:r>
              <w:rPr>
                <w:rFonts w:ascii="Arial" w:cs="Arial" w:eastAsia="Arial" w:hAnsi="Arial"/>
                <w:sz w:val="25"/>
                <w:szCs w:val="25"/>
                <w:color w:val="auto"/>
                <w:vertAlign w:val="superscript"/>
              </w:rPr>
              <w:t>(1)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right w:val="single" w:sz="8" w:color="auto"/>
            </w:tcBorders>
          </w:tcPr>
          <w:p>
            <w:pPr>
              <w:jc w:val="right"/>
              <w:spacing w:after="0" w:line="223" w:lineRule="exact"/>
              <w:rPr>
                <w:sz w:val="20"/>
                <w:szCs w:val="20"/>
                <w:color w:val="auto"/>
              </w:rPr>
            </w:pPr>
            <w:r>
              <w:rPr>
                <w:rFonts w:ascii="Arial" w:cs="Arial" w:eastAsia="Arial" w:hAnsi="Arial"/>
                <w:sz w:val="16"/>
                <w:szCs w:val="16"/>
                <w:color w:val="auto"/>
              </w:rPr>
              <w:t>2.00</w:t>
            </w:r>
            <w:r>
              <w:rPr>
                <w:rFonts w:ascii="Arial" w:cs="Arial" w:eastAsia="Arial" w:hAnsi="Arial"/>
                <w:sz w:val="25"/>
                <w:szCs w:val="25"/>
                <w:color w:val="auto"/>
                <w:vertAlign w:val="superscript"/>
              </w:rPr>
              <w:t>(2)</w:t>
            </w:r>
          </w:p>
        </w:tc>
        <w:tc>
          <w:tcPr>
            <w:tcW w:w="18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3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June 1, 2016 – June 30, 2016</w:t>
            </w:r>
          </w:p>
        </w:tc>
        <w:tc>
          <w:tcPr>
            <w:tcW w:w="1960" w:type="dxa"/>
            <w:vAlign w:val="bottom"/>
            <w:tcBorders>
              <w:bottom w:val="single" w:sz="8" w:color="auto"/>
              <w:right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right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33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960" w:type="dxa"/>
            <w:vAlign w:val="bottom"/>
            <w:tcBorders>
              <w:bottom w:val="single" w:sz="8" w:color="auto"/>
              <w:right w:val="single" w:sz="8" w:color="auto"/>
            </w:tcBorders>
          </w:tcPr>
          <w:p>
            <w:pPr>
              <w:jc w:val="right"/>
              <w:ind w:right="132"/>
              <w:spacing w:after="0"/>
              <w:rPr>
                <w:sz w:val="20"/>
                <w:szCs w:val="20"/>
                <w:color w:val="auto"/>
              </w:rPr>
            </w:pPr>
            <w:r>
              <w:rPr>
                <w:rFonts w:ascii="Arial" w:cs="Arial" w:eastAsia="Arial" w:hAnsi="Arial"/>
                <w:sz w:val="18"/>
                <w:szCs w:val="18"/>
                <w:color w:val="auto"/>
              </w:rPr>
              <w:t>6,913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right w:val="single" w:sz="8" w:color="auto"/>
            </w:tcBorders>
          </w:tcPr>
          <w:p>
            <w:pPr>
              <w:jc w:val="right"/>
              <w:ind w:right="132"/>
              <w:spacing w:after="0"/>
              <w:rPr>
                <w:sz w:val="20"/>
                <w:szCs w:val="20"/>
                <w:color w:val="auto"/>
              </w:rPr>
            </w:pPr>
            <w:r>
              <w:rPr>
                <w:rFonts w:ascii="Arial" w:cs="Arial" w:eastAsia="Arial" w:hAnsi="Arial"/>
                <w:sz w:val="18"/>
                <w:szCs w:val="18"/>
                <w:color w:val="auto"/>
              </w:rPr>
              <w:t>2.00</w:t>
            </w:r>
          </w:p>
        </w:tc>
        <w:tc>
          <w:tcPr>
            <w:tcW w:w="18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-464820</wp:posOffset>
            </wp:positionV>
            <wp:extent cx="686054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60540" cy="15430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-155575</wp:posOffset>
            </wp:positionV>
            <wp:extent cx="686054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60540" cy="146050"/>
                    </a:xfrm>
                    <a:prstGeom prst="rect">
                      <a:avLst/>
                    </a:prstGeom>
                    <a:noFill/>
                  </pic:spPr>
                </pic:pic>
              </a:graphicData>
            </a:graphic>
          </wp:anchor>
        </w:drawing>
      </w:r>
    </w:p>
    <w:p>
      <w:pPr>
        <w:spacing w:after="0" w:line="128" w:lineRule="exact"/>
        <w:rPr>
          <w:sz w:val="20"/>
          <w:szCs w:val="20"/>
          <w:color w:val="auto"/>
        </w:rPr>
      </w:pPr>
    </w:p>
    <w:p>
      <w:pPr>
        <w:ind w:left="660" w:hanging="328"/>
        <w:spacing w:after="0" w:line="268" w:lineRule="auto"/>
        <w:tabs>
          <w:tab w:leader="none" w:pos="6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Consists of shares surrendered to us by participants in our Amended and Restated 2014 Equity Participation Plan to settle the participants’ personal tax liabilities that resulted from the lapsing of restrictions on shares awarded to the participants under the plan.</w:t>
      </w:r>
    </w:p>
    <w:p>
      <w:pPr>
        <w:spacing w:after="0" w:line="182" w:lineRule="exact"/>
        <w:rPr>
          <w:rFonts w:ascii="Arial" w:cs="Arial" w:eastAsia="Arial" w:hAnsi="Arial"/>
          <w:sz w:val="15"/>
          <w:szCs w:val="15"/>
          <w:color w:val="auto"/>
        </w:rPr>
      </w:pPr>
    </w:p>
    <w:p>
      <w:pPr>
        <w:ind w:left="660" w:hanging="328"/>
        <w:spacing w:after="0"/>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price paid per share was based on the closing price of our common shares on May 30, 2016, which represents the dates the restrictions lapsed on such shares.</w:t>
      </w:r>
    </w:p>
    <w:p>
      <w:pPr>
        <w:spacing w:after="0" w:line="271" w:lineRule="exact"/>
        <w:rPr>
          <w:rFonts w:ascii="Arial" w:cs="Arial" w:eastAsia="Arial" w:hAnsi="Arial"/>
          <w:sz w:val="14"/>
          <w:szCs w:val="14"/>
          <w:color w:val="auto"/>
        </w:rPr>
      </w:pPr>
    </w:p>
    <w:p>
      <w:pPr>
        <w:ind w:left="660" w:hanging="328"/>
        <w:spacing w:after="0"/>
        <w:tabs>
          <w:tab w:leader="none" w:pos="6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We did not have at any time during the quarter, and currently do not have, a share repurchase program in place.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INDEX OF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4280" w:type="dxa"/>
            <w:vAlign w:val="bottom"/>
          </w:tcPr>
          <w:p>
            <w:pPr>
              <w:spacing w:after="0"/>
              <w:rPr>
                <w:sz w:val="17"/>
                <w:szCs w:val="17"/>
                <w:color w:val="auto"/>
              </w:rPr>
            </w:pPr>
          </w:p>
        </w:tc>
      </w:tr>
      <w:tr>
        <w:trPr>
          <w:trHeight w:val="438"/>
        </w:trPr>
        <w:tc>
          <w:tcPr>
            <w:tcW w:w="1160" w:type="dxa"/>
            <w:vAlign w:val="bottom"/>
            <w:gridSpan w:val="2"/>
          </w:tcPr>
          <w:p>
            <w:pPr>
              <w:ind w:left="34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4"/>
                <w:szCs w:val="24"/>
                <w:color w:val="auto"/>
              </w:rPr>
            </w:pPr>
          </w:p>
        </w:tc>
        <w:tc>
          <w:tcPr>
            <w:tcW w:w="10040" w:type="dxa"/>
            <w:vAlign w:val="bottom"/>
            <w:gridSpan w:val="4"/>
          </w:tcPr>
          <w:p>
            <w:pPr>
              <w:ind w:left="220"/>
              <w:spacing w:after="0"/>
              <w:rPr>
                <w:sz w:val="20"/>
                <w:szCs w:val="20"/>
                <w:color w:val="auto"/>
              </w:rPr>
            </w:pPr>
            <w:r>
              <w:rPr>
                <w:rFonts w:ascii="Arial" w:cs="Arial" w:eastAsia="Arial" w:hAnsi="Arial"/>
                <w:sz w:val="18"/>
                <w:szCs w:val="18"/>
                <w:color w:val="auto"/>
                <w:w w:val="94"/>
              </w:rPr>
              <w:t>—  Agreement and Plan of Merger, dated as of April 6, 2015, among Civeo Corporation, Civeo Canadian Holdings ULC and Civeo</w:t>
            </w: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560" w:type="dxa"/>
            <w:vAlign w:val="bottom"/>
            <w:gridSpan w:val="3"/>
          </w:tcPr>
          <w:p>
            <w:pPr>
              <w:ind w:left="100"/>
              <w:spacing w:after="0"/>
              <w:rPr>
                <w:sz w:val="20"/>
                <w:szCs w:val="20"/>
                <w:color w:val="auto"/>
              </w:rPr>
            </w:pPr>
            <w:r>
              <w:rPr>
                <w:rFonts w:ascii="Arial" w:cs="Arial" w:eastAsia="Arial" w:hAnsi="Arial"/>
                <w:sz w:val="18"/>
                <w:szCs w:val="18"/>
                <w:color w:val="auto"/>
                <w:w w:val="93"/>
              </w:rPr>
              <w:t>US Merger Co (incorporated by reference to Annex A of Civeo Corporation’s definitive proxy statement/prospectus on Schedule</w:t>
            </w: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60" w:type="dxa"/>
            <w:vAlign w:val="bottom"/>
            <w:gridSpan w:val="3"/>
          </w:tcPr>
          <w:p>
            <w:pPr>
              <w:ind w:left="100"/>
              <w:spacing w:after="0"/>
              <w:rPr>
                <w:sz w:val="20"/>
                <w:szCs w:val="20"/>
                <w:color w:val="auto"/>
              </w:rPr>
            </w:pPr>
            <w:r>
              <w:rPr>
                <w:rFonts w:ascii="Arial" w:cs="Arial" w:eastAsia="Arial" w:hAnsi="Arial"/>
                <w:sz w:val="18"/>
                <w:szCs w:val="18"/>
                <w:color w:val="auto"/>
              </w:rPr>
              <w:t>14A filed with the SEC on April 8, 2015).</w:t>
            </w:r>
          </w:p>
        </w:tc>
      </w:tr>
      <w:tr>
        <w:trPr>
          <w:trHeight w:val="418"/>
        </w:trPr>
        <w:tc>
          <w:tcPr>
            <w:tcW w:w="1160" w:type="dxa"/>
            <w:vAlign w:val="bottom"/>
            <w:gridSpan w:val="2"/>
          </w:tcPr>
          <w:p>
            <w:pPr>
              <w:ind w:left="34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4"/>
                <w:szCs w:val="24"/>
                <w:color w:val="auto"/>
              </w:rPr>
            </w:pPr>
          </w:p>
        </w:tc>
        <w:tc>
          <w:tcPr>
            <w:tcW w:w="10040" w:type="dxa"/>
            <w:vAlign w:val="bottom"/>
            <w:gridSpan w:val="4"/>
          </w:tcPr>
          <w:p>
            <w:pPr>
              <w:ind w:left="220"/>
              <w:spacing w:after="0"/>
              <w:rPr>
                <w:sz w:val="20"/>
                <w:szCs w:val="20"/>
                <w:color w:val="auto"/>
              </w:rPr>
            </w:pPr>
            <w:r>
              <w:rPr>
                <w:rFonts w:ascii="Arial" w:cs="Arial" w:eastAsia="Arial" w:hAnsi="Arial"/>
                <w:sz w:val="18"/>
                <w:szCs w:val="18"/>
                <w:color w:val="auto"/>
                <w:w w:val="92"/>
              </w:rPr>
              <w:t>—  Separation and Distribution Agreement, by and between Oil States International, Inc. and Civeo Corporation, dated May 27, 2014</w:t>
            </w: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60" w:type="dxa"/>
            <w:vAlign w:val="bottom"/>
            <w:gridSpan w:val="3"/>
          </w:tcPr>
          <w:p>
            <w:pPr>
              <w:ind w:left="100"/>
              <w:spacing w:after="0"/>
              <w:rPr>
                <w:sz w:val="20"/>
                <w:szCs w:val="20"/>
                <w:color w:val="auto"/>
              </w:rPr>
            </w:pPr>
            <w:r>
              <w:rPr>
                <w:rFonts w:ascii="Arial" w:cs="Arial" w:eastAsia="Arial" w:hAnsi="Arial"/>
                <w:sz w:val="18"/>
                <w:szCs w:val="18"/>
                <w:color w:val="auto"/>
                <w:w w:val="93"/>
              </w:rPr>
              <w:t>(incorporated herein by reference to Exhibit 2.1 to the Current Report on Form 8-K (File No. 001-36246) filed on June 2, 2014).</w:t>
            </w:r>
          </w:p>
        </w:tc>
      </w:tr>
      <w:tr>
        <w:trPr>
          <w:trHeight w:val="418"/>
        </w:trPr>
        <w:tc>
          <w:tcPr>
            <w:tcW w:w="1160" w:type="dxa"/>
            <w:vAlign w:val="bottom"/>
            <w:gridSpan w:val="2"/>
          </w:tcPr>
          <w:p>
            <w:pPr>
              <w:ind w:left="34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10040" w:type="dxa"/>
            <w:vAlign w:val="bottom"/>
            <w:gridSpan w:val="4"/>
          </w:tcPr>
          <w:p>
            <w:pPr>
              <w:ind w:left="220"/>
              <w:spacing w:after="0"/>
              <w:rPr>
                <w:sz w:val="20"/>
                <w:szCs w:val="20"/>
                <w:color w:val="auto"/>
              </w:rPr>
            </w:pPr>
            <w:r>
              <w:rPr>
                <w:rFonts w:ascii="Arial" w:cs="Arial" w:eastAsia="Arial" w:hAnsi="Arial"/>
                <w:sz w:val="18"/>
                <w:szCs w:val="18"/>
                <w:color w:val="auto"/>
                <w:w w:val="95"/>
              </w:rPr>
              <w:t>—  Notice of Articles of Civeo Corporation (incorporated herein by reference to Exhibit 3.1 to the Current Report on Form 8-K12B</w:t>
            </w: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60" w:type="dxa"/>
            <w:vAlign w:val="bottom"/>
            <w:gridSpan w:val="3"/>
          </w:tcPr>
          <w:p>
            <w:pPr>
              <w:ind w:left="100"/>
              <w:spacing w:after="0"/>
              <w:rPr>
                <w:sz w:val="20"/>
                <w:szCs w:val="20"/>
                <w:color w:val="auto"/>
              </w:rPr>
            </w:pPr>
            <w:r>
              <w:rPr>
                <w:rFonts w:ascii="Arial" w:cs="Arial" w:eastAsia="Arial" w:hAnsi="Arial"/>
                <w:sz w:val="18"/>
                <w:szCs w:val="18"/>
                <w:color w:val="auto"/>
              </w:rPr>
              <w:t>(File No. 001-36246) filed on July 17, 2015).</w:t>
            </w:r>
          </w:p>
        </w:tc>
      </w:tr>
      <w:tr>
        <w:trPr>
          <w:trHeight w:val="418"/>
        </w:trPr>
        <w:tc>
          <w:tcPr>
            <w:tcW w:w="1160" w:type="dxa"/>
            <w:vAlign w:val="bottom"/>
            <w:gridSpan w:val="2"/>
          </w:tcPr>
          <w:p>
            <w:pPr>
              <w:ind w:left="34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10040" w:type="dxa"/>
            <w:vAlign w:val="bottom"/>
            <w:gridSpan w:val="4"/>
          </w:tcPr>
          <w:p>
            <w:pPr>
              <w:ind w:left="220"/>
              <w:spacing w:after="0"/>
              <w:rPr>
                <w:sz w:val="20"/>
                <w:szCs w:val="20"/>
                <w:color w:val="auto"/>
              </w:rPr>
            </w:pPr>
            <w:r>
              <w:rPr>
                <w:rFonts w:ascii="Arial" w:cs="Arial" w:eastAsia="Arial" w:hAnsi="Arial"/>
                <w:sz w:val="18"/>
                <w:szCs w:val="18"/>
                <w:color w:val="auto"/>
                <w:w w:val="95"/>
              </w:rPr>
              <w:t>—  Amended and Restated Articles of Civeo Corporation (incorporated herein by reference to Exhibit 3.1 to the Current Report on</w:t>
            </w: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60" w:type="dxa"/>
            <w:vAlign w:val="bottom"/>
            <w:gridSpan w:val="3"/>
          </w:tcPr>
          <w:p>
            <w:pPr>
              <w:ind w:left="100"/>
              <w:spacing w:after="0"/>
              <w:rPr>
                <w:sz w:val="20"/>
                <w:szCs w:val="20"/>
                <w:color w:val="auto"/>
              </w:rPr>
            </w:pPr>
            <w:r>
              <w:rPr>
                <w:rFonts w:ascii="Arial" w:cs="Arial" w:eastAsia="Arial" w:hAnsi="Arial"/>
                <w:sz w:val="18"/>
                <w:szCs w:val="18"/>
                <w:color w:val="auto"/>
              </w:rPr>
              <w:t>Form 8-K (File No. 001-36246) filed on May 13, 2016).</w:t>
            </w:r>
          </w:p>
        </w:tc>
      </w:tr>
      <w:tr>
        <w:trPr>
          <w:trHeight w:val="418"/>
        </w:trPr>
        <w:tc>
          <w:tcPr>
            <w:tcW w:w="1160" w:type="dxa"/>
            <w:vAlign w:val="bottom"/>
            <w:gridSpan w:val="2"/>
          </w:tcPr>
          <w:p>
            <w:pPr>
              <w:ind w:left="34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10040" w:type="dxa"/>
            <w:vAlign w:val="bottom"/>
            <w:gridSpan w:val="4"/>
          </w:tcPr>
          <w:p>
            <w:pPr>
              <w:ind w:left="220"/>
              <w:spacing w:after="0"/>
              <w:rPr>
                <w:sz w:val="20"/>
                <w:szCs w:val="20"/>
                <w:color w:val="auto"/>
              </w:rPr>
            </w:pPr>
            <w:r>
              <w:rPr>
                <w:rFonts w:ascii="Arial" w:cs="Arial" w:eastAsia="Arial" w:hAnsi="Arial"/>
                <w:sz w:val="18"/>
                <w:szCs w:val="18"/>
                <w:color w:val="auto"/>
                <w:w w:val="94"/>
              </w:rPr>
              <w:t>—  Form of Common Share Certificate (incorporated herein by reference to Exhibit 4.1 to the Current Report on Form 8-K12B (File</w:t>
            </w: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60" w:type="dxa"/>
            <w:vAlign w:val="bottom"/>
            <w:gridSpan w:val="3"/>
          </w:tcPr>
          <w:p>
            <w:pPr>
              <w:ind w:left="100"/>
              <w:spacing w:after="0"/>
              <w:rPr>
                <w:sz w:val="20"/>
                <w:szCs w:val="20"/>
                <w:color w:val="auto"/>
              </w:rPr>
            </w:pPr>
            <w:r>
              <w:rPr>
                <w:rFonts w:ascii="Arial" w:cs="Arial" w:eastAsia="Arial" w:hAnsi="Arial"/>
                <w:sz w:val="18"/>
                <w:szCs w:val="18"/>
                <w:color w:val="auto"/>
              </w:rPr>
              <w:t>No. 001-36246) filed on July 17, 2015).</w:t>
            </w:r>
          </w:p>
        </w:tc>
      </w:tr>
      <w:tr>
        <w:trPr>
          <w:trHeight w:val="418"/>
        </w:trPr>
        <w:tc>
          <w:tcPr>
            <w:tcW w:w="280" w:type="dxa"/>
            <w:vAlign w:val="bottom"/>
          </w:tcPr>
          <w:p>
            <w:pPr>
              <w:spacing w:after="0"/>
              <w:rPr>
                <w:sz w:val="24"/>
                <w:szCs w:val="24"/>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10.1†</w:t>
            </w:r>
          </w:p>
        </w:tc>
        <w:tc>
          <w:tcPr>
            <w:tcW w:w="10040" w:type="dxa"/>
            <w:vAlign w:val="bottom"/>
            <w:gridSpan w:val="4"/>
          </w:tcPr>
          <w:p>
            <w:pPr>
              <w:ind w:left="220"/>
              <w:spacing w:after="0"/>
              <w:rPr>
                <w:sz w:val="20"/>
                <w:szCs w:val="20"/>
                <w:color w:val="auto"/>
              </w:rPr>
            </w:pPr>
            <w:r>
              <w:rPr>
                <w:rFonts w:ascii="Arial" w:cs="Arial" w:eastAsia="Arial" w:hAnsi="Arial"/>
                <w:sz w:val="18"/>
                <w:szCs w:val="18"/>
                <w:color w:val="auto"/>
                <w:w w:val="96"/>
              </w:rPr>
              <w:t>—  Amended and Restated 2014 Equity Participation Plan of Civeo Corporation (incorporated herein by reference to Annex B of</w:t>
            </w: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60" w:type="dxa"/>
            <w:vAlign w:val="bottom"/>
            <w:gridSpan w:val="3"/>
          </w:tcPr>
          <w:p>
            <w:pPr>
              <w:ind w:left="100"/>
              <w:spacing w:after="0"/>
              <w:rPr>
                <w:sz w:val="20"/>
                <w:szCs w:val="20"/>
                <w:color w:val="auto"/>
              </w:rPr>
            </w:pPr>
            <w:r>
              <w:rPr>
                <w:rFonts w:ascii="Arial" w:cs="Arial" w:eastAsia="Arial" w:hAnsi="Arial"/>
                <w:sz w:val="18"/>
                <w:szCs w:val="18"/>
                <w:color w:val="auto"/>
              </w:rPr>
              <w:t>Civeo Corporation’s definitive proxy statement on Schedule 14A (File No. 001-36246) filed on April 11, 2016).</w:t>
            </w:r>
          </w:p>
        </w:tc>
      </w:tr>
      <w:tr>
        <w:trPr>
          <w:trHeight w:val="418"/>
        </w:trPr>
        <w:tc>
          <w:tcPr>
            <w:tcW w:w="1160" w:type="dxa"/>
            <w:vAlign w:val="bottom"/>
            <w:gridSpan w:val="2"/>
          </w:tcPr>
          <w:p>
            <w:pPr>
              <w:ind w:left="340"/>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10040" w:type="dxa"/>
            <w:vAlign w:val="bottom"/>
            <w:gridSpan w:val="4"/>
          </w:tcPr>
          <w:p>
            <w:pPr>
              <w:ind w:left="220"/>
              <w:spacing w:after="0"/>
              <w:rPr>
                <w:sz w:val="20"/>
                <w:szCs w:val="20"/>
                <w:color w:val="auto"/>
              </w:rPr>
            </w:pPr>
            <w:r>
              <w:rPr>
                <w:rFonts w:ascii="Arial" w:cs="Arial" w:eastAsia="Arial" w:hAnsi="Arial"/>
                <w:sz w:val="18"/>
                <w:szCs w:val="18"/>
                <w:color w:val="auto"/>
                <w:w w:val="97"/>
              </w:rPr>
              <w:t>—  Certification of Chief Executive Officer of Civeo Corporation, pursuant to Rules 13a-14(a) or 15d-14(a) under the Securities</w:t>
            </w: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60" w:type="dxa"/>
            <w:vAlign w:val="bottom"/>
            <w:gridSpan w:val="3"/>
          </w:tcPr>
          <w:p>
            <w:pPr>
              <w:ind w:left="100"/>
              <w:spacing w:after="0"/>
              <w:rPr>
                <w:sz w:val="20"/>
                <w:szCs w:val="20"/>
                <w:color w:val="auto"/>
              </w:rPr>
            </w:pPr>
            <w:r>
              <w:rPr>
                <w:rFonts w:ascii="Arial" w:cs="Arial" w:eastAsia="Arial" w:hAnsi="Arial"/>
                <w:sz w:val="18"/>
                <w:szCs w:val="18"/>
                <w:color w:val="auto"/>
              </w:rPr>
              <w:t>Exchange Act of 1934.</w:t>
            </w:r>
          </w:p>
        </w:tc>
      </w:tr>
      <w:tr>
        <w:trPr>
          <w:trHeight w:val="418"/>
        </w:trPr>
        <w:tc>
          <w:tcPr>
            <w:tcW w:w="1160" w:type="dxa"/>
            <w:vAlign w:val="bottom"/>
            <w:gridSpan w:val="2"/>
          </w:tcPr>
          <w:p>
            <w:pPr>
              <w:ind w:left="340"/>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10040" w:type="dxa"/>
            <w:vAlign w:val="bottom"/>
            <w:gridSpan w:val="4"/>
          </w:tcPr>
          <w:p>
            <w:pPr>
              <w:ind w:left="220"/>
              <w:spacing w:after="0"/>
              <w:rPr>
                <w:sz w:val="20"/>
                <w:szCs w:val="20"/>
                <w:color w:val="auto"/>
              </w:rPr>
            </w:pPr>
            <w:r>
              <w:rPr>
                <w:rFonts w:ascii="Arial" w:cs="Arial" w:eastAsia="Arial" w:hAnsi="Arial"/>
                <w:sz w:val="18"/>
                <w:szCs w:val="18"/>
                <w:color w:val="auto"/>
                <w:w w:val="98"/>
              </w:rPr>
              <w:t>—  Certification of Chief Financial Officer of Civeo Corporation, pursuant to Rules 13a-14(a) or 15d-14(a) under the Securities</w:t>
            </w: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60" w:type="dxa"/>
            <w:vAlign w:val="bottom"/>
            <w:gridSpan w:val="3"/>
          </w:tcPr>
          <w:p>
            <w:pPr>
              <w:ind w:left="100"/>
              <w:spacing w:after="0"/>
              <w:rPr>
                <w:sz w:val="20"/>
                <w:szCs w:val="20"/>
                <w:color w:val="auto"/>
              </w:rPr>
            </w:pPr>
            <w:r>
              <w:rPr>
                <w:rFonts w:ascii="Arial" w:cs="Arial" w:eastAsia="Arial" w:hAnsi="Arial"/>
                <w:sz w:val="18"/>
                <w:szCs w:val="18"/>
                <w:color w:val="auto"/>
              </w:rPr>
              <w:t>Exchange Act of 1934.</w:t>
            </w:r>
          </w:p>
        </w:tc>
      </w:tr>
      <w:tr>
        <w:trPr>
          <w:trHeight w:val="418"/>
        </w:trPr>
        <w:tc>
          <w:tcPr>
            <w:tcW w:w="1160" w:type="dxa"/>
            <w:vAlign w:val="bottom"/>
            <w:gridSpan w:val="2"/>
          </w:tcPr>
          <w:p>
            <w:pPr>
              <w:ind w:left="340"/>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10040" w:type="dxa"/>
            <w:vAlign w:val="bottom"/>
            <w:gridSpan w:val="4"/>
          </w:tcPr>
          <w:p>
            <w:pPr>
              <w:ind w:left="220"/>
              <w:spacing w:after="0"/>
              <w:rPr>
                <w:sz w:val="20"/>
                <w:szCs w:val="20"/>
                <w:color w:val="auto"/>
              </w:rPr>
            </w:pPr>
            <w:r>
              <w:rPr>
                <w:rFonts w:ascii="Arial" w:cs="Arial" w:eastAsia="Arial" w:hAnsi="Arial"/>
                <w:sz w:val="18"/>
                <w:szCs w:val="18"/>
                <w:color w:val="auto"/>
                <w:w w:val="97"/>
              </w:rPr>
              <w:t>—  Certification of Chief Executive Officer of Civeo Corporation, pursuant to Rules 13a-14(b) or 15d-14(b) under the Securities</w:t>
            </w: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60" w:type="dxa"/>
            <w:vAlign w:val="bottom"/>
            <w:gridSpan w:val="3"/>
          </w:tcPr>
          <w:p>
            <w:pPr>
              <w:ind w:left="100"/>
              <w:spacing w:after="0"/>
              <w:rPr>
                <w:sz w:val="20"/>
                <w:szCs w:val="20"/>
                <w:color w:val="auto"/>
              </w:rPr>
            </w:pPr>
            <w:r>
              <w:rPr>
                <w:rFonts w:ascii="Arial" w:cs="Arial" w:eastAsia="Arial" w:hAnsi="Arial"/>
                <w:sz w:val="18"/>
                <w:szCs w:val="18"/>
                <w:color w:val="auto"/>
              </w:rPr>
              <w:t>Exchange Act of 1934.</w:t>
            </w:r>
          </w:p>
        </w:tc>
      </w:tr>
      <w:tr>
        <w:trPr>
          <w:trHeight w:val="418"/>
        </w:trPr>
        <w:tc>
          <w:tcPr>
            <w:tcW w:w="1160" w:type="dxa"/>
            <w:vAlign w:val="bottom"/>
            <w:gridSpan w:val="2"/>
          </w:tcPr>
          <w:p>
            <w:pPr>
              <w:ind w:left="340"/>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4"/>
                <w:szCs w:val="24"/>
                <w:color w:val="auto"/>
              </w:rPr>
            </w:pPr>
          </w:p>
        </w:tc>
        <w:tc>
          <w:tcPr>
            <w:tcW w:w="10040" w:type="dxa"/>
            <w:vAlign w:val="bottom"/>
            <w:gridSpan w:val="4"/>
          </w:tcPr>
          <w:p>
            <w:pPr>
              <w:ind w:left="220"/>
              <w:spacing w:after="0"/>
              <w:rPr>
                <w:sz w:val="20"/>
                <w:szCs w:val="20"/>
                <w:color w:val="auto"/>
              </w:rPr>
            </w:pPr>
            <w:r>
              <w:rPr>
                <w:rFonts w:ascii="Arial" w:cs="Arial" w:eastAsia="Arial" w:hAnsi="Arial"/>
                <w:sz w:val="18"/>
                <w:szCs w:val="18"/>
                <w:color w:val="auto"/>
                <w:w w:val="98"/>
              </w:rPr>
              <w:t>—  Certification of Chief Financial Officer of Civeo Corporation, pursuant to Rules 13a-14(b) or 15d-14(b) under the Securities</w:t>
            </w:r>
          </w:p>
        </w:tc>
      </w:tr>
      <w:tr>
        <w:trPr>
          <w:trHeight w:val="230"/>
        </w:trPr>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60" w:type="dxa"/>
            <w:vAlign w:val="bottom"/>
            <w:gridSpan w:val="3"/>
          </w:tcPr>
          <w:p>
            <w:pPr>
              <w:ind w:left="100"/>
              <w:spacing w:after="0"/>
              <w:rPr>
                <w:sz w:val="20"/>
                <w:szCs w:val="20"/>
                <w:color w:val="auto"/>
              </w:rPr>
            </w:pPr>
            <w:r>
              <w:rPr>
                <w:rFonts w:ascii="Arial" w:cs="Arial" w:eastAsia="Arial" w:hAnsi="Arial"/>
                <w:sz w:val="18"/>
                <w:szCs w:val="18"/>
                <w:color w:val="auto"/>
              </w:rPr>
              <w:t>Exchange Act of 1934.</w:t>
            </w:r>
          </w:p>
        </w:tc>
      </w:tr>
      <w:tr>
        <w:trPr>
          <w:trHeight w:val="432"/>
        </w:trPr>
        <w:tc>
          <w:tcPr>
            <w:tcW w:w="1380" w:type="dxa"/>
            <w:vAlign w:val="bottom"/>
            <w:gridSpan w:val="3"/>
          </w:tcPr>
          <w:p>
            <w:pPr>
              <w:ind w:left="60"/>
              <w:spacing w:after="0"/>
              <w:rPr>
                <w:sz w:val="20"/>
                <w:szCs w:val="20"/>
                <w:color w:val="auto"/>
              </w:rPr>
            </w:pPr>
            <w:r>
              <w:rPr>
                <w:rFonts w:ascii="Arial" w:cs="Arial" w:eastAsia="Arial" w:hAnsi="Arial"/>
                <w:sz w:val="18"/>
                <w:szCs w:val="18"/>
                <w:color w:val="auto"/>
              </w:rPr>
              <w:t>101.INS*</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9560" w:type="dxa"/>
            <w:vAlign w:val="bottom"/>
            <w:gridSpan w:val="3"/>
          </w:tcPr>
          <w:p>
            <w:pPr>
              <w:ind w:left="100"/>
              <w:spacing w:after="0"/>
              <w:rPr>
                <w:sz w:val="20"/>
                <w:szCs w:val="20"/>
                <w:color w:val="auto"/>
              </w:rPr>
            </w:pPr>
            <w:r>
              <w:rPr>
                <w:rFonts w:ascii="Arial" w:cs="Arial" w:eastAsia="Arial" w:hAnsi="Arial"/>
                <w:sz w:val="18"/>
                <w:szCs w:val="18"/>
                <w:color w:val="auto"/>
              </w:rPr>
              <w:t>XBRL Instance Document</w:t>
            </w:r>
          </w:p>
        </w:tc>
      </w:tr>
      <w:tr>
        <w:trPr>
          <w:trHeight w:val="432"/>
        </w:trPr>
        <w:tc>
          <w:tcPr>
            <w:tcW w:w="138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040" w:type="dxa"/>
            <w:vAlign w:val="bottom"/>
            <w:gridSpan w:val="4"/>
          </w:tcPr>
          <w:p>
            <w:pPr>
              <w:ind w:left="220"/>
              <w:spacing w:after="0"/>
              <w:rPr>
                <w:sz w:val="20"/>
                <w:szCs w:val="20"/>
                <w:color w:val="auto"/>
              </w:rPr>
            </w:pPr>
            <w:r>
              <w:rPr>
                <w:rFonts w:ascii="Arial" w:cs="Arial" w:eastAsia="Arial" w:hAnsi="Arial"/>
                <w:sz w:val="18"/>
                <w:szCs w:val="18"/>
                <w:color w:val="auto"/>
              </w:rPr>
              <w:t>—  XBRL Taxonomy Extension Schema Document</w:t>
            </w:r>
          </w:p>
        </w:tc>
      </w:tr>
      <w:tr>
        <w:trPr>
          <w:trHeight w:val="432"/>
        </w:trPr>
        <w:tc>
          <w:tcPr>
            <w:tcW w:w="138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040" w:type="dxa"/>
            <w:vAlign w:val="bottom"/>
            <w:gridSpan w:val="4"/>
          </w:tcPr>
          <w:p>
            <w:pPr>
              <w:ind w:left="220"/>
              <w:spacing w:after="0"/>
              <w:rPr>
                <w:sz w:val="20"/>
                <w:szCs w:val="20"/>
                <w:color w:val="auto"/>
              </w:rPr>
            </w:pPr>
            <w:r>
              <w:rPr>
                <w:rFonts w:ascii="Arial" w:cs="Arial" w:eastAsia="Arial" w:hAnsi="Arial"/>
                <w:sz w:val="18"/>
                <w:szCs w:val="18"/>
                <w:color w:val="auto"/>
              </w:rPr>
              <w:t>—  XBRL Taxonomy Extension Calculation Linkbase Document</w:t>
            </w:r>
          </w:p>
        </w:tc>
      </w:tr>
      <w:tr>
        <w:trPr>
          <w:trHeight w:val="432"/>
        </w:trPr>
        <w:tc>
          <w:tcPr>
            <w:tcW w:w="138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040" w:type="dxa"/>
            <w:vAlign w:val="bottom"/>
            <w:gridSpan w:val="4"/>
          </w:tcPr>
          <w:p>
            <w:pPr>
              <w:ind w:left="220"/>
              <w:spacing w:after="0"/>
              <w:rPr>
                <w:sz w:val="20"/>
                <w:szCs w:val="20"/>
                <w:color w:val="auto"/>
              </w:rPr>
            </w:pPr>
            <w:r>
              <w:rPr>
                <w:rFonts w:ascii="Arial" w:cs="Arial" w:eastAsia="Arial" w:hAnsi="Arial"/>
                <w:sz w:val="18"/>
                <w:szCs w:val="18"/>
                <w:color w:val="auto"/>
              </w:rPr>
              <w:t>—  XBRL Taxonomy Extension Definition Linkbase Document</w:t>
            </w:r>
          </w:p>
        </w:tc>
      </w:tr>
      <w:tr>
        <w:trPr>
          <w:trHeight w:val="432"/>
        </w:trPr>
        <w:tc>
          <w:tcPr>
            <w:tcW w:w="138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040" w:type="dxa"/>
            <w:vAlign w:val="bottom"/>
            <w:gridSpan w:val="4"/>
          </w:tcPr>
          <w:p>
            <w:pPr>
              <w:ind w:left="220"/>
              <w:spacing w:after="0"/>
              <w:rPr>
                <w:sz w:val="20"/>
                <w:szCs w:val="20"/>
                <w:color w:val="auto"/>
              </w:rPr>
            </w:pPr>
            <w:r>
              <w:rPr>
                <w:rFonts w:ascii="Arial" w:cs="Arial" w:eastAsia="Arial" w:hAnsi="Arial"/>
                <w:sz w:val="18"/>
                <w:szCs w:val="18"/>
                <w:color w:val="auto"/>
              </w:rPr>
              <w:t>—  XBRL Taxonomy Extension Label Linkbase Document</w:t>
            </w:r>
          </w:p>
        </w:tc>
      </w:tr>
      <w:tr>
        <w:trPr>
          <w:trHeight w:val="432"/>
        </w:trPr>
        <w:tc>
          <w:tcPr>
            <w:tcW w:w="1380" w:type="dxa"/>
            <w:vAlign w:val="bottom"/>
            <w:gridSpan w:val="3"/>
          </w:tcPr>
          <w:p>
            <w:pPr>
              <w:spacing w:after="0"/>
              <w:rPr>
                <w:sz w:val="20"/>
                <w:szCs w:val="20"/>
                <w:color w:val="auto"/>
              </w:rPr>
            </w:pPr>
            <w:r>
              <w:rPr>
                <w:rFonts w:ascii="Arial" w:cs="Arial" w:eastAsia="Arial" w:hAnsi="Arial"/>
                <w:sz w:val="18"/>
                <w:szCs w:val="18"/>
                <w:color w:val="auto"/>
              </w:rPr>
              <w:t>101.PRE*</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956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20" w:hanging="412"/>
        <w:spacing w:after="0"/>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right="6040" w:firstLine="8"/>
        <w:spacing w:after="0" w:line="261" w:lineRule="auto"/>
        <w:tabs>
          <w:tab w:leader="none" w:pos="585"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Management contracts and compensatory plans and arrangements. ** Furnished herewith.</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6" w:name="page37"/>
    <w:bookmarkEnd w:id="36"/>
    <w:p>
      <w:pPr>
        <w:spacing w:after="0" w:line="269" w:lineRule="auto"/>
        <w:rPr>
          <w:sz w:val="20"/>
          <w:szCs w:val="20"/>
          <w:color w:val="auto"/>
        </w:rPr>
      </w:pPr>
      <w:r>
        <w:rPr>
          <w:rFonts w:ascii="Arial" w:cs="Arial" w:eastAsia="Arial" w:hAnsi="Arial"/>
          <w:sz w:val="17"/>
          <w:szCs w:val="17"/>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CIVEO CORPORATION</w:t>
      </w:r>
    </w:p>
    <w:p>
      <w:pPr>
        <w:spacing w:after="0" w:line="221" w:lineRule="exact"/>
        <w:rPr>
          <w:sz w:val="20"/>
          <w:szCs w:val="20"/>
          <w:color w:val="auto"/>
        </w:rPr>
      </w:pPr>
    </w:p>
    <w:p>
      <w:pPr>
        <w:ind w:left="60"/>
        <w:spacing w:after="0"/>
        <w:tabs>
          <w:tab w:leader="none" w:pos="5700" w:val="left"/>
          <w:tab w:leader="none" w:pos="716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July 29,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b w:val="1"/>
          <w:bCs w:val="1"/>
          <w:color w:val="auto"/>
        </w:rPr>
        <w:t>/s/ Frank C. Steininger</w:t>
      </w:r>
    </w:p>
    <w:p>
      <w:pPr>
        <w:spacing w:after="0" w:line="27" w:lineRule="exact"/>
        <w:rPr>
          <w:sz w:val="20"/>
          <w:szCs w:val="20"/>
          <w:color w:val="auto"/>
        </w:rPr>
      </w:pPr>
    </w:p>
    <w:p>
      <w:pPr>
        <w:jc w:val="center"/>
        <w:ind w:left="4760"/>
        <w:spacing w:after="0"/>
        <w:rPr>
          <w:sz w:val="20"/>
          <w:szCs w:val="20"/>
          <w:color w:val="auto"/>
        </w:rPr>
      </w:pPr>
      <w:r>
        <w:rPr>
          <w:rFonts w:ascii="Arial" w:cs="Arial" w:eastAsia="Arial" w:hAnsi="Arial"/>
          <w:sz w:val="18"/>
          <w:szCs w:val="18"/>
          <w:b w:val="1"/>
          <w:bCs w:val="1"/>
          <w:color w:val="auto"/>
        </w:rPr>
        <w:t>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jc w:val="center"/>
        <w:ind w:left="4760"/>
        <w:spacing w:after="0"/>
        <w:rPr>
          <w:sz w:val="20"/>
          <w:szCs w:val="20"/>
          <w:color w:val="auto"/>
        </w:rPr>
      </w:pPr>
      <w:r>
        <w:rPr>
          <w:rFonts w:ascii="Arial" w:cs="Arial" w:eastAsia="Arial" w:hAnsi="Arial"/>
          <w:sz w:val="18"/>
          <w:szCs w:val="18"/>
          <w:b w:val="1"/>
          <w:bCs w:val="1"/>
          <w:color w:val="auto"/>
        </w:rPr>
        <w:t>Senior Vice President, Chief Financial Officer and</w:t>
      </w:r>
    </w:p>
    <w:p>
      <w:pPr>
        <w:spacing w:after="0" w:line="9" w:lineRule="exact"/>
        <w:rPr>
          <w:sz w:val="20"/>
          <w:szCs w:val="20"/>
          <w:color w:val="auto"/>
        </w:rPr>
      </w:pPr>
    </w:p>
    <w:p>
      <w:pPr>
        <w:jc w:val="center"/>
        <w:ind w:left="4660"/>
        <w:spacing w:after="0"/>
        <w:rPr>
          <w:sz w:val="20"/>
          <w:szCs w:val="20"/>
          <w:color w:val="auto"/>
        </w:rPr>
      </w:pPr>
      <w:r>
        <w:rPr>
          <w:rFonts w:ascii="Arial" w:cs="Arial" w:eastAsia="Arial" w:hAnsi="Arial"/>
          <w:sz w:val="18"/>
          <w:szCs w:val="18"/>
          <w:b w:val="1"/>
          <w:bCs w:val="1"/>
          <w:color w:val="auto"/>
        </w:rPr>
        <w:t>Treasurer (Duly Authorized Officer and Principal</w:t>
      </w:r>
    </w:p>
    <w:p>
      <w:pPr>
        <w:spacing w:after="0" w:line="9" w:lineRule="exact"/>
        <w:rPr>
          <w:sz w:val="20"/>
          <w:szCs w:val="20"/>
          <w:color w:val="auto"/>
        </w:rPr>
      </w:pPr>
    </w:p>
    <w:p>
      <w:pPr>
        <w:jc w:val="center"/>
        <w:ind w:left="4700"/>
        <w:spacing w:after="0"/>
        <w:rPr>
          <w:sz w:val="20"/>
          <w:szCs w:val="20"/>
          <w:color w:val="auto"/>
        </w:rPr>
      </w:pPr>
      <w:r>
        <w:rPr>
          <w:rFonts w:ascii="Arial" w:cs="Arial" w:eastAsia="Arial" w:hAnsi="Arial"/>
          <w:sz w:val="18"/>
          <w:szCs w:val="18"/>
          <w:b w:val="1"/>
          <w:bCs w:val="1"/>
          <w:color w:val="auto"/>
        </w:rPr>
        <w:t>Financial Officer)</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5" w:lineRule="exact"/>
        <w:rPr>
          <w:sz w:val="20"/>
          <w:szCs w:val="20"/>
          <w:color w:val="auto"/>
        </w:rPr>
      </w:pPr>
    </w:p>
    <w:p>
      <w:pPr>
        <w:ind w:left="240"/>
        <w:spacing w:after="0"/>
        <w:tabs>
          <w:tab w:leader="none" w:pos="616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Description</w:t>
      </w:r>
    </w:p>
    <w:p>
      <w:pPr>
        <w:spacing w:after="0" w:line="229" w:lineRule="exact"/>
        <w:rPr>
          <w:sz w:val="20"/>
          <w:szCs w:val="20"/>
          <w:color w:val="auto"/>
        </w:rPr>
      </w:pPr>
    </w:p>
    <w:p>
      <w:pPr>
        <w:jc w:val="both"/>
        <w:ind w:left="1520" w:hanging="697"/>
        <w:spacing w:after="0" w:line="264" w:lineRule="auto"/>
        <w:tabs>
          <w:tab w:leader="none" w:pos="1500" w:val="left"/>
        </w:tabs>
        <w:rPr>
          <w:sz w:val="20"/>
          <w:szCs w:val="20"/>
          <w:color w:val="auto"/>
        </w:rPr>
      </w:pPr>
      <w:r>
        <w:rPr>
          <w:rFonts w:ascii="Arial" w:cs="Arial" w:eastAsia="Arial" w:hAnsi="Arial"/>
          <w:sz w:val="18"/>
          <w:szCs w:val="18"/>
          <w:color w:val="auto"/>
        </w:rPr>
        <w:t>2.1</w:t>
        <w:tab/>
        <w:t>— Agreement and Plan of Merger, dated as of April 6, 2015, among Civeo Corporation, Civeo Canadian Holdings ULC and Civeo US Merger Co (incorporated by reference to Annex A of Civeo Corporation’s definitive proxy statement/prospectus on Schedule 14A filed with the SEC on April 8, 2015).</w:t>
      </w:r>
    </w:p>
    <w:p>
      <w:pPr>
        <w:spacing w:after="0" w:line="181" w:lineRule="exact"/>
        <w:rPr>
          <w:sz w:val="20"/>
          <w:szCs w:val="20"/>
          <w:color w:val="auto"/>
        </w:rPr>
      </w:pPr>
    </w:p>
    <w:p>
      <w:pPr>
        <w:jc w:val="both"/>
        <w:ind w:left="1520" w:hanging="697"/>
        <w:spacing w:after="0" w:line="342" w:lineRule="auto"/>
        <w:tabs>
          <w:tab w:leader="none" w:pos="15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 Separation and Distribution Agreement, by and between Oil States International, Inc. and Civeo Corporation, dated May 27, 2014 (incorporated herein by reference to Exhibit 2.1 to the Current Report on Form 8-K (File No. 001-36246) filed on June 2, 2014).</w:t>
      </w:r>
    </w:p>
    <w:p>
      <w:pPr>
        <w:spacing w:after="0" w:line="124" w:lineRule="exact"/>
        <w:rPr>
          <w:sz w:val="20"/>
          <w:szCs w:val="20"/>
          <w:color w:val="auto"/>
        </w:rPr>
      </w:pPr>
    </w:p>
    <w:p>
      <w:pPr>
        <w:jc w:val="both"/>
        <w:ind w:left="1520" w:hanging="697"/>
        <w:spacing w:after="0" w:line="277" w:lineRule="auto"/>
        <w:tabs>
          <w:tab w:leader="none" w:pos="1500" w:val="left"/>
        </w:tabs>
        <w:rPr>
          <w:sz w:val="20"/>
          <w:szCs w:val="20"/>
          <w:color w:val="auto"/>
        </w:rPr>
      </w:pPr>
      <w:r>
        <w:rPr>
          <w:rFonts w:ascii="Arial" w:cs="Arial" w:eastAsia="Arial" w:hAnsi="Arial"/>
          <w:sz w:val="18"/>
          <w:szCs w:val="18"/>
          <w:color w:val="auto"/>
        </w:rPr>
        <w:t>3.1</w:t>
        <w:tab/>
        <w:t>— Notice of Articles of Civeo Corporation (incorporated herein by reference to Exhibit 3.1 to the Current Report on Form 8-K12B (File No. 001-36246) filed on July 17, 2015).</w:t>
      </w:r>
    </w:p>
    <w:p>
      <w:pPr>
        <w:spacing w:after="0" w:line="170" w:lineRule="exact"/>
        <w:rPr>
          <w:sz w:val="20"/>
          <w:szCs w:val="20"/>
          <w:color w:val="auto"/>
        </w:rPr>
      </w:pPr>
    </w:p>
    <w:p>
      <w:pPr>
        <w:jc w:val="both"/>
        <w:ind w:left="1520" w:hanging="697"/>
        <w:spacing w:after="0" w:line="277" w:lineRule="auto"/>
        <w:tabs>
          <w:tab w:leader="none" w:pos="1500" w:val="left"/>
        </w:tabs>
        <w:rPr>
          <w:sz w:val="20"/>
          <w:szCs w:val="20"/>
          <w:color w:val="auto"/>
        </w:rPr>
      </w:pPr>
      <w:r>
        <w:rPr>
          <w:rFonts w:ascii="Arial" w:cs="Arial" w:eastAsia="Arial" w:hAnsi="Arial"/>
          <w:sz w:val="18"/>
          <w:szCs w:val="18"/>
          <w:color w:val="auto"/>
        </w:rPr>
        <w:t>3.2</w:t>
        <w:tab/>
        <w:t>— Amended and Restated Articles of Civeo Corporation (incorporated herein by reference to Exhibit 3.1 to the Current Report on Form 8-K (File No. 001-36246) filed on May 13, 2016).</w:t>
      </w:r>
    </w:p>
    <w:p>
      <w:pPr>
        <w:spacing w:after="0" w:line="170" w:lineRule="exact"/>
        <w:rPr>
          <w:sz w:val="20"/>
          <w:szCs w:val="20"/>
          <w:color w:val="auto"/>
        </w:rPr>
      </w:pPr>
    </w:p>
    <w:p>
      <w:pPr>
        <w:jc w:val="both"/>
        <w:ind w:left="1520" w:hanging="697"/>
        <w:spacing w:after="0" w:line="277" w:lineRule="auto"/>
        <w:tabs>
          <w:tab w:leader="none" w:pos="1500" w:val="left"/>
        </w:tabs>
        <w:rPr>
          <w:sz w:val="20"/>
          <w:szCs w:val="20"/>
          <w:color w:val="auto"/>
        </w:rPr>
      </w:pPr>
      <w:r>
        <w:rPr>
          <w:rFonts w:ascii="Arial" w:cs="Arial" w:eastAsia="Arial" w:hAnsi="Arial"/>
          <w:sz w:val="18"/>
          <w:szCs w:val="18"/>
          <w:color w:val="auto"/>
        </w:rPr>
        <w:t>4.1</w:t>
        <w:tab/>
        <w:t>— Form of Common Share Certificate (incorporated herein by reference to Exhibit 4.1 to the Current Report on Form 8-K12B (File No. 001-36246) filed on July 17, 2015).</w:t>
      </w:r>
    </w:p>
    <w:p>
      <w:pPr>
        <w:spacing w:after="0" w:line="170" w:lineRule="exact"/>
        <w:rPr>
          <w:sz w:val="20"/>
          <w:szCs w:val="20"/>
          <w:color w:val="auto"/>
        </w:rPr>
      </w:pPr>
    </w:p>
    <w:p>
      <w:pPr>
        <w:ind w:left="1520" w:hanging="877"/>
        <w:spacing w:after="0" w:line="277" w:lineRule="auto"/>
        <w:tabs>
          <w:tab w:leader="none" w:pos="1500" w:val="left"/>
        </w:tabs>
        <w:rPr>
          <w:sz w:val="20"/>
          <w:szCs w:val="20"/>
          <w:color w:val="auto"/>
        </w:rPr>
      </w:pPr>
      <w:r>
        <w:rPr>
          <w:rFonts w:ascii="Arial" w:cs="Arial" w:eastAsia="Arial" w:hAnsi="Arial"/>
          <w:sz w:val="18"/>
          <w:szCs w:val="18"/>
          <w:color w:val="auto"/>
        </w:rPr>
        <w:t>10.1†</w:t>
        <w:tab/>
        <w:t>— Amended and Restated 2014 Equity Participation Plan of Civeo Corporation (incorporated herein by reference to Annex B of Civeo Corporation’s definitive proxy statement on Schedule 14A (File No. 001-36246) filed on April 11, 2016).</w:t>
      </w:r>
    </w:p>
    <w:p>
      <w:pPr>
        <w:spacing w:after="0" w:line="170" w:lineRule="exact"/>
        <w:rPr>
          <w:sz w:val="20"/>
          <w:szCs w:val="20"/>
          <w:color w:val="auto"/>
        </w:rPr>
      </w:pPr>
    </w:p>
    <w:p>
      <w:pPr>
        <w:ind w:left="1520" w:hanging="877"/>
        <w:spacing w:after="0" w:line="277" w:lineRule="auto"/>
        <w:tabs>
          <w:tab w:leader="none" w:pos="1500" w:val="left"/>
        </w:tabs>
        <w:rPr>
          <w:sz w:val="20"/>
          <w:szCs w:val="20"/>
          <w:color w:val="auto"/>
        </w:rPr>
      </w:pPr>
      <w:r>
        <w:rPr>
          <w:rFonts w:ascii="Arial" w:cs="Arial" w:eastAsia="Arial" w:hAnsi="Arial"/>
          <w:sz w:val="18"/>
          <w:szCs w:val="18"/>
          <w:color w:val="auto"/>
        </w:rPr>
        <w:t>31.1*</w:t>
        <w:tab/>
        <w:t>— Certification of Chief Executive Officer of Civeo Corporation, pursuant to Rules 13a-14(a) or 15d-14(a) under the Securities Exchange Act of 1934.</w:t>
      </w:r>
    </w:p>
    <w:p>
      <w:pPr>
        <w:spacing w:after="0" w:line="170" w:lineRule="exact"/>
        <w:rPr>
          <w:sz w:val="20"/>
          <w:szCs w:val="20"/>
          <w:color w:val="auto"/>
        </w:rPr>
      </w:pPr>
    </w:p>
    <w:p>
      <w:pPr>
        <w:ind w:left="1520" w:right="20" w:hanging="877"/>
        <w:spacing w:after="0" w:line="277" w:lineRule="auto"/>
        <w:tabs>
          <w:tab w:leader="none" w:pos="1500" w:val="left"/>
        </w:tabs>
        <w:rPr>
          <w:sz w:val="20"/>
          <w:szCs w:val="20"/>
          <w:color w:val="auto"/>
        </w:rPr>
      </w:pPr>
      <w:r>
        <w:rPr>
          <w:rFonts w:ascii="Arial" w:cs="Arial" w:eastAsia="Arial" w:hAnsi="Arial"/>
          <w:sz w:val="18"/>
          <w:szCs w:val="18"/>
          <w:color w:val="auto"/>
        </w:rPr>
        <w:t>31.2*</w:t>
        <w:tab/>
        <w:t>— Certification of Chief Financial Officer of Civeo Corporation, pursuant to Rules 13a-14(a) or 15d-14(a) under the Securities Exchange Act of 1934.</w:t>
      </w:r>
    </w:p>
    <w:p>
      <w:pPr>
        <w:spacing w:after="0" w:line="170" w:lineRule="exact"/>
        <w:rPr>
          <w:sz w:val="20"/>
          <w:szCs w:val="20"/>
          <w:color w:val="auto"/>
        </w:rPr>
      </w:pPr>
    </w:p>
    <w:p>
      <w:pPr>
        <w:ind w:left="1520" w:hanging="967"/>
        <w:spacing w:after="0" w:line="277" w:lineRule="auto"/>
        <w:tabs>
          <w:tab w:leader="none" w:pos="1500" w:val="left"/>
        </w:tabs>
        <w:rPr>
          <w:sz w:val="20"/>
          <w:szCs w:val="20"/>
          <w:color w:val="auto"/>
        </w:rPr>
      </w:pPr>
      <w:r>
        <w:rPr>
          <w:rFonts w:ascii="Arial" w:cs="Arial" w:eastAsia="Arial" w:hAnsi="Arial"/>
          <w:sz w:val="18"/>
          <w:szCs w:val="18"/>
          <w:color w:val="auto"/>
        </w:rPr>
        <w:t>32.1**</w:t>
        <w:tab/>
        <w:t>— Certification of Chief Executive Officer of Civeo Corporation, pursuant to Rules 13a-14(b) or 15d-14(b) under the Securities Exchange Act of 1934.</w:t>
      </w:r>
    </w:p>
    <w:p>
      <w:pPr>
        <w:spacing w:after="0" w:line="170" w:lineRule="exact"/>
        <w:rPr>
          <w:sz w:val="20"/>
          <w:szCs w:val="20"/>
          <w:color w:val="auto"/>
        </w:rPr>
      </w:pPr>
    </w:p>
    <w:p>
      <w:pPr>
        <w:ind w:left="1520" w:hanging="967"/>
        <w:spacing w:after="0" w:line="277" w:lineRule="auto"/>
        <w:tabs>
          <w:tab w:leader="none" w:pos="1500" w:val="left"/>
        </w:tabs>
        <w:rPr>
          <w:sz w:val="20"/>
          <w:szCs w:val="20"/>
          <w:color w:val="auto"/>
        </w:rPr>
      </w:pPr>
      <w:r>
        <w:rPr>
          <w:rFonts w:ascii="Arial" w:cs="Arial" w:eastAsia="Arial" w:hAnsi="Arial"/>
          <w:sz w:val="18"/>
          <w:szCs w:val="18"/>
          <w:color w:val="auto"/>
        </w:rPr>
        <w:t>32.2**</w:t>
        <w:tab/>
        <w:t>— Certification of Chief Financial Officer of Civeo Corporation, pursuant to Rules 13a-14(b) or 15d-14(b) under the Securities Exchange Act of 1934.</w:t>
      </w:r>
    </w:p>
    <w:p>
      <w:pPr>
        <w:spacing w:after="0" w:line="170" w:lineRule="exact"/>
        <w:rPr>
          <w:sz w:val="20"/>
          <w:szCs w:val="20"/>
          <w:color w:val="auto"/>
        </w:rPr>
      </w:pPr>
    </w:p>
    <w:p>
      <w:pPr>
        <w:ind w:left="680"/>
        <w:spacing w:after="0"/>
        <w:tabs>
          <w:tab w:leader="none" w:pos="1500" w:val="left"/>
          <w:tab w:leader="none" w:pos="1820" w:val="left"/>
        </w:tabs>
        <w:rPr>
          <w:sz w:val="20"/>
          <w:szCs w:val="20"/>
          <w:color w:val="auto"/>
        </w:rPr>
      </w:pPr>
      <w:r>
        <w:rPr>
          <w:rFonts w:ascii="Arial" w:cs="Arial" w:eastAsia="Arial" w:hAnsi="Arial"/>
          <w:sz w:val="18"/>
          <w:szCs w:val="18"/>
          <w:color w:val="auto"/>
        </w:rPr>
        <w:t>101.INS*</w:t>
        <w:tab/>
        <w:t>—</w:t>
      </w:r>
      <w:r>
        <w:rPr>
          <w:sz w:val="20"/>
          <w:szCs w:val="20"/>
          <w:color w:val="auto"/>
        </w:rPr>
        <w:tab/>
      </w:r>
      <w:r>
        <w:rPr>
          <w:rFonts w:ascii="Arial" w:cs="Arial" w:eastAsia="Arial" w:hAnsi="Arial"/>
          <w:sz w:val="16"/>
          <w:szCs w:val="16"/>
          <w:color w:val="auto"/>
        </w:rPr>
        <w:t>XBRL Instance Document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101.SCH*  —  XBRL Taxonomy Extension Schema Document</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101.CAL*  —  XBRL Taxonomy Extension Calculation Linkbase Document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101.DEF*  —  XBRL Taxonomy Extension Definition Linkbase Document.</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101.LAB*  —  XBRL Taxonomy Extension Label Linkbase Document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101.PRE*  —  XBRL Taxonomy Extension Presentation Linkbase Document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20" w:hanging="412"/>
        <w:spacing w:after="0"/>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right="6040" w:firstLine="8"/>
        <w:spacing w:after="0" w:line="261" w:lineRule="auto"/>
        <w:tabs>
          <w:tab w:leader="none" w:pos="585"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Management contracts and compensatory plans and arrangements. ** Furnished herewith.</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9" w:name="page40"/>
    <w:bookmarkEnd w:id="39"/>
    <w:p>
      <w:pPr>
        <w:spacing w:after="0" w:line="269" w:lineRule="auto"/>
        <w:rPr>
          <w:sz w:val="20"/>
          <w:szCs w:val="20"/>
          <w:color w:val="auto"/>
        </w:rPr>
      </w:pPr>
      <w:r>
        <w:rPr>
          <w:rFonts w:ascii="Arial" w:cs="Arial" w:eastAsia="Arial" w:hAnsi="Arial"/>
          <w:sz w:val="17"/>
          <w:szCs w:val="17"/>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Bradley J. Dodson, certify that:</w:t>
      </w:r>
    </w:p>
    <w:p>
      <w:pPr>
        <w:spacing w:after="0" w:line="225"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Civeo Corporation (Registrant);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80" w:hanging="324"/>
        <w:spacing w:after="0" w:line="291" w:lineRule="auto"/>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320"/>
        <w:spacing w:after="0" w:line="308" w:lineRule="auto"/>
        <w:tabs>
          <w:tab w:leader="none" w:pos="130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July 29, 2016</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 Bradley J. Dodson</w:t>
      </w:r>
    </w:p>
    <w:p>
      <w:pPr>
        <w:spacing w:after="0" w:line="9"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-130810</wp:posOffset>
            </wp:positionV>
            <wp:extent cx="24180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Frank C. Steininger, certify that:</w:t>
      </w:r>
    </w:p>
    <w:p>
      <w:pPr>
        <w:spacing w:after="0" w:line="225"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Civeo Corporation (Registrant);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80" w:hanging="324"/>
        <w:spacing w:after="0" w:line="291" w:lineRule="auto"/>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300" w:right="120" w:hanging="320"/>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320"/>
        <w:spacing w:after="0" w:line="308" w:lineRule="auto"/>
        <w:tabs>
          <w:tab w:leader="none" w:pos="130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July 29, 2016</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 Frank C. Steininger</w:t>
      </w:r>
    </w:p>
    <w:p>
      <w:pPr>
        <w:spacing w:after="0" w:line="9"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-130810</wp:posOffset>
            </wp:positionV>
            <wp:extent cx="24180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3" w:lineRule="exact"/>
        <w:rPr>
          <w:sz w:val="20"/>
          <w:szCs w:val="20"/>
          <w:color w:val="auto"/>
        </w:rPr>
      </w:pPr>
    </w:p>
    <w:p>
      <w:pPr>
        <w:ind w:left="7620"/>
        <w:spacing w:after="0"/>
        <w:rPr>
          <w:sz w:val="20"/>
          <w:szCs w:val="20"/>
          <w:color w:val="auto"/>
        </w:rPr>
      </w:pPr>
      <w:r>
        <w:rPr>
          <w:rFonts w:ascii="Arial" w:cs="Arial" w:eastAsia="Arial" w:hAnsi="Arial"/>
          <w:sz w:val="17"/>
          <w:szCs w:val="17"/>
          <w:color w:val="auto"/>
        </w:rPr>
        <w:t>Senior Vice President, Chief Financial Officer and</w:t>
      </w:r>
    </w:p>
    <w:p>
      <w:pPr>
        <w:spacing w:after="0" w:line="21"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Treasurer</w:t>
      </w:r>
    </w:p>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Quarterly Report on Form 10-Q of Civeo Corporation (the “Company”) for the quarterly period ended June 30, 2016, as filed with the Securities and Exchange Commission on the date hereof (the “Report”), I, Bradley J. Dodson, President and Chief Executive Officer of the Company, hereby certify, pursuant to 18 U.S.C. Section 1350, as adopted pursuant to Section 906 of the Sarbanes-Oxley Act of 2002, to the best of my knowledge, that:</w:t>
      </w:r>
    </w:p>
    <w:p>
      <w:pPr>
        <w:spacing w:after="0" w:line="187"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Bradley J. Dodson</w:t>
      </w:r>
    </w:p>
    <w:p>
      <w:pPr>
        <w:spacing w:after="0" w:line="23" w:lineRule="exact"/>
        <w:rPr>
          <w:sz w:val="20"/>
          <w:szCs w:val="20"/>
          <w:color w:val="auto"/>
        </w:rPr>
      </w:pPr>
    </w:p>
    <w:tbl>
      <w:tblPr>
        <w:tblLayout w:type="fixed"/>
        <w:tblInd w:w="572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70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w w:val="94"/>
              </w:rPr>
              <w:t>Bradley</w:t>
            </w:r>
          </w:p>
        </w:tc>
        <w:tc>
          <w:tcPr>
            <w:tcW w:w="270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J. Dodson</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700" w:type="dxa"/>
            <w:vAlign w:val="bottom"/>
          </w:tcPr>
          <w:p>
            <w:pPr>
              <w:ind w:left="100"/>
              <w:spacing w:after="0"/>
              <w:rPr>
                <w:sz w:val="20"/>
                <w:szCs w:val="20"/>
                <w:color w:val="auto"/>
              </w:rPr>
            </w:pPr>
            <w:r>
              <w:rPr>
                <w:rFonts w:ascii="Arial" w:cs="Arial" w:eastAsia="Arial" w:hAnsi="Arial"/>
                <w:sz w:val="18"/>
                <w:szCs w:val="18"/>
                <w:color w:val="auto"/>
                <w:w w:val="93"/>
              </w:rPr>
              <w:t>July 29,</w:t>
            </w:r>
          </w:p>
        </w:tc>
        <w:tc>
          <w:tcPr>
            <w:tcW w:w="2700" w:type="dxa"/>
            <w:vAlign w:val="bottom"/>
          </w:tcPr>
          <w:p>
            <w:pPr>
              <w:ind w:left="20"/>
              <w:spacing w:after="0"/>
              <w:rPr>
                <w:sz w:val="20"/>
                <w:szCs w:val="20"/>
                <w:color w:val="auto"/>
              </w:rPr>
            </w:pPr>
            <w:r>
              <w:rPr>
                <w:rFonts w:ascii="Arial" w:cs="Arial" w:eastAsia="Arial" w:hAnsi="Arial"/>
                <w:sz w:val="18"/>
                <w:szCs w:val="18"/>
                <w:color w:val="auto"/>
              </w:rPr>
              <w:t>2016</w:t>
            </w:r>
          </w:p>
        </w:tc>
      </w:tr>
    </w:tbl>
    <w:p>
      <w:pPr>
        <w:sectPr>
          <w:pgSz w:w="11900" w:h="16838" w:orient="portrait"/>
          <w:cols w:equalWidth="0" w:num="1">
            <w:col w:w="11420"/>
          </w:cols>
          <w:pgMar w:left="240" w:top="12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Quarterly Report on Form 10-Q of Civeo Corporation (the “Company”) for the quarterly period ended June 30, 2016, as filed with the Securities and Exchange Commission on the date hereof (the “Report”), I, Frank C. Steininger, Senior Vice President, Chief Financial Officer and Treasurer of the Company, hereby certify, pursuant to 18 U.S.C. Section 1350, as adopted pursuant to Section 906 of the Sarbanes-Oxley Act of 2002, to the best of my knowledge, that:</w:t>
      </w:r>
    </w:p>
    <w:p>
      <w:pPr>
        <w:spacing w:after="0" w:line="187"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Frank C. Steininger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5387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July 29, 2016</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upperLetter"/>
      <w:start w:val="24"/>
    </w:lvl>
  </w:abstractNum>
  <w:abstractNum w:abstractNumId="1">
    <w:nsid w:val="41A7C4C9"/>
    <w:multiLevelType w:val="hybridMultilevel"/>
    <w:lvl w:ilvl="0">
      <w:lvlJc w:val="left"/>
      <w:lvlText w:val="%1."/>
      <w:numFmt w:val="decimal"/>
      <w:start w:val="1"/>
    </w:lvl>
  </w:abstractNum>
  <w:abstractNum w:abstractNumId="2">
    <w:nsid w:val="6B68079A"/>
    <w:multiLevelType w:val="hybridMultilevel"/>
    <w:lvl w:ilvl="0">
      <w:lvlJc w:val="left"/>
      <w:lvlText w:val="%1."/>
      <w:numFmt w:val="decimal"/>
      <w:start w:val="2"/>
    </w:lvl>
  </w:abstractNum>
  <w:abstractNum w:abstractNumId="3">
    <w:nsid w:val="4E6AFB66"/>
    <w:multiLevelType w:val="hybridMultilevel"/>
    <w:lvl w:ilvl="0">
      <w:lvlJc w:val="left"/>
      <w:lvlText w:val="%1."/>
      <w:numFmt w:val="decimal"/>
      <w:start w:val="3"/>
    </w:lvl>
  </w:abstractNum>
  <w:abstractNum w:abstractNumId="4">
    <w:nsid w:val="25E45D32"/>
    <w:multiLevelType w:val="hybridMultilevel"/>
    <w:lvl w:ilvl="0">
      <w:lvlJc w:val="left"/>
      <w:lvlText w:val="%1."/>
      <w:numFmt w:val="decimal"/>
      <w:start w:val="4"/>
    </w:lvl>
  </w:abstractNum>
  <w:abstractNum w:abstractNumId="5">
    <w:nsid w:val="519B500D"/>
    <w:multiLevelType w:val="hybridMultilevel"/>
    <w:lvl w:ilvl="0">
      <w:lvlJc w:val="left"/>
      <w:lvlText w:val="%1."/>
      <w:numFmt w:val="decimal"/>
      <w:start w:val="6"/>
    </w:lvl>
  </w:abstractNum>
  <w:abstractNum w:abstractNumId="6">
    <w:nsid w:val="431BD7B7"/>
    <w:multiLevelType w:val="hybridMultilevel"/>
    <w:lvl w:ilvl="0">
      <w:lvlJc w:val="left"/>
      <w:lvlText w:val="%1."/>
      <w:numFmt w:val="decimal"/>
      <w:start w:val="7"/>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1."/>
      <w:numFmt w:val="decimal"/>
      <w:start w:val="8"/>
    </w:lvl>
  </w:abstractNum>
  <w:abstractNum w:abstractNumId="10">
    <w:nsid w:val="62BBD95A"/>
    <w:multiLevelType w:val="hybridMultilevel"/>
    <w:lvl w:ilvl="0">
      <w:lvlJc w:val="left"/>
      <w:lvlText w:val="%1."/>
      <w:numFmt w:val="decimal"/>
      <w:start w:val="9"/>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2019-12-09T00:03:58Z</dcterms:created>
  <dcterms:modified xsi:type="dcterms:W3CDTF">2019-12-09T00:03:58Z</dcterms:modified>
</cp:coreProperties>
</file>