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23, 2026</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On April 23, 2026, Civeo Corporation (the “Company”) entered into the Amended and Restated Syndicated Facility Agreement (the “A&amp;R Syndicated Facility Agreement”) to amend and restate in its entirety that certain Syndicated Facility Agreement dated as of September 8, 2021, as amended, restated, amended and restated, supplemented or modified from time to time (the “Existing Syndicated Facility Agreement”) among the Company and certain subsidiaries of the Company, as borrowers, the lenders named therein, Royal Bank of Canada, as Administrative Agent, and the other agents party thereto. The A&amp;R Syndicated Facility Agreement amends and restates the Existing Syndicated Facility Agreement to (i) extend the maturity date until April 23, 2030, (ii) upsize the total aggregate revolving loan commitments by $20.0 million, and (iii) provide for other technical changes and amendments.</w:t>
      </w:r>
    </w:p>
    <w:p>
      <w:pPr>
        <w:spacing w:after="0" w:line="18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A&amp;R Syndicated Facility Agreement provides for a $285.0 million, 4-year revolving credit facility allocated as follows: (A) a $205.0 million senior secured revolving credit facility in favor of the Company, as borrower, (B) a $10.0 million senior secured revolving credit facility in favor of Civeo Management LLC and Civeo USA LLC, each a U.S. subsidiary of the Company, as borrowers, and (C) a $70.0 million senior secured revolving credit facility in favor of Civeo PTY Limited, an Australian subsidiary of the Company, as borrower. Amounts outstanding under the credit facilities bear interest at the adjusted Term SOFR (for U.S. Dollar loans), Term CORRA (for Canadian Dollar loans) or BBSY (for Australian Dollar loans) plus, with respect to each, a margin of 2.50% to 3.75%, or at a base rate plus a margin of 1.50% to 2.75%, in each case based on a ratio of the Company’s total net leverage to EBITDA (as defined in the A&amp;R Syndicated Facility Agreement). The A&amp;R Syndicated Facility Agreement has a maturity date of April 23, 2030, at which point all revolving commitments shall terminate.</w:t>
      </w:r>
    </w:p>
    <w:p>
      <w:pPr>
        <w:spacing w:after="0" w:line="21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A&amp;R Syndicated Facility Agreement includes (i) restrictions customary for facilities of this type, including covenants that impose restrictions on the Company’s ability to, among other things, borrow funds, dispose of assets, pay dividends, make certain investments and make certain capital expenditures,</w:t>
      </w:r>
    </w:p>
    <w:p>
      <w:pPr>
        <w:spacing w:after="0" w:line="1" w:lineRule="exact"/>
        <w:rPr>
          <w:sz w:val="20"/>
          <w:szCs w:val="20"/>
          <w:color w:val="auto"/>
        </w:rPr>
      </w:pPr>
    </w:p>
    <w:p>
      <w:pPr>
        <w:ind w:right="100" w:firstLine="8"/>
        <w:spacing w:after="0" w:line="234"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total net leverage ratio covenant, tested quarterly with maximum permitted net leverage of, prior to a qualified debt offering or a permitted issuance of convertible debt, 3.00x, or, following a qualified debt offering or a permitted issuance of convertible debt, 3.50x, and (iii) a maximum senior secured net leverage ratio covenant tested quarterly of 2.50x, commencing with the first quarter ending following a qualified debt offering or a permitted issuance of convertible debt.</w:t>
      </w:r>
    </w:p>
    <w:p>
      <w:pPr>
        <w:spacing w:after="0" w:line="21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Borrowings under the A&amp;R Syndicated Facility Agreement are secured by a pledge of substantially all of our assets and the assets of our subsidiaries subject to customary exceptions. The obligations under the A&amp;R Syndicated Facility Agreement are guaranteed by our significant subsidiaries.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description of the A&amp;R Syndicated Facility Agreement set forth herein is summary in nature and is qualified in its entirety by reference to the full text of the A&amp;R Syndicated Facility Agreement, a copy of which is attached hereto as Exhibit 10.1, and is incorporated herein by reference.</w:t>
      </w:r>
    </w:p>
    <w:p>
      <w:pPr>
        <w:spacing w:after="0" w:line="190"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22"/>
          <w:szCs w:val="22"/>
          <w:b w:val="1"/>
          <w:bCs w:val="1"/>
          <w:color w:val="auto"/>
        </w:rPr>
        <w:t>Item 2.03. Creation of a Direct Financial Obligation or an Obligation under an Off-Balance Sheet Arrangement of a Registrant.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incorporated by reference into this Item 2.03.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3"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Description of Document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vMerge w:val="restart"/>
          </w:tcPr>
          <w:p>
            <w:pPr>
              <w:spacing w:after="0" w:line="21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94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Amended and Restated Syndicated Facility Agreement, dated as of April 23, 2026, by and among Civeo Corporation,</w:t>
            </w:r>
          </w:p>
        </w:tc>
        <w:tc>
          <w:tcPr>
            <w:tcW w:w="0" w:type="dxa"/>
            <w:vAlign w:val="bottom"/>
          </w:tcPr>
          <w:p>
            <w:pPr>
              <w:spacing w:after="0"/>
              <w:rPr>
                <w:sz w:val="1"/>
                <w:szCs w:val="1"/>
                <w:color w:val="auto"/>
              </w:rPr>
            </w:pPr>
          </w:p>
        </w:tc>
      </w:tr>
      <w:tr>
        <w:trPr>
          <w:trHeight w:val="223"/>
        </w:trPr>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spacing w:after="0"/>
              <w:rPr>
                <w:sz w:val="19"/>
                <w:szCs w:val="19"/>
                <w:color w:val="auto"/>
              </w:rPr>
            </w:pPr>
          </w:p>
        </w:tc>
        <w:tc>
          <w:tcPr>
            <w:tcW w:w="948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Civeo Pty Limited, Civeo Management LLC and Civeo USA LLC, as Borrowers, the Lenders named therein, Royal Bank</w:t>
            </w:r>
          </w:p>
        </w:tc>
        <w:tc>
          <w:tcPr>
            <w:tcW w:w="20" w:type="dxa"/>
            <w:vAlign w:val="bottom"/>
            <w:tcBorders>
              <w:bottom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8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of Canada, as Administrative Agent, U.S. Collateral Agent, Canadian Administrative Agent, Canadian Collateral Agent</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and an Issuing Bank, RBC Europe Limited, as Australian Administrative Agent and Australian Collateral Agent, and the</w:t>
            </w:r>
          </w:p>
        </w:tc>
        <w:tc>
          <w:tcPr>
            <w:tcW w:w="20" w:type="dxa"/>
            <w:vAlign w:val="bottom"/>
            <w:tcBorders>
              <w:bottom w:val="single" w:sz="8" w:color="0000FF"/>
            </w:tcBorders>
          </w:tcPr>
          <w:p>
            <w:pPr>
              <w:spacing w:after="0"/>
              <w:rPr>
                <w:sz w:val="15"/>
                <w:szCs w:val="15"/>
                <w:color w:val="auto"/>
              </w:rPr>
            </w:pPr>
          </w:p>
        </w:tc>
        <w:tc>
          <w:tcPr>
            <w:tcW w:w="6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tcBorders>
              <w:bottom w:val="single" w:sz="8" w:color="0000FF"/>
            </w:tcBorders>
          </w:tcPr>
          <w:p>
            <w:pPr>
              <w:spacing w:after="0" w:line="136" w:lineRule="exact"/>
              <w:rPr>
                <w:sz w:val="20"/>
                <w:szCs w:val="20"/>
                <w:color w:val="auto"/>
              </w:rPr>
            </w:pPr>
            <w:r>
              <w:rPr>
                <w:rFonts w:ascii="Times New Roman" w:cs="Times New Roman" w:eastAsia="Times New Roman" w:hAnsi="Times New Roman"/>
                <w:sz w:val="15"/>
                <w:szCs w:val="15"/>
                <w:color w:val="0000FF"/>
              </w:rPr>
              <w:t>other parties thereto.</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9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384"/>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-1911350</wp:posOffset>
            </wp:positionV>
            <wp:extent cx="34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28, 2026</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SYNDICATED FACILITY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April 23,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CIVEO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CIVEO PTY LIMITED,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CIVEO MANAGEMENT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CIVEO USA LLC,</w:t>
      </w:r>
    </w:p>
    <w:p>
      <w:pPr>
        <w:spacing w:after="0" w:line="2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as Borrowers</w:t>
      </w:r>
    </w:p>
    <w:p>
      <w:pPr>
        <w:spacing w:after="0" w:line="22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THE LENDERS NAMED HEREIN,</w:t>
      </w:r>
    </w:p>
    <w:p>
      <w:pPr>
        <w:spacing w:after="0" w:line="2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ROYAL BANK OF CANADA,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Administrative Agent, U.S. Collateral Agent,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Canadian Administrative Agent, Canadian Collateral Agent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an Issuing Bank,</w:t>
      </w:r>
    </w:p>
    <w:p>
      <w:pPr>
        <w:spacing w:after="0" w:line="20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RBC EUROPE LIMITED,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Australian Administrative Agent and Australian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269875</wp:posOffset>
            </wp:positionV>
            <wp:extent cx="960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RBC CAPITAL MARKETS,</w:t>
      </w:r>
      <w:r>
        <w:rPr>
          <w:rFonts w:ascii="Times New Roman" w:cs="Times New Roman" w:eastAsia="Times New Roman" w:hAnsi="Times New Roman"/>
          <w:sz w:val="28"/>
          <w:szCs w:val="28"/>
          <w:color w:val="auto"/>
          <w:vertAlign w:val="superscript"/>
        </w:rPr>
        <w:t>1</w:t>
      </w:r>
    </w:p>
    <w:p>
      <w:pPr>
        <w:jc w:val="center"/>
        <w:spacing w:after="0"/>
        <w:rPr>
          <w:sz w:val="20"/>
          <w:szCs w:val="20"/>
          <w:color w:val="auto"/>
        </w:rPr>
      </w:pPr>
      <w:r>
        <w:rPr>
          <w:rFonts w:ascii="Times New Roman" w:cs="Times New Roman" w:eastAsia="Times New Roman" w:hAnsi="Times New Roman"/>
          <w:sz w:val="22"/>
          <w:szCs w:val="22"/>
          <w:color w:val="auto"/>
        </w:rPr>
        <w:t>as Joint Lead Arranger and Bookrunner</w:t>
      </w:r>
    </w:p>
    <w:p>
      <w:pPr>
        <w:spacing w:after="0" w:line="2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TORONTO-DOMINION BANK, BANK OF MONTREAL AND NATIONAL BANK OF CANADA,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Lead Arrangers, Syndication Agents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6" w:lineRule="exact"/>
        <w:rPr>
          <w:sz w:val="20"/>
          <w:szCs w:val="20"/>
          <w:color w:val="auto"/>
        </w:rPr>
      </w:pPr>
    </w:p>
    <w:p>
      <w:pPr>
        <w:ind w:left="300" w:hanging="292"/>
        <w:spacing w:after="0"/>
        <w:tabs>
          <w:tab w:leader="none" w:pos="300" w:val="left"/>
        </w:tabs>
        <w:numPr>
          <w:ilvl w:val="0"/>
          <w:numId w:val="4"/>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RBC Capital Markets is the global brand name of the corporate and investment banking business of Royal Bank of Canada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18" w:right="339" w:bottom="1440" w:gutter="0" w:footer="0" w:header="0"/>
        </w:sectPr>
      </w:pPr>
    </w:p>
    <w:bookmarkStart w:id="6" w:name="page7"/>
    <w:bookmarkEnd w:id="6"/>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960" w:type="dxa"/>
            <w:vAlign w:val="bottom"/>
          </w:tcPr>
          <w:p>
            <w:pPr>
              <w:spacing w:after="0"/>
              <w:rPr>
                <w:sz w:val="21"/>
                <w:szCs w:val="21"/>
                <w:color w:val="auto"/>
              </w:rPr>
            </w:pPr>
          </w:p>
        </w:tc>
        <w:tc>
          <w:tcPr>
            <w:tcW w:w="6980" w:type="dxa"/>
            <w:vAlign w:val="bottom"/>
          </w:tcPr>
          <w:p>
            <w:pPr>
              <w:ind w:left="188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gridSpan w:val="4"/>
            <w:vMerge w:val="restart"/>
          </w:tcPr>
          <w:p>
            <w:pPr>
              <w:jc w:val="right"/>
              <w:ind w:right="5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960" w:type="dxa"/>
            <w:vAlign w:val="bottom"/>
          </w:tcPr>
          <w:p>
            <w:pPr>
              <w:spacing w:after="0" w:line="195" w:lineRule="exact"/>
              <w:rPr>
                <w:sz w:val="20"/>
                <w:szCs w:val="20"/>
                <w:color w:val="auto"/>
              </w:rPr>
            </w:pPr>
            <w:r>
              <w:rPr>
                <w:rFonts w:ascii="Arial" w:cs="Arial" w:eastAsia="Arial" w:hAnsi="Arial"/>
                <w:sz w:val="18"/>
                <w:szCs w:val="18"/>
                <w:color w:val="auto"/>
              </w:rPr>
              <w:t>SECTION 1.01</w:t>
            </w:r>
          </w:p>
        </w:tc>
        <w:tc>
          <w:tcPr>
            <w:tcW w:w="6980" w:type="dxa"/>
            <w:vAlign w:val="bottom"/>
          </w:tcPr>
          <w:p>
            <w:pPr>
              <w:ind w:left="780"/>
              <w:spacing w:after="0" w:line="195" w:lineRule="exact"/>
              <w:rPr>
                <w:sz w:val="20"/>
                <w:szCs w:val="20"/>
                <w:color w:val="auto"/>
              </w:rPr>
            </w:pPr>
            <w:r>
              <w:rPr>
                <w:rFonts w:ascii="Arial" w:cs="Arial" w:eastAsia="Arial" w:hAnsi="Arial"/>
                <w:sz w:val="18"/>
                <w:szCs w:val="18"/>
                <w:color w:val="auto"/>
              </w:rPr>
              <w:t>Defined Terms</w:t>
            </w:r>
          </w:p>
        </w:tc>
        <w:tc>
          <w:tcPr>
            <w:tcW w:w="112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1.02</w:t>
            </w:r>
          </w:p>
        </w:tc>
        <w:tc>
          <w:tcPr>
            <w:tcW w:w="6980" w:type="dxa"/>
            <w:vAlign w:val="bottom"/>
          </w:tcPr>
          <w:p>
            <w:pPr>
              <w:ind w:left="780"/>
              <w:spacing w:after="0"/>
              <w:rPr>
                <w:sz w:val="20"/>
                <w:szCs w:val="20"/>
                <w:color w:val="auto"/>
              </w:rPr>
            </w:pPr>
            <w:r>
              <w:rPr>
                <w:rFonts w:ascii="Arial" w:cs="Arial" w:eastAsia="Arial" w:hAnsi="Arial"/>
                <w:sz w:val="18"/>
                <w:szCs w:val="18"/>
                <w:color w:val="auto"/>
              </w:rPr>
              <w:t>Terms Generally</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48</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1.03</w:t>
            </w:r>
          </w:p>
        </w:tc>
        <w:tc>
          <w:tcPr>
            <w:tcW w:w="6980" w:type="dxa"/>
            <w:vAlign w:val="bottom"/>
          </w:tcPr>
          <w:p>
            <w:pPr>
              <w:ind w:left="780"/>
              <w:spacing w:after="0"/>
              <w:rPr>
                <w:sz w:val="20"/>
                <w:szCs w:val="20"/>
                <w:color w:val="auto"/>
              </w:rPr>
            </w:pPr>
            <w:r>
              <w:rPr>
                <w:rFonts w:ascii="Arial" w:cs="Arial" w:eastAsia="Arial" w:hAnsi="Arial"/>
                <w:sz w:val="18"/>
                <w:szCs w:val="18"/>
                <w:color w:val="auto"/>
              </w:rPr>
              <w:t>Several Obligations; Power of Attorney</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1.04</w:t>
            </w:r>
          </w:p>
        </w:tc>
        <w:tc>
          <w:tcPr>
            <w:tcW w:w="6980" w:type="dxa"/>
            <w:vAlign w:val="bottom"/>
          </w:tcPr>
          <w:p>
            <w:pPr>
              <w:ind w:left="780"/>
              <w:spacing w:after="0"/>
              <w:rPr>
                <w:sz w:val="20"/>
                <w:szCs w:val="20"/>
                <w:color w:val="auto"/>
              </w:rPr>
            </w:pPr>
            <w:r>
              <w:rPr>
                <w:rFonts w:ascii="Arial" w:cs="Arial" w:eastAsia="Arial" w:hAnsi="Arial"/>
                <w:sz w:val="18"/>
                <w:szCs w:val="18"/>
                <w:color w:val="auto"/>
              </w:rPr>
              <w:t>Classification of Loans and Borrowings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1.05</w:t>
            </w:r>
          </w:p>
        </w:tc>
        <w:tc>
          <w:tcPr>
            <w:tcW w:w="6980" w:type="dxa"/>
            <w:vAlign w:val="bottom"/>
          </w:tcPr>
          <w:p>
            <w:pPr>
              <w:ind w:left="780"/>
              <w:spacing w:after="0"/>
              <w:rPr>
                <w:sz w:val="20"/>
                <w:szCs w:val="20"/>
                <w:color w:val="auto"/>
              </w:rPr>
            </w:pPr>
            <w:r>
              <w:rPr>
                <w:rFonts w:ascii="Arial" w:cs="Arial" w:eastAsia="Arial" w:hAnsi="Arial"/>
                <w:sz w:val="18"/>
                <w:szCs w:val="18"/>
                <w:color w:val="auto"/>
              </w:rPr>
              <w:t>Additional Alternative Currencies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1.06</w:t>
            </w:r>
          </w:p>
        </w:tc>
        <w:tc>
          <w:tcPr>
            <w:tcW w:w="6980" w:type="dxa"/>
            <w:vAlign w:val="bottom"/>
          </w:tcPr>
          <w:p>
            <w:pPr>
              <w:ind w:left="780"/>
              <w:spacing w:after="0"/>
              <w:rPr>
                <w:sz w:val="20"/>
                <w:szCs w:val="20"/>
                <w:color w:val="auto"/>
              </w:rPr>
            </w:pPr>
            <w:r>
              <w:rPr>
                <w:rFonts w:ascii="Arial" w:cs="Arial" w:eastAsia="Arial" w:hAnsi="Arial"/>
                <w:sz w:val="18"/>
                <w:szCs w:val="18"/>
                <w:color w:val="auto"/>
              </w:rPr>
              <w:t>[Reserved]</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1.07</w:t>
            </w:r>
          </w:p>
        </w:tc>
        <w:tc>
          <w:tcPr>
            <w:tcW w:w="6980" w:type="dxa"/>
            <w:vAlign w:val="bottom"/>
          </w:tcPr>
          <w:p>
            <w:pPr>
              <w:ind w:left="780"/>
              <w:spacing w:after="0"/>
              <w:rPr>
                <w:sz w:val="20"/>
                <w:szCs w:val="20"/>
                <w:color w:val="auto"/>
              </w:rPr>
            </w:pPr>
            <w:r>
              <w:rPr>
                <w:rFonts w:ascii="Arial" w:cs="Arial" w:eastAsia="Arial" w:hAnsi="Arial"/>
                <w:sz w:val="18"/>
                <w:szCs w:val="18"/>
                <w:color w:val="auto"/>
              </w:rPr>
              <w:t>Interest Rates; Benchmark Notification</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ARTICLE II THE CREDITS</w:t>
            </w:r>
          </w:p>
        </w:tc>
        <w:tc>
          <w:tcPr>
            <w:tcW w:w="69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2.01</w:t>
            </w:r>
          </w:p>
        </w:tc>
        <w:tc>
          <w:tcPr>
            <w:tcW w:w="6980" w:type="dxa"/>
            <w:vAlign w:val="bottom"/>
          </w:tcPr>
          <w:p>
            <w:pPr>
              <w:ind w:left="780"/>
              <w:spacing w:after="0"/>
              <w:rPr>
                <w:sz w:val="20"/>
                <w:szCs w:val="20"/>
                <w:color w:val="auto"/>
              </w:rPr>
            </w:pPr>
            <w:r>
              <w:rPr>
                <w:rFonts w:ascii="Arial" w:cs="Arial" w:eastAsia="Arial" w:hAnsi="Arial"/>
                <w:sz w:val="18"/>
                <w:szCs w:val="18"/>
                <w:color w:val="auto"/>
              </w:rPr>
              <w:t>Commitments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2.02</w:t>
            </w:r>
          </w:p>
        </w:tc>
        <w:tc>
          <w:tcPr>
            <w:tcW w:w="6980" w:type="dxa"/>
            <w:vAlign w:val="bottom"/>
          </w:tcPr>
          <w:p>
            <w:pPr>
              <w:ind w:left="780"/>
              <w:spacing w:after="0"/>
              <w:rPr>
                <w:sz w:val="20"/>
                <w:szCs w:val="20"/>
                <w:color w:val="auto"/>
              </w:rPr>
            </w:pPr>
            <w:r>
              <w:rPr>
                <w:rFonts w:ascii="Arial" w:cs="Arial" w:eastAsia="Arial" w:hAnsi="Arial"/>
                <w:sz w:val="18"/>
                <w:szCs w:val="18"/>
                <w:color w:val="auto"/>
              </w:rPr>
              <w:t>Loans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2.03</w:t>
            </w:r>
          </w:p>
        </w:tc>
        <w:tc>
          <w:tcPr>
            <w:tcW w:w="6980" w:type="dxa"/>
            <w:vAlign w:val="bottom"/>
          </w:tcPr>
          <w:p>
            <w:pPr>
              <w:ind w:left="780"/>
              <w:spacing w:after="0"/>
              <w:rPr>
                <w:sz w:val="20"/>
                <w:szCs w:val="20"/>
                <w:color w:val="auto"/>
              </w:rPr>
            </w:pPr>
            <w:r>
              <w:rPr>
                <w:rFonts w:ascii="Arial" w:cs="Arial" w:eastAsia="Arial" w:hAnsi="Arial"/>
                <w:sz w:val="18"/>
                <w:szCs w:val="18"/>
                <w:color w:val="auto"/>
              </w:rPr>
              <w:t>Borrowing Procedure</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55</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2.04</w:t>
            </w:r>
          </w:p>
        </w:tc>
        <w:tc>
          <w:tcPr>
            <w:tcW w:w="6980" w:type="dxa"/>
            <w:vAlign w:val="bottom"/>
          </w:tcPr>
          <w:p>
            <w:pPr>
              <w:ind w:left="780"/>
              <w:spacing w:after="0"/>
              <w:rPr>
                <w:sz w:val="20"/>
                <w:szCs w:val="20"/>
                <w:color w:val="auto"/>
              </w:rPr>
            </w:pPr>
            <w:r>
              <w:rPr>
                <w:rFonts w:ascii="Arial" w:cs="Arial" w:eastAsia="Arial" w:hAnsi="Arial"/>
                <w:sz w:val="18"/>
                <w:szCs w:val="18"/>
                <w:color w:val="auto"/>
              </w:rPr>
              <w:t>Evidence of Debt; Repayment of Loans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56</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2.05</w:t>
            </w:r>
          </w:p>
        </w:tc>
        <w:tc>
          <w:tcPr>
            <w:tcW w:w="6980" w:type="dxa"/>
            <w:vAlign w:val="bottom"/>
          </w:tcPr>
          <w:p>
            <w:pPr>
              <w:ind w:left="780"/>
              <w:spacing w:after="0"/>
              <w:rPr>
                <w:sz w:val="20"/>
                <w:szCs w:val="20"/>
                <w:color w:val="auto"/>
              </w:rPr>
            </w:pPr>
            <w:r>
              <w:rPr>
                <w:rFonts w:ascii="Arial" w:cs="Arial" w:eastAsia="Arial" w:hAnsi="Arial"/>
                <w:sz w:val="18"/>
                <w:szCs w:val="18"/>
                <w:color w:val="auto"/>
              </w:rPr>
              <w:t>Fees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57</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2.06</w:t>
            </w:r>
          </w:p>
        </w:tc>
        <w:tc>
          <w:tcPr>
            <w:tcW w:w="6980" w:type="dxa"/>
            <w:vAlign w:val="bottom"/>
          </w:tcPr>
          <w:p>
            <w:pPr>
              <w:ind w:left="780"/>
              <w:spacing w:after="0"/>
              <w:rPr>
                <w:sz w:val="20"/>
                <w:szCs w:val="20"/>
                <w:color w:val="auto"/>
              </w:rPr>
            </w:pPr>
            <w:r>
              <w:rPr>
                <w:rFonts w:ascii="Arial" w:cs="Arial" w:eastAsia="Arial" w:hAnsi="Arial"/>
                <w:sz w:val="18"/>
                <w:szCs w:val="18"/>
                <w:color w:val="auto"/>
              </w:rPr>
              <w:t>Interest on Loans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59</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2.07</w:t>
            </w:r>
          </w:p>
        </w:tc>
        <w:tc>
          <w:tcPr>
            <w:tcW w:w="6980" w:type="dxa"/>
            <w:vAlign w:val="bottom"/>
          </w:tcPr>
          <w:p>
            <w:pPr>
              <w:ind w:left="780"/>
              <w:spacing w:after="0"/>
              <w:rPr>
                <w:sz w:val="20"/>
                <w:szCs w:val="20"/>
                <w:color w:val="auto"/>
              </w:rPr>
            </w:pPr>
            <w:r>
              <w:rPr>
                <w:rFonts w:ascii="Arial" w:cs="Arial" w:eastAsia="Arial" w:hAnsi="Arial"/>
                <w:sz w:val="18"/>
                <w:szCs w:val="18"/>
                <w:color w:val="auto"/>
              </w:rPr>
              <w:t>Default Interest</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61</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2.08</w:t>
            </w:r>
          </w:p>
        </w:tc>
        <w:tc>
          <w:tcPr>
            <w:tcW w:w="6980" w:type="dxa"/>
            <w:vAlign w:val="bottom"/>
          </w:tcPr>
          <w:p>
            <w:pPr>
              <w:ind w:left="780"/>
              <w:spacing w:after="0"/>
              <w:rPr>
                <w:sz w:val="20"/>
                <w:szCs w:val="20"/>
                <w:color w:val="auto"/>
              </w:rPr>
            </w:pPr>
            <w:r>
              <w:rPr>
                <w:rFonts w:ascii="Arial" w:cs="Arial" w:eastAsia="Arial" w:hAnsi="Arial"/>
                <w:sz w:val="18"/>
                <w:szCs w:val="18"/>
                <w:color w:val="auto"/>
              </w:rPr>
              <w:t>Alternate Rate of Interest</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61</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2.09</w:t>
            </w:r>
          </w:p>
        </w:tc>
        <w:tc>
          <w:tcPr>
            <w:tcW w:w="6980" w:type="dxa"/>
            <w:vAlign w:val="bottom"/>
          </w:tcPr>
          <w:p>
            <w:pPr>
              <w:ind w:left="780"/>
              <w:spacing w:after="0"/>
              <w:rPr>
                <w:sz w:val="20"/>
                <w:szCs w:val="20"/>
                <w:color w:val="auto"/>
              </w:rPr>
            </w:pPr>
            <w:r>
              <w:rPr>
                <w:rFonts w:ascii="Arial" w:cs="Arial" w:eastAsia="Arial" w:hAnsi="Arial"/>
                <w:sz w:val="18"/>
                <w:szCs w:val="18"/>
                <w:color w:val="auto"/>
              </w:rPr>
              <w:t>Termination and Reduction of Commitments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63</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2.10</w:t>
            </w:r>
          </w:p>
        </w:tc>
        <w:tc>
          <w:tcPr>
            <w:tcW w:w="6980" w:type="dxa"/>
            <w:vAlign w:val="bottom"/>
          </w:tcPr>
          <w:p>
            <w:pPr>
              <w:ind w:left="780"/>
              <w:spacing w:after="0"/>
              <w:rPr>
                <w:sz w:val="20"/>
                <w:szCs w:val="20"/>
                <w:color w:val="auto"/>
              </w:rPr>
            </w:pPr>
            <w:r>
              <w:rPr>
                <w:rFonts w:ascii="Arial" w:cs="Arial" w:eastAsia="Arial" w:hAnsi="Arial"/>
                <w:sz w:val="18"/>
                <w:szCs w:val="18"/>
                <w:color w:val="auto"/>
              </w:rPr>
              <w:t>Conversion and Continuation of Borrowings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63</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2.11</w:t>
            </w:r>
          </w:p>
        </w:tc>
        <w:tc>
          <w:tcPr>
            <w:tcW w:w="6980" w:type="dxa"/>
            <w:vAlign w:val="bottom"/>
          </w:tcPr>
          <w:p>
            <w:pPr>
              <w:ind w:left="780"/>
              <w:spacing w:after="0"/>
              <w:rPr>
                <w:sz w:val="20"/>
                <w:szCs w:val="20"/>
                <w:color w:val="auto"/>
              </w:rPr>
            </w:pPr>
            <w:r>
              <w:rPr>
                <w:rFonts w:ascii="Arial" w:cs="Arial" w:eastAsia="Arial" w:hAnsi="Arial"/>
                <w:sz w:val="18"/>
                <w:szCs w:val="18"/>
                <w:color w:val="auto"/>
              </w:rPr>
              <w:t>Optional Prepayment</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2.12</w:t>
            </w:r>
          </w:p>
        </w:tc>
        <w:tc>
          <w:tcPr>
            <w:tcW w:w="6980" w:type="dxa"/>
            <w:vAlign w:val="bottom"/>
          </w:tcPr>
          <w:p>
            <w:pPr>
              <w:ind w:left="780"/>
              <w:spacing w:after="0"/>
              <w:rPr>
                <w:sz w:val="20"/>
                <w:szCs w:val="20"/>
                <w:color w:val="auto"/>
              </w:rPr>
            </w:pPr>
            <w:r>
              <w:rPr>
                <w:rFonts w:ascii="Arial" w:cs="Arial" w:eastAsia="Arial" w:hAnsi="Arial"/>
                <w:sz w:val="18"/>
                <w:szCs w:val="18"/>
                <w:color w:val="auto"/>
              </w:rPr>
              <w:t>Mandatory Prepayments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2.13</w:t>
            </w:r>
          </w:p>
        </w:tc>
        <w:tc>
          <w:tcPr>
            <w:tcW w:w="6980" w:type="dxa"/>
            <w:vAlign w:val="bottom"/>
          </w:tcPr>
          <w:p>
            <w:pPr>
              <w:ind w:left="780"/>
              <w:spacing w:after="0"/>
              <w:rPr>
                <w:sz w:val="20"/>
                <w:szCs w:val="20"/>
                <w:color w:val="auto"/>
              </w:rPr>
            </w:pPr>
            <w:r>
              <w:rPr>
                <w:rFonts w:ascii="Arial" w:cs="Arial" w:eastAsia="Arial" w:hAnsi="Arial"/>
                <w:sz w:val="18"/>
                <w:szCs w:val="18"/>
                <w:color w:val="auto"/>
              </w:rPr>
              <w:t>Increased Costs; Capital Requirements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2.14</w:t>
            </w:r>
          </w:p>
        </w:tc>
        <w:tc>
          <w:tcPr>
            <w:tcW w:w="6980" w:type="dxa"/>
            <w:vAlign w:val="bottom"/>
          </w:tcPr>
          <w:p>
            <w:pPr>
              <w:ind w:left="780"/>
              <w:spacing w:after="0"/>
              <w:rPr>
                <w:sz w:val="20"/>
                <w:szCs w:val="20"/>
                <w:color w:val="auto"/>
              </w:rPr>
            </w:pPr>
            <w:r>
              <w:rPr>
                <w:rFonts w:ascii="Arial" w:cs="Arial" w:eastAsia="Arial" w:hAnsi="Arial"/>
                <w:sz w:val="18"/>
                <w:szCs w:val="18"/>
                <w:color w:val="auto"/>
              </w:rPr>
              <w:t>Change in Legality</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68</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2.15</w:t>
            </w:r>
          </w:p>
        </w:tc>
        <w:tc>
          <w:tcPr>
            <w:tcW w:w="6980" w:type="dxa"/>
            <w:vAlign w:val="bottom"/>
          </w:tcPr>
          <w:p>
            <w:pPr>
              <w:ind w:left="780"/>
              <w:spacing w:after="0"/>
              <w:rPr>
                <w:sz w:val="20"/>
                <w:szCs w:val="20"/>
                <w:color w:val="auto"/>
              </w:rPr>
            </w:pPr>
            <w:r>
              <w:rPr>
                <w:rFonts w:ascii="Arial" w:cs="Arial" w:eastAsia="Arial" w:hAnsi="Arial"/>
                <w:sz w:val="18"/>
                <w:szCs w:val="18"/>
                <w:color w:val="auto"/>
              </w:rPr>
              <w:t>Breakage Costs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69</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2.16</w:t>
            </w:r>
          </w:p>
        </w:tc>
        <w:tc>
          <w:tcPr>
            <w:tcW w:w="6980" w:type="dxa"/>
            <w:vAlign w:val="bottom"/>
          </w:tcPr>
          <w:p>
            <w:pPr>
              <w:ind w:left="780"/>
              <w:spacing w:after="0"/>
              <w:rPr>
                <w:sz w:val="20"/>
                <w:szCs w:val="20"/>
                <w:color w:val="auto"/>
              </w:rPr>
            </w:pPr>
            <w:r>
              <w:rPr>
                <w:rFonts w:ascii="Arial" w:cs="Arial" w:eastAsia="Arial" w:hAnsi="Arial"/>
                <w:sz w:val="18"/>
                <w:szCs w:val="18"/>
                <w:color w:val="auto"/>
              </w:rPr>
              <w:t>Pro Rata Treatment</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69</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2.17</w:t>
            </w:r>
          </w:p>
        </w:tc>
        <w:tc>
          <w:tcPr>
            <w:tcW w:w="6980" w:type="dxa"/>
            <w:vAlign w:val="bottom"/>
          </w:tcPr>
          <w:p>
            <w:pPr>
              <w:ind w:left="780"/>
              <w:spacing w:after="0"/>
              <w:rPr>
                <w:sz w:val="20"/>
                <w:szCs w:val="20"/>
                <w:color w:val="auto"/>
              </w:rPr>
            </w:pPr>
            <w:r>
              <w:rPr>
                <w:rFonts w:ascii="Arial" w:cs="Arial" w:eastAsia="Arial" w:hAnsi="Arial"/>
                <w:sz w:val="18"/>
                <w:szCs w:val="18"/>
                <w:color w:val="auto"/>
              </w:rPr>
              <w:t>Sharing of Setoffs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2.18</w:t>
            </w:r>
          </w:p>
        </w:tc>
        <w:tc>
          <w:tcPr>
            <w:tcW w:w="6980" w:type="dxa"/>
            <w:vAlign w:val="bottom"/>
          </w:tcPr>
          <w:p>
            <w:pPr>
              <w:ind w:left="780"/>
              <w:spacing w:after="0"/>
              <w:rPr>
                <w:sz w:val="20"/>
                <w:szCs w:val="20"/>
                <w:color w:val="auto"/>
              </w:rPr>
            </w:pPr>
            <w:r>
              <w:rPr>
                <w:rFonts w:ascii="Arial" w:cs="Arial" w:eastAsia="Arial" w:hAnsi="Arial"/>
                <w:sz w:val="18"/>
                <w:szCs w:val="18"/>
                <w:color w:val="auto"/>
              </w:rPr>
              <w:t>Payments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73</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2.19</w:t>
            </w:r>
          </w:p>
        </w:tc>
        <w:tc>
          <w:tcPr>
            <w:tcW w:w="6980" w:type="dxa"/>
            <w:vAlign w:val="bottom"/>
          </w:tcPr>
          <w:p>
            <w:pPr>
              <w:ind w:left="780"/>
              <w:spacing w:after="0"/>
              <w:rPr>
                <w:sz w:val="20"/>
                <w:szCs w:val="20"/>
                <w:color w:val="auto"/>
              </w:rPr>
            </w:pPr>
            <w:r>
              <w:rPr>
                <w:rFonts w:ascii="Arial" w:cs="Arial" w:eastAsia="Arial" w:hAnsi="Arial"/>
                <w:sz w:val="18"/>
                <w:szCs w:val="18"/>
                <w:color w:val="auto"/>
              </w:rPr>
              <w:t>Taxes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73</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2.20</w:t>
            </w:r>
          </w:p>
        </w:tc>
        <w:tc>
          <w:tcPr>
            <w:tcW w:w="6980" w:type="dxa"/>
            <w:vAlign w:val="bottom"/>
          </w:tcPr>
          <w:p>
            <w:pPr>
              <w:ind w:left="780"/>
              <w:spacing w:after="0"/>
              <w:rPr>
                <w:sz w:val="20"/>
                <w:szCs w:val="20"/>
                <w:color w:val="auto"/>
              </w:rPr>
            </w:pPr>
            <w:r>
              <w:rPr>
                <w:rFonts w:ascii="Arial" w:cs="Arial" w:eastAsia="Arial" w:hAnsi="Arial"/>
                <w:sz w:val="18"/>
                <w:szCs w:val="18"/>
                <w:color w:val="auto"/>
              </w:rPr>
              <w:t>Assignment of Commitments Under Certain Circumstances; Duty to Mitigate</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78</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2.21</w:t>
            </w:r>
          </w:p>
        </w:tc>
        <w:tc>
          <w:tcPr>
            <w:tcW w:w="6980" w:type="dxa"/>
            <w:vAlign w:val="bottom"/>
          </w:tcPr>
          <w:p>
            <w:pPr>
              <w:ind w:left="780"/>
              <w:spacing w:after="0"/>
              <w:rPr>
                <w:sz w:val="20"/>
                <w:szCs w:val="20"/>
                <w:color w:val="auto"/>
              </w:rPr>
            </w:pPr>
            <w:r>
              <w:rPr>
                <w:rFonts w:ascii="Arial" w:cs="Arial" w:eastAsia="Arial" w:hAnsi="Arial"/>
                <w:sz w:val="18"/>
                <w:szCs w:val="18"/>
                <w:color w:val="auto"/>
              </w:rPr>
              <w:t>Letters of Credit</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79</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2.22</w:t>
            </w:r>
          </w:p>
        </w:tc>
        <w:tc>
          <w:tcPr>
            <w:tcW w:w="6980" w:type="dxa"/>
            <w:vAlign w:val="bottom"/>
          </w:tcPr>
          <w:p>
            <w:pPr>
              <w:ind w:left="780"/>
              <w:spacing w:after="0"/>
              <w:rPr>
                <w:sz w:val="20"/>
                <w:szCs w:val="20"/>
                <w:color w:val="auto"/>
              </w:rPr>
            </w:pPr>
            <w:r>
              <w:rPr>
                <w:rFonts w:ascii="Arial" w:cs="Arial" w:eastAsia="Arial" w:hAnsi="Arial"/>
                <w:sz w:val="18"/>
                <w:szCs w:val="18"/>
                <w:color w:val="auto"/>
              </w:rPr>
              <w:t>[Reserved]</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2.23</w:t>
            </w:r>
          </w:p>
        </w:tc>
        <w:tc>
          <w:tcPr>
            <w:tcW w:w="6980" w:type="dxa"/>
            <w:vAlign w:val="bottom"/>
          </w:tcPr>
          <w:p>
            <w:pPr>
              <w:ind w:left="780"/>
              <w:spacing w:after="0"/>
              <w:rPr>
                <w:sz w:val="20"/>
                <w:szCs w:val="20"/>
                <w:color w:val="auto"/>
              </w:rPr>
            </w:pPr>
            <w:r>
              <w:rPr>
                <w:rFonts w:ascii="Arial" w:cs="Arial" w:eastAsia="Arial" w:hAnsi="Arial"/>
                <w:sz w:val="18"/>
                <w:szCs w:val="18"/>
                <w:color w:val="auto"/>
              </w:rPr>
              <w:t>Swing Line Loans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86</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2.24</w:t>
            </w:r>
          </w:p>
        </w:tc>
        <w:tc>
          <w:tcPr>
            <w:tcW w:w="6980" w:type="dxa"/>
            <w:vAlign w:val="bottom"/>
          </w:tcPr>
          <w:p>
            <w:pPr>
              <w:ind w:left="780"/>
              <w:spacing w:after="0"/>
              <w:rPr>
                <w:sz w:val="20"/>
                <w:szCs w:val="20"/>
                <w:color w:val="auto"/>
              </w:rPr>
            </w:pPr>
            <w:r>
              <w:rPr>
                <w:rFonts w:ascii="Arial" w:cs="Arial" w:eastAsia="Arial" w:hAnsi="Arial"/>
                <w:sz w:val="18"/>
                <w:szCs w:val="18"/>
                <w:color w:val="auto"/>
              </w:rPr>
              <w:t>Defaulting Lenders</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90</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2.25</w:t>
            </w:r>
          </w:p>
        </w:tc>
        <w:tc>
          <w:tcPr>
            <w:tcW w:w="6980" w:type="dxa"/>
            <w:vAlign w:val="bottom"/>
          </w:tcPr>
          <w:p>
            <w:pPr>
              <w:ind w:left="780"/>
              <w:spacing w:after="0"/>
              <w:rPr>
                <w:sz w:val="20"/>
                <w:szCs w:val="20"/>
                <w:color w:val="auto"/>
              </w:rPr>
            </w:pPr>
            <w:r>
              <w:rPr>
                <w:rFonts w:ascii="Arial" w:cs="Arial" w:eastAsia="Arial" w:hAnsi="Arial"/>
                <w:sz w:val="18"/>
                <w:szCs w:val="18"/>
                <w:color w:val="auto"/>
              </w:rPr>
              <w:t>Incremental Revolving Credit Increase</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93</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rPr>
              <w:t>SECTION 2.26</w:t>
            </w:r>
          </w:p>
        </w:tc>
        <w:tc>
          <w:tcPr>
            <w:tcW w:w="6980" w:type="dxa"/>
            <w:vAlign w:val="bottom"/>
          </w:tcPr>
          <w:p>
            <w:pPr>
              <w:ind w:left="780"/>
              <w:spacing w:after="0"/>
              <w:rPr>
                <w:sz w:val="20"/>
                <w:szCs w:val="20"/>
                <w:color w:val="auto"/>
              </w:rPr>
            </w:pPr>
            <w:r>
              <w:rPr>
                <w:rFonts w:ascii="Arial" w:cs="Arial" w:eastAsia="Arial" w:hAnsi="Arial"/>
                <w:sz w:val="18"/>
                <w:szCs w:val="18"/>
                <w:color w:val="auto"/>
              </w:rPr>
              <w:t>Benchmark Replacement</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95</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2.27</w:t>
            </w:r>
          </w:p>
        </w:tc>
        <w:tc>
          <w:tcPr>
            <w:tcW w:w="6980" w:type="dxa"/>
            <w:vAlign w:val="bottom"/>
          </w:tcPr>
          <w:p>
            <w:pPr>
              <w:ind w:left="780"/>
              <w:spacing w:after="0"/>
              <w:rPr>
                <w:sz w:val="20"/>
                <w:szCs w:val="20"/>
                <w:color w:val="auto"/>
              </w:rPr>
            </w:pPr>
            <w:r>
              <w:rPr>
                <w:rFonts w:ascii="Arial" w:cs="Arial" w:eastAsia="Arial" w:hAnsi="Arial"/>
                <w:sz w:val="18"/>
                <w:szCs w:val="18"/>
                <w:color w:val="auto"/>
              </w:rPr>
              <w:t>Canadian Benchmark Replacement</w:t>
            </w:r>
          </w:p>
        </w:tc>
        <w:tc>
          <w:tcPr>
            <w:tcW w:w="102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97</w:t>
            </w:r>
          </w:p>
        </w:tc>
        <w:tc>
          <w:tcPr>
            <w:tcW w:w="0" w:type="dxa"/>
            <w:vAlign w:val="bottom"/>
          </w:tcPr>
          <w:p>
            <w:pPr>
              <w:spacing w:after="0"/>
              <w:rPr>
                <w:sz w:val="1"/>
                <w:szCs w:val="1"/>
                <w:color w:val="auto"/>
              </w:rPr>
            </w:pPr>
          </w:p>
        </w:tc>
      </w:tr>
      <w:tr>
        <w:trPr>
          <w:trHeight w:val="210"/>
        </w:trPr>
        <w:tc>
          <w:tcPr>
            <w:tcW w:w="99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92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102</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color w:val="auto"/>
              </w:rPr>
              <w:t>SECTION 3.01</w:t>
            </w:r>
          </w:p>
        </w:tc>
        <w:tc>
          <w:tcPr>
            <w:tcW w:w="6980" w:type="dxa"/>
            <w:vAlign w:val="bottom"/>
          </w:tcPr>
          <w:p>
            <w:pPr>
              <w:ind w:left="780"/>
              <w:spacing w:after="0"/>
              <w:rPr>
                <w:sz w:val="20"/>
                <w:szCs w:val="20"/>
                <w:color w:val="auto"/>
              </w:rPr>
            </w:pPr>
            <w:r>
              <w:rPr>
                <w:rFonts w:ascii="Arial" w:cs="Arial" w:eastAsia="Arial" w:hAnsi="Arial"/>
                <w:sz w:val="18"/>
                <w:szCs w:val="18"/>
                <w:color w:val="auto"/>
              </w:rPr>
              <w:t>Organization; Powers</w:t>
            </w:r>
          </w:p>
        </w:tc>
        <w:tc>
          <w:tcPr>
            <w:tcW w:w="92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00"/>
          </w:cols>
          <w:pgMar w:left="320" w:top="1440" w:right="3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color w:val="auto"/>
              </w:rPr>
              <w:t>SECTION 3.02</w:t>
            </w:r>
          </w:p>
        </w:tc>
        <w:tc>
          <w:tcPr>
            <w:tcW w:w="7320" w:type="dxa"/>
            <w:vAlign w:val="bottom"/>
          </w:tcPr>
          <w:p>
            <w:pPr>
              <w:ind w:left="200"/>
              <w:spacing w:after="0"/>
              <w:rPr>
                <w:sz w:val="20"/>
                <w:szCs w:val="20"/>
                <w:color w:val="auto"/>
              </w:rPr>
            </w:pPr>
            <w:r>
              <w:rPr>
                <w:rFonts w:ascii="Arial" w:cs="Arial" w:eastAsia="Arial" w:hAnsi="Arial"/>
                <w:sz w:val="18"/>
                <w:szCs w:val="18"/>
                <w:color w:val="auto"/>
              </w:rPr>
              <w:t>Authorization</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103</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3.03</w:t>
            </w:r>
          </w:p>
        </w:tc>
        <w:tc>
          <w:tcPr>
            <w:tcW w:w="7320" w:type="dxa"/>
            <w:vAlign w:val="bottom"/>
          </w:tcPr>
          <w:p>
            <w:pPr>
              <w:ind w:left="200"/>
              <w:spacing w:after="0"/>
              <w:rPr>
                <w:sz w:val="20"/>
                <w:szCs w:val="20"/>
                <w:color w:val="auto"/>
              </w:rPr>
            </w:pPr>
            <w:r>
              <w:rPr>
                <w:rFonts w:ascii="Arial" w:cs="Arial" w:eastAsia="Arial" w:hAnsi="Arial"/>
                <w:sz w:val="18"/>
                <w:szCs w:val="18"/>
                <w:color w:val="auto"/>
              </w:rPr>
              <w:t>Enforceability</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103</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3.04</w:t>
            </w:r>
          </w:p>
        </w:tc>
        <w:tc>
          <w:tcPr>
            <w:tcW w:w="7320" w:type="dxa"/>
            <w:vAlign w:val="bottom"/>
          </w:tcPr>
          <w:p>
            <w:pPr>
              <w:ind w:left="200"/>
              <w:spacing w:after="0"/>
              <w:rPr>
                <w:sz w:val="20"/>
                <w:szCs w:val="20"/>
                <w:color w:val="auto"/>
              </w:rPr>
            </w:pPr>
            <w:r>
              <w:rPr>
                <w:rFonts w:ascii="Arial" w:cs="Arial" w:eastAsia="Arial" w:hAnsi="Arial"/>
                <w:sz w:val="18"/>
                <w:szCs w:val="18"/>
                <w:color w:val="auto"/>
              </w:rPr>
              <w:t>Governmental Approvals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103</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3.05</w:t>
            </w:r>
          </w:p>
        </w:tc>
        <w:tc>
          <w:tcPr>
            <w:tcW w:w="732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103</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3.06</w:t>
            </w:r>
          </w:p>
        </w:tc>
        <w:tc>
          <w:tcPr>
            <w:tcW w:w="7320" w:type="dxa"/>
            <w:vAlign w:val="bottom"/>
          </w:tcPr>
          <w:p>
            <w:pPr>
              <w:ind w:left="200"/>
              <w:spacing w:after="0"/>
              <w:rPr>
                <w:sz w:val="20"/>
                <w:szCs w:val="20"/>
                <w:color w:val="auto"/>
              </w:rPr>
            </w:pPr>
            <w:r>
              <w:rPr>
                <w:rFonts w:ascii="Arial" w:cs="Arial" w:eastAsia="Arial" w:hAnsi="Arial"/>
                <w:sz w:val="18"/>
                <w:szCs w:val="18"/>
                <w:color w:val="auto"/>
              </w:rPr>
              <w:t>No Material Adverse Change</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104</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3.07</w:t>
            </w:r>
          </w:p>
        </w:tc>
        <w:tc>
          <w:tcPr>
            <w:tcW w:w="7320" w:type="dxa"/>
            <w:vAlign w:val="bottom"/>
          </w:tcPr>
          <w:p>
            <w:pPr>
              <w:ind w:left="200"/>
              <w:spacing w:after="0"/>
              <w:rPr>
                <w:sz w:val="20"/>
                <w:szCs w:val="20"/>
                <w:color w:val="auto"/>
              </w:rPr>
            </w:pPr>
            <w:r>
              <w:rPr>
                <w:rFonts w:ascii="Arial" w:cs="Arial" w:eastAsia="Arial" w:hAnsi="Arial"/>
                <w:sz w:val="18"/>
                <w:szCs w:val="18"/>
                <w:color w:val="auto"/>
              </w:rPr>
              <w:t>Title to Properties; Possession Under Leases and Licenses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104</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3.08</w:t>
            </w:r>
          </w:p>
        </w:tc>
        <w:tc>
          <w:tcPr>
            <w:tcW w:w="732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104</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3.09</w:t>
            </w:r>
          </w:p>
        </w:tc>
        <w:tc>
          <w:tcPr>
            <w:tcW w:w="7320" w:type="dxa"/>
            <w:vAlign w:val="bottom"/>
          </w:tcPr>
          <w:p>
            <w:pPr>
              <w:ind w:left="200"/>
              <w:spacing w:after="0"/>
              <w:rPr>
                <w:sz w:val="20"/>
                <w:szCs w:val="20"/>
                <w:color w:val="auto"/>
              </w:rPr>
            </w:pPr>
            <w:r>
              <w:rPr>
                <w:rFonts w:ascii="Arial" w:cs="Arial" w:eastAsia="Arial" w:hAnsi="Arial"/>
                <w:sz w:val="18"/>
                <w:szCs w:val="18"/>
                <w:color w:val="auto"/>
              </w:rPr>
              <w:t>Litigation; Compliance with Laws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104</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3.10</w:t>
            </w:r>
          </w:p>
        </w:tc>
        <w:tc>
          <w:tcPr>
            <w:tcW w:w="732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104</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3.11</w:t>
            </w:r>
          </w:p>
        </w:tc>
        <w:tc>
          <w:tcPr>
            <w:tcW w:w="7320" w:type="dxa"/>
            <w:vAlign w:val="bottom"/>
          </w:tcPr>
          <w:p>
            <w:pPr>
              <w:ind w:left="200"/>
              <w:spacing w:after="0"/>
              <w:rPr>
                <w:sz w:val="20"/>
                <w:szCs w:val="20"/>
                <w:color w:val="auto"/>
              </w:rPr>
            </w:pPr>
            <w:r>
              <w:rPr>
                <w:rFonts w:ascii="Arial" w:cs="Arial" w:eastAsia="Arial" w:hAnsi="Arial"/>
                <w:sz w:val="18"/>
                <w:szCs w:val="18"/>
                <w:color w:val="auto"/>
              </w:rPr>
              <w:t>Federal Reserve Regulations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104</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3.12</w:t>
            </w:r>
          </w:p>
        </w:tc>
        <w:tc>
          <w:tcPr>
            <w:tcW w:w="7320" w:type="dxa"/>
            <w:vAlign w:val="bottom"/>
          </w:tcPr>
          <w:p>
            <w:pPr>
              <w:ind w:left="200"/>
              <w:spacing w:after="0"/>
              <w:rPr>
                <w:sz w:val="20"/>
                <w:szCs w:val="20"/>
                <w:color w:val="auto"/>
              </w:rPr>
            </w:pPr>
            <w:r>
              <w:rPr>
                <w:rFonts w:ascii="Arial" w:cs="Arial" w:eastAsia="Arial" w:hAnsi="Arial"/>
                <w:sz w:val="18"/>
                <w:szCs w:val="18"/>
                <w:color w:val="auto"/>
              </w:rPr>
              <w:t>Investment Company Act</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105</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3.13</w:t>
            </w:r>
          </w:p>
        </w:tc>
        <w:tc>
          <w:tcPr>
            <w:tcW w:w="73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105</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3.14</w:t>
            </w:r>
          </w:p>
        </w:tc>
        <w:tc>
          <w:tcPr>
            <w:tcW w:w="7320" w:type="dxa"/>
            <w:vAlign w:val="bottom"/>
          </w:tcPr>
          <w:p>
            <w:pPr>
              <w:ind w:left="200"/>
              <w:spacing w:after="0"/>
              <w:rPr>
                <w:sz w:val="20"/>
                <w:szCs w:val="20"/>
                <w:color w:val="auto"/>
              </w:rPr>
            </w:pPr>
            <w:r>
              <w:rPr>
                <w:rFonts w:ascii="Arial" w:cs="Arial" w:eastAsia="Arial" w:hAnsi="Arial"/>
                <w:sz w:val="18"/>
                <w:szCs w:val="18"/>
                <w:color w:val="auto"/>
              </w:rPr>
              <w:t>Tax</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105</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3.15</w:t>
            </w:r>
          </w:p>
        </w:tc>
        <w:tc>
          <w:tcPr>
            <w:tcW w:w="7320" w:type="dxa"/>
            <w:vAlign w:val="bottom"/>
          </w:tcPr>
          <w:p>
            <w:pPr>
              <w:ind w:left="200"/>
              <w:spacing w:after="0"/>
              <w:rPr>
                <w:sz w:val="20"/>
                <w:szCs w:val="20"/>
                <w:color w:val="auto"/>
              </w:rPr>
            </w:pPr>
            <w:r>
              <w:rPr>
                <w:rFonts w:ascii="Arial" w:cs="Arial" w:eastAsia="Arial" w:hAnsi="Arial"/>
                <w:sz w:val="18"/>
                <w:szCs w:val="18"/>
                <w:color w:val="auto"/>
              </w:rPr>
              <w:t>No Material Misstatements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105</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3.16</w:t>
            </w:r>
          </w:p>
        </w:tc>
        <w:tc>
          <w:tcPr>
            <w:tcW w:w="7320" w:type="dxa"/>
            <w:vAlign w:val="bottom"/>
          </w:tcPr>
          <w:p>
            <w:pPr>
              <w:ind w:left="200"/>
              <w:spacing w:after="0"/>
              <w:rPr>
                <w:sz w:val="20"/>
                <w:szCs w:val="20"/>
                <w:color w:val="auto"/>
              </w:rPr>
            </w:pPr>
            <w:r>
              <w:rPr>
                <w:rFonts w:ascii="Arial" w:cs="Arial" w:eastAsia="Arial" w:hAnsi="Arial"/>
                <w:sz w:val="18"/>
                <w:szCs w:val="18"/>
                <w:color w:val="auto"/>
              </w:rPr>
              <w:t>Employee Benefit Plans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105</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3.17</w:t>
            </w:r>
          </w:p>
        </w:tc>
        <w:tc>
          <w:tcPr>
            <w:tcW w:w="732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106</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3.18</w:t>
            </w:r>
          </w:p>
        </w:tc>
        <w:tc>
          <w:tcPr>
            <w:tcW w:w="732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107</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3.19</w:t>
            </w:r>
          </w:p>
        </w:tc>
        <w:tc>
          <w:tcPr>
            <w:tcW w:w="7320" w:type="dxa"/>
            <w:vAlign w:val="bottom"/>
          </w:tcPr>
          <w:p>
            <w:pPr>
              <w:ind w:left="200"/>
              <w:spacing w:after="0"/>
              <w:rPr>
                <w:sz w:val="20"/>
                <w:szCs w:val="20"/>
                <w:color w:val="auto"/>
              </w:rPr>
            </w:pPr>
            <w:r>
              <w:rPr>
                <w:rFonts w:ascii="Arial" w:cs="Arial" w:eastAsia="Arial" w:hAnsi="Arial"/>
                <w:sz w:val="18"/>
                <w:szCs w:val="18"/>
                <w:color w:val="auto"/>
              </w:rPr>
              <w:t>Security Documents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107</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3.20</w:t>
            </w:r>
          </w:p>
        </w:tc>
        <w:tc>
          <w:tcPr>
            <w:tcW w:w="7320" w:type="dxa"/>
            <w:vAlign w:val="bottom"/>
          </w:tcPr>
          <w:p>
            <w:pPr>
              <w:ind w:left="200"/>
              <w:spacing w:after="0"/>
              <w:rPr>
                <w:sz w:val="20"/>
                <w:szCs w:val="20"/>
                <w:color w:val="auto"/>
              </w:rPr>
            </w:pPr>
            <w:r>
              <w:rPr>
                <w:rFonts w:ascii="Arial" w:cs="Arial" w:eastAsia="Arial" w:hAnsi="Arial"/>
                <w:sz w:val="18"/>
                <w:szCs w:val="18"/>
                <w:color w:val="auto"/>
              </w:rPr>
              <w:t>Intellectual Property</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107</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3.21</w:t>
            </w:r>
          </w:p>
        </w:tc>
        <w:tc>
          <w:tcPr>
            <w:tcW w:w="7320" w:type="dxa"/>
            <w:vAlign w:val="bottom"/>
          </w:tcPr>
          <w:p>
            <w:pPr>
              <w:ind w:left="200"/>
              <w:spacing w:after="0"/>
              <w:rPr>
                <w:sz w:val="20"/>
                <w:szCs w:val="20"/>
                <w:color w:val="auto"/>
              </w:rPr>
            </w:pPr>
            <w:r>
              <w:rPr>
                <w:rFonts w:ascii="Arial" w:cs="Arial" w:eastAsia="Arial" w:hAnsi="Arial"/>
                <w:sz w:val="18"/>
                <w:szCs w:val="18"/>
                <w:color w:val="auto"/>
              </w:rPr>
              <w:t>Labor Matters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108</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3.22</w:t>
            </w:r>
          </w:p>
        </w:tc>
        <w:tc>
          <w:tcPr>
            <w:tcW w:w="7320" w:type="dxa"/>
            <w:vAlign w:val="bottom"/>
          </w:tcPr>
          <w:p>
            <w:pPr>
              <w:ind w:left="200"/>
              <w:spacing w:after="0"/>
              <w:rPr>
                <w:sz w:val="20"/>
                <w:szCs w:val="20"/>
                <w:color w:val="auto"/>
              </w:rPr>
            </w:pPr>
            <w:r>
              <w:rPr>
                <w:rFonts w:ascii="Arial" w:cs="Arial" w:eastAsia="Arial" w:hAnsi="Arial"/>
                <w:sz w:val="18"/>
                <w:szCs w:val="18"/>
                <w:color w:val="auto"/>
              </w:rPr>
              <w:t>Solvency</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108</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3.23</w:t>
            </w:r>
          </w:p>
        </w:tc>
        <w:tc>
          <w:tcPr>
            <w:tcW w:w="7320" w:type="dxa"/>
            <w:vAlign w:val="bottom"/>
          </w:tcPr>
          <w:p>
            <w:pPr>
              <w:ind w:left="200"/>
              <w:spacing w:after="0"/>
              <w:rPr>
                <w:sz w:val="20"/>
                <w:szCs w:val="20"/>
                <w:color w:val="auto"/>
              </w:rPr>
            </w:pPr>
            <w:r>
              <w:rPr>
                <w:rFonts w:ascii="Arial" w:cs="Arial" w:eastAsia="Arial" w:hAnsi="Arial"/>
                <w:sz w:val="18"/>
                <w:szCs w:val="18"/>
                <w:color w:val="auto"/>
              </w:rPr>
              <w:t>Anti-Corruption Laws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108</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3.24</w:t>
            </w:r>
          </w:p>
        </w:tc>
        <w:tc>
          <w:tcPr>
            <w:tcW w:w="7320" w:type="dxa"/>
            <w:vAlign w:val="bottom"/>
          </w:tcPr>
          <w:p>
            <w:pPr>
              <w:ind w:left="200"/>
              <w:spacing w:after="0"/>
              <w:rPr>
                <w:sz w:val="20"/>
                <w:szCs w:val="20"/>
                <w:color w:val="auto"/>
              </w:rPr>
            </w:pPr>
            <w:r>
              <w:rPr>
                <w:rFonts w:ascii="Arial" w:cs="Arial" w:eastAsia="Arial" w:hAnsi="Arial"/>
                <w:sz w:val="18"/>
                <w:szCs w:val="18"/>
                <w:color w:val="auto"/>
              </w:rPr>
              <w:t>Anti-Money Laundering Laws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108</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3.25</w:t>
            </w:r>
          </w:p>
        </w:tc>
        <w:tc>
          <w:tcPr>
            <w:tcW w:w="7320" w:type="dxa"/>
            <w:vAlign w:val="bottom"/>
          </w:tcPr>
          <w:p>
            <w:pPr>
              <w:ind w:left="200"/>
              <w:spacing w:after="0"/>
              <w:rPr>
                <w:sz w:val="20"/>
                <w:szCs w:val="20"/>
                <w:color w:val="auto"/>
              </w:rPr>
            </w:pPr>
            <w:r>
              <w:rPr>
                <w:rFonts w:ascii="Arial" w:cs="Arial" w:eastAsia="Arial" w:hAnsi="Arial"/>
                <w:sz w:val="18"/>
                <w:szCs w:val="18"/>
                <w:color w:val="auto"/>
              </w:rPr>
              <w:t>Foreign Assets Control Regulations, etc.</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108</w:t>
            </w:r>
          </w:p>
        </w:tc>
      </w:tr>
      <w:tr>
        <w:trPr>
          <w:trHeight w:val="210"/>
        </w:trPr>
        <w:tc>
          <w:tcPr>
            <w:tcW w:w="10860" w:type="dxa"/>
            <w:vAlign w:val="bottom"/>
            <w:gridSpan w:val="2"/>
          </w:tcPr>
          <w:p>
            <w:pPr>
              <w:spacing w:after="0"/>
              <w:rPr>
                <w:sz w:val="20"/>
                <w:szCs w:val="20"/>
                <w:color w:val="auto"/>
              </w:rPr>
            </w:pPr>
            <w:r>
              <w:rPr>
                <w:rFonts w:ascii="Arial" w:cs="Arial" w:eastAsia="Arial" w:hAnsi="Arial"/>
                <w:sz w:val="18"/>
                <w:szCs w:val="18"/>
                <w:color w:val="auto"/>
              </w:rPr>
              <w:t>ARTICLE IV CONDITIONS TO CLOSING AND FUNDING</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108</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4.01</w:t>
            </w:r>
          </w:p>
        </w:tc>
        <w:tc>
          <w:tcPr>
            <w:tcW w:w="7320" w:type="dxa"/>
            <w:vAlign w:val="bottom"/>
          </w:tcPr>
          <w:p>
            <w:pPr>
              <w:ind w:left="200"/>
              <w:spacing w:after="0"/>
              <w:rPr>
                <w:sz w:val="20"/>
                <w:szCs w:val="20"/>
                <w:color w:val="auto"/>
              </w:rPr>
            </w:pPr>
            <w:r>
              <w:rPr>
                <w:rFonts w:ascii="Arial" w:cs="Arial" w:eastAsia="Arial" w:hAnsi="Arial"/>
                <w:sz w:val="18"/>
                <w:szCs w:val="18"/>
                <w:color w:val="auto"/>
              </w:rPr>
              <w:t>Conditions to All Credit Events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108</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4.02</w:t>
            </w:r>
          </w:p>
        </w:tc>
        <w:tc>
          <w:tcPr>
            <w:tcW w:w="7320" w:type="dxa"/>
            <w:vAlign w:val="bottom"/>
          </w:tcPr>
          <w:p>
            <w:pPr>
              <w:ind w:left="200"/>
              <w:spacing w:after="0"/>
              <w:rPr>
                <w:sz w:val="20"/>
                <w:szCs w:val="20"/>
                <w:color w:val="auto"/>
              </w:rPr>
            </w:pPr>
            <w:r>
              <w:rPr>
                <w:rFonts w:ascii="Arial" w:cs="Arial" w:eastAsia="Arial" w:hAnsi="Arial"/>
                <w:sz w:val="18"/>
                <w:szCs w:val="18"/>
                <w:color w:val="auto"/>
              </w:rPr>
              <w:t>Conditions to Closing</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109</w:t>
            </w: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ARTICLE V AFFIRMATIVE COVENANTS</w:t>
            </w:r>
          </w:p>
        </w:tc>
        <w:tc>
          <w:tcPr>
            <w:tcW w:w="73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112</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5.01</w:t>
            </w:r>
          </w:p>
        </w:tc>
        <w:tc>
          <w:tcPr>
            <w:tcW w:w="7320" w:type="dxa"/>
            <w:vAlign w:val="bottom"/>
          </w:tcPr>
          <w:p>
            <w:pPr>
              <w:ind w:left="200"/>
              <w:spacing w:after="0"/>
              <w:rPr>
                <w:sz w:val="20"/>
                <w:szCs w:val="20"/>
                <w:color w:val="auto"/>
              </w:rPr>
            </w:pPr>
            <w:r>
              <w:rPr>
                <w:rFonts w:ascii="Arial" w:cs="Arial" w:eastAsia="Arial" w:hAnsi="Arial"/>
                <w:sz w:val="18"/>
                <w:szCs w:val="18"/>
                <w:color w:val="auto"/>
              </w:rPr>
              <w:t>Existence; Businesses and Properties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112</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5.02</w:t>
            </w:r>
          </w:p>
        </w:tc>
        <w:tc>
          <w:tcPr>
            <w:tcW w:w="732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112</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5.03</w:t>
            </w:r>
          </w:p>
        </w:tc>
        <w:tc>
          <w:tcPr>
            <w:tcW w:w="7320" w:type="dxa"/>
            <w:vAlign w:val="bottom"/>
          </w:tcPr>
          <w:p>
            <w:pPr>
              <w:ind w:left="200"/>
              <w:spacing w:after="0"/>
              <w:rPr>
                <w:sz w:val="20"/>
                <w:szCs w:val="20"/>
                <w:color w:val="auto"/>
              </w:rPr>
            </w:pPr>
            <w:r>
              <w:rPr>
                <w:rFonts w:ascii="Arial" w:cs="Arial" w:eastAsia="Arial" w:hAnsi="Arial"/>
                <w:sz w:val="18"/>
                <w:szCs w:val="18"/>
                <w:color w:val="auto"/>
              </w:rPr>
              <w:t>Obligations and 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113</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5.04</w:t>
            </w:r>
          </w:p>
        </w:tc>
        <w:tc>
          <w:tcPr>
            <w:tcW w:w="7320" w:type="dxa"/>
            <w:vAlign w:val="bottom"/>
          </w:tcPr>
          <w:p>
            <w:pPr>
              <w:ind w:left="200"/>
              <w:spacing w:after="0"/>
              <w:rPr>
                <w:sz w:val="20"/>
                <w:szCs w:val="20"/>
                <w:color w:val="auto"/>
              </w:rPr>
            </w:pPr>
            <w:r>
              <w:rPr>
                <w:rFonts w:ascii="Arial" w:cs="Arial" w:eastAsia="Arial" w:hAnsi="Arial"/>
                <w:sz w:val="18"/>
                <w:szCs w:val="18"/>
                <w:color w:val="auto"/>
              </w:rPr>
              <w:t>Financial Statements, Reports, etc.</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113</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5.05</w:t>
            </w:r>
          </w:p>
        </w:tc>
        <w:tc>
          <w:tcPr>
            <w:tcW w:w="7320" w:type="dxa"/>
            <w:vAlign w:val="bottom"/>
          </w:tcPr>
          <w:p>
            <w:pPr>
              <w:ind w:left="200"/>
              <w:spacing w:after="0"/>
              <w:rPr>
                <w:sz w:val="20"/>
                <w:szCs w:val="20"/>
                <w:color w:val="auto"/>
              </w:rPr>
            </w:pPr>
            <w:r>
              <w:rPr>
                <w:rFonts w:ascii="Arial" w:cs="Arial" w:eastAsia="Arial" w:hAnsi="Arial"/>
                <w:sz w:val="18"/>
                <w:szCs w:val="18"/>
                <w:color w:val="auto"/>
              </w:rPr>
              <w:t>Litigation and Other Notices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115</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5.06</w:t>
            </w:r>
          </w:p>
        </w:tc>
        <w:tc>
          <w:tcPr>
            <w:tcW w:w="7320" w:type="dxa"/>
            <w:vAlign w:val="bottom"/>
          </w:tcPr>
          <w:p>
            <w:pPr>
              <w:ind w:left="200"/>
              <w:spacing w:after="0"/>
              <w:rPr>
                <w:sz w:val="20"/>
                <w:szCs w:val="20"/>
                <w:color w:val="auto"/>
              </w:rPr>
            </w:pPr>
            <w:r>
              <w:rPr>
                <w:rFonts w:ascii="Arial" w:cs="Arial" w:eastAsia="Arial" w:hAnsi="Arial"/>
                <w:sz w:val="18"/>
                <w:szCs w:val="18"/>
                <w:color w:val="auto"/>
              </w:rPr>
              <w:t>Information Regarding Collateral</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116</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5.07</w:t>
            </w:r>
          </w:p>
        </w:tc>
        <w:tc>
          <w:tcPr>
            <w:tcW w:w="7320" w:type="dxa"/>
            <w:vAlign w:val="bottom"/>
          </w:tcPr>
          <w:p>
            <w:pPr>
              <w:ind w:left="200"/>
              <w:spacing w:after="0"/>
              <w:rPr>
                <w:sz w:val="20"/>
                <w:szCs w:val="20"/>
                <w:color w:val="auto"/>
              </w:rPr>
            </w:pPr>
            <w:r>
              <w:rPr>
                <w:rFonts w:ascii="Arial" w:cs="Arial" w:eastAsia="Arial" w:hAnsi="Arial"/>
                <w:sz w:val="18"/>
                <w:szCs w:val="18"/>
                <w:color w:val="auto"/>
              </w:rPr>
              <w:t>Maintaining Records; Access to Properties and Inspections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116</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5.08</w:t>
            </w:r>
          </w:p>
        </w:tc>
        <w:tc>
          <w:tcPr>
            <w:tcW w:w="73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116</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SECTION 5.09</w:t>
            </w:r>
          </w:p>
        </w:tc>
        <w:tc>
          <w:tcPr>
            <w:tcW w:w="732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116</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73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118</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SECTION 6.01</w:t>
            </w:r>
          </w:p>
        </w:tc>
        <w:tc>
          <w:tcPr>
            <w:tcW w:w="7320" w:type="dxa"/>
            <w:vAlign w:val="bottom"/>
          </w:tcPr>
          <w:p>
            <w:pPr>
              <w:ind w:left="200"/>
              <w:spacing w:after="0"/>
              <w:rPr>
                <w:sz w:val="20"/>
                <w:szCs w:val="20"/>
                <w:color w:val="auto"/>
              </w:rPr>
            </w:pPr>
            <w:r>
              <w:rPr>
                <w:rFonts w:ascii="Arial" w:cs="Arial" w:eastAsia="Arial" w:hAnsi="Arial"/>
                <w:sz w:val="18"/>
                <w:szCs w:val="18"/>
                <w:color w:val="auto"/>
              </w:rPr>
              <w:t>Indebtedness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118</w:t>
            </w:r>
          </w:p>
        </w:tc>
      </w:tr>
      <w:tr>
        <w:trPr>
          <w:trHeight w:val="20"/>
        </w:trPr>
        <w:tc>
          <w:tcPr>
            <w:tcW w:w="3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00"/>
          </w:cols>
          <w:pgMar w:left="320" w:top="114" w:right="37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8"/>
                <w:szCs w:val="18"/>
                <w:color w:val="auto"/>
              </w:rPr>
              <w:t>SECTION 6.02</w:t>
            </w:r>
          </w:p>
        </w:tc>
        <w:tc>
          <w:tcPr>
            <w:tcW w:w="7520" w:type="dxa"/>
            <w:vAlign w:val="bottom"/>
          </w:tcPr>
          <w:p>
            <w:pPr>
              <w:ind w:left="400"/>
              <w:spacing w:after="0"/>
              <w:rPr>
                <w:sz w:val="20"/>
                <w:szCs w:val="20"/>
                <w:color w:val="auto"/>
              </w:rPr>
            </w:pPr>
            <w:r>
              <w:rPr>
                <w:rFonts w:ascii="Arial" w:cs="Arial" w:eastAsia="Arial" w:hAnsi="Arial"/>
                <w:sz w:val="18"/>
                <w:szCs w:val="18"/>
                <w:color w:val="auto"/>
              </w:rPr>
              <w:t>Liens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119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6.03</w:t>
            </w:r>
          </w:p>
        </w:tc>
        <w:tc>
          <w:tcPr>
            <w:tcW w:w="7520" w:type="dxa"/>
            <w:vAlign w:val="bottom"/>
          </w:tcPr>
          <w:p>
            <w:pPr>
              <w:ind w:left="400"/>
              <w:spacing w:after="0"/>
              <w:rPr>
                <w:sz w:val="20"/>
                <w:szCs w:val="20"/>
                <w:color w:val="auto"/>
              </w:rPr>
            </w:pPr>
            <w:r>
              <w:rPr>
                <w:rFonts w:ascii="Arial" w:cs="Arial" w:eastAsia="Arial" w:hAnsi="Arial"/>
                <w:sz w:val="18"/>
                <w:szCs w:val="18"/>
                <w:color w:val="auto"/>
              </w:rPr>
              <w:t>Sale and Lease-Back Transactions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121</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6.04</w:t>
            </w:r>
          </w:p>
        </w:tc>
        <w:tc>
          <w:tcPr>
            <w:tcW w:w="7520" w:type="dxa"/>
            <w:vAlign w:val="bottom"/>
          </w:tcPr>
          <w:p>
            <w:pPr>
              <w:ind w:left="400"/>
              <w:spacing w:after="0"/>
              <w:rPr>
                <w:sz w:val="20"/>
                <w:szCs w:val="20"/>
                <w:color w:val="auto"/>
              </w:rPr>
            </w:pPr>
            <w:r>
              <w:rPr>
                <w:rFonts w:ascii="Arial" w:cs="Arial" w:eastAsia="Arial" w:hAnsi="Arial"/>
                <w:sz w:val="18"/>
                <w:szCs w:val="18"/>
                <w:color w:val="auto"/>
              </w:rPr>
              <w:t>Investments, Loans and Advances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121</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6.05</w:t>
            </w:r>
          </w:p>
        </w:tc>
        <w:tc>
          <w:tcPr>
            <w:tcW w:w="7520" w:type="dxa"/>
            <w:vAlign w:val="bottom"/>
          </w:tcPr>
          <w:p>
            <w:pPr>
              <w:ind w:left="400"/>
              <w:spacing w:after="0"/>
              <w:rPr>
                <w:sz w:val="20"/>
                <w:szCs w:val="20"/>
                <w:color w:val="auto"/>
              </w:rPr>
            </w:pPr>
            <w:r>
              <w:rPr>
                <w:rFonts w:ascii="Arial" w:cs="Arial" w:eastAsia="Arial" w:hAnsi="Arial"/>
                <w:sz w:val="18"/>
                <w:szCs w:val="18"/>
                <w:color w:val="auto"/>
              </w:rPr>
              <w:t>Mergers, Consolidations, Sales of Assets and Acquisitions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124</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6.06</w:t>
            </w:r>
          </w:p>
        </w:tc>
        <w:tc>
          <w:tcPr>
            <w:tcW w:w="7520" w:type="dxa"/>
            <w:vAlign w:val="bottom"/>
          </w:tcPr>
          <w:p>
            <w:pPr>
              <w:ind w:left="400"/>
              <w:spacing w:after="0"/>
              <w:rPr>
                <w:sz w:val="20"/>
                <w:szCs w:val="20"/>
                <w:color w:val="auto"/>
              </w:rPr>
            </w:pPr>
            <w:r>
              <w:rPr>
                <w:rFonts w:ascii="Arial" w:cs="Arial" w:eastAsia="Arial" w:hAnsi="Arial"/>
                <w:sz w:val="18"/>
                <w:szCs w:val="18"/>
                <w:color w:val="auto"/>
              </w:rPr>
              <w:t>Restricted Payments; Restrictive Agreements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124</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6.07</w:t>
            </w:r>
          </w:p>
        </w:tc>
        <w:tc>
          <w:tcPr>
            <w:tcW w:w="7520" w:type="dxa"/>
            <w:vAlign w:val="bottom"/>
          </w:tcPr>
          <w:p>
            <w:pPr>
              <w:ind w:left="400"/>
              <w:spacing w:after="0"/>
              <w:rPr>
                <w:sz w:val="20"/>
                <w:szCs w:val="20"/>
                <w:color w:val="auto"/>
              </w:rPr>
            </w:pPr>
            <w:r>
              <w:rPr>
                <w:rFonts w:ascii="Arial" w:cs="Arial" w:eastAsia="Arial" w:hAnsi="Arial"/>
                <w:sz w:val="18"/>
                <w:szCs w:val="18"/>
                <w:color w:val="auto"/>
              </w:rPr>
              <w:t>Transactions with Affiliates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126</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6.08</w:t>
            </w:r>
          </w:p>
        </w:tc>
        <w:tc>
          <w:tcPr>
            <w:tcW w:w="7520" w:type="dxa"/>
            <w:vAlign w:val="bottom"/>
          </w:tcPr>
          <w:p>
            <w:pPr>
              <w:ind w:left="400"/>
              <w:spacing w:after="0"/>
              <w:rPr>
                <w:sz w:val="20"/>
                <w:szCs w:val="20"/>
                <w:color w:val="auto"/>
              </w:rPr>
            </w:pPr>
            <w:r>
              <w:rPr>
                <w:rFonts w:ascii="Arial" w:cs="Arial" w:eastAsia="Arial" w:hAnsi="Arial"/>
                <w:sz w:val="18"/>
                <w:szCs w:val="18"/>
                <w:color w:val="auto"/>
              </w:rPr>
              <w:t>Business of Borrowers and Subsidiaries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126</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6.09</w:t>
            </w:r>
          </w:p>
        </w:tc>
        <w:tc>
          <w:tcPr>
            <w:tcW w:w="7520" w:type="dxa"/>
            <w:vAlign w:val="bottom"/>
          </w:tcPr>
          <w:p>
            <w:pPr>
              <w:ind w:left="400"/>
              <w:spacing w:after="0"/>
              <w:rPr>
                <w:sz w:val="20"/>
                <w:szCs w:val="20"/>
                <w:color w:val="auto"/>
              </w:rPr>
            </w:pPr>
            <w:r>
              <w:rPr>
                <w:rFonts w:ascii="Arial" w:cs="Arial" w:eastAsia="Arial" w:hAnsi="Arial"/>
                <w:sz w:val="18"/>
                <w:szCs w:val="18"/>
                <w:color w:val="auto"/>
              </w:rPr>
              <w:t>Other Indebtedness and Agreements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126</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6.10</w:t>
            </w:r>
          </w:p>
        </w:tc>
        <w:tc>
          <w:tcPr>
            <w:tcW w:w="7520" w:type="dxa"/>
            <w:vAlign w:val="bottom"/>
          </w:tcPr>
          <w:p>
            <w:pPr>
              <w:ind w:left="400"/>
              <w:spacing w:after="0"/>
              <w:rPr>
                <w:sz w:val="20"/>
                <w:szCs w:val="20"/>
                <w:color w:val="auto"/>
              </w:rPr>
            </w:pPr>
            <w:r>
              <w:rPr>
                <w:rFonts w:ascii="Arial" w:cs="Arial" w:eastAsia="Arial" w:hAnsi="Arial"/>
                <w:sz w:val="18"/>
                <w:szCs w:val="18"/>
                <w:color w:val="auto"/>
              </w:rPr>
              <w:t>Interest Coverage Ratio</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126</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6.11</w:t>
            </w:r>
          </w:p>
        </w:tc>
        <w:tc>
          <w:tcPr>
            <w:tcW w:w="7520" w:type="dxa"/>
            <w:vAlign w:val="bottom"/>
          </w:tcPr>
          <w:p>
            <w:pPr>
              <w:ind w:left="400"/>
              <w:spacing w:after="0"/>
              <w:rPr>
                <w:sz w:val="20"/>
                <w:szCs w:val="20"/>
                <w:color w:val="auto"/>
              </w:rPr>
            </w:pPr>
            <w:r>
              <w:rPr>
                <w:rFonts w:ascii="Arial" w:cs="Arial" w:eastAsia="Arial" w:hAnsi="Arial"/>
                <w:sz w:val="18"/>
                <w:szCs w:val="18"/>
                <w:color w:val="auto"/>
              </w:rPr>
              <w:t>Leverage Ratios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126</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6.12</w:t>
            </w:r>
          </w:p>
        </w:tc>
        <w:tc>
          <w:tcPr>
            <w:tcW w:w="7520" w:type="dxa"/>
            <w:vAlign w:val="bottom"/>
          </w:tcPr>
          <w:p>
            <w:pPr>
              <w:ind w:left="400"/>
              <w:spacing w:after="0"/>
              <w:rPr>
                <w:sz w:val="20"/>
                <w:szCs w:val="20"/>
                <w:color w:val="auto"/>
              </w:rPr>
            </w:pPr>
            <w:r>
              <w:rPr>
                <w:rFonts w:ascii="Arial" w:cs="Arial" w:eastAsia="Arial" w:hAnsi="Arial"/>
                <w:sz w:val="18"/>
                <w:szCs w:val="18"/>
                <w:color w:val="auto"/>
              </w:rPr>
              <w:t>Hedging Agreements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127</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6.13</w:t>
            </w:r>
          </w:p>
        </w:tc>
        <w:tc>
          <w:tcPr>
            <w:tcW w:w="7520" w:type="dxa"/>
            <w:vAlign w:val="bottom"/>
          </w:tcPr>
          <w:p>
            <w:pPr>
              <w:ind w:left="400"/>
              <w:spacing w:after="0"/>
              <w:rPr>
                <w:sz w:val="20"/>
                <w:szCs w:val="20"/>
                <w:color w:val="auto"/>
              </w:rPr>
            </w:pPr>
            <w:r>
              <w:rPr>
                <w:rFonts w:ascii="Arial" w:cs="Arial" w:eastAsia="Arial" w:hAnsi="Arial"/>
                <w:sz w:val="18"/>
                <w:szCs w:val="18"/>
                <w:color w:val="auto"/>
              </w:rPr>
              <w:t>Pension Plans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127</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6.14</w:t>
            </w:r>
          </w:p>
        </w:tc>
        <w:tc>
          <w:tcPr>
            <w:tcW w:w="7520" w:type="dxa"/>
            <w:vAlign w:val="bottom"/>
          </w:tcPr>
          <w:p>
            <w:pPr>
              <w:ind w:left="400"/>
              <w:spacing w:after="0"/>
              <w:rPr>
                <w:sz w:val="20"/>
                <w:szCs w:val="20"/>
                <w:color w:val="auto"/>
              </w:rPr>
            </w:pPr>
            <w:r>
              <w:rPr>
                <w:rFonts w:ascii="Arial" w:cs="Arial" w:eastAsia="Arial" w:hAnsi="Arial"/>
                <w:sz w:val="18"/>
                <w:szCs w:val="18"/>
                <w:color w:val="auto"/>
              </w:rPr>
              <w:t>Amendment of the Organizational Documents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127</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6.15</w:t>
            </w:r>
          </w:p>
        </w:tc>
        <w:tc>
          <w:tcPr>
            <w:tcW w:w="7520" w:type="dxa"/>
            <w:vAlign w:val="bottom"/>
          </w:tcPr>
          <w:p>
            <w:pPr>
              <w:ind w:left="400"/>
              <w:spacing w:after="0"/>
              <w:rPr>
                <w:sz w:val="20"/>
                <w:szCs w:val="20"/>
                <w:color w:val="auto"/>
              </w:rPr>
            </w:pPr>
            <w:r>
              <w:rPr>
                <w:rFonts w:ascii="Arial" w:cs="Arial" w:eastAsia="Arial" w:hAnsi="Arial"/>
                <w:sz w:val="18"/>
                <w:szCs w:val="18"/>
                <w:color w:val="auto"/>
              </w:rPr>
              <w:t>Sanction Laws and Regulations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127</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6.16</w:t>
            </w:r>
          </w:p>
        </w:tc>
        <w:tc>
          <w:tcPr>
            <w:tcW w:w="7520" w:type="dxa"/>
            <w:vAlign w:val="bottom"/>
          </w:tcPr>
          <w:p>
            <w:pPr>
              <w:ind w:left="400"/>
              <w:spacing w:after="0"/>
              <w:rPr>
                <w:sz w:val="20"/>
                <w:szCs w:val="20"/>
                <w:color w:val="auto"/>
              </w:rPr>
            </w:pPr>
            <w:r>
              <w:rPr>
                <w:rFonts w:ascii="Arial" w:cs="Arial" w:eastAsia="Arial" w:hAnsi="Arial"/>
                <w:sz w:val="18"/>
                <w:szCs w:val="18"/>
                <w:color w:val="auto"/>
              </w:rPr>
              <w:t>Anti-Corruption Laws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128</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6.17</w:t>
            </w:r>
          </w:p>
        </w:tc>
        <w:tc>
          <w:tcPr>
            <w:tcW w:w="7520" w:type="dxa"/>
            <w:vAlign w:val="bottom"/>
          </w:tcPr>
          <w:p>
            <w:pPr>
              <w:ind w:left="400"/>
              <w:spacing w:after="0"/>
              <w:rPr>
                <w:sz w:val="20"/>
                <w:szCs w:val="20"/>
                <w:color w:val="auto"/>
              </w:rPr>
            </w:pPr>
            <w:r>
              <w:rPr>
                <w:rFonts w:ascii="Arial" w:cs="Arial" w:eastAsia="Arial" w:hAnsi="Arial"/>
                <w:sz w:val="18"/>
                <w:szCs w:val="18"/>
                <w:color w:val="auto"/>
              </w:rPr>
              <w:t>Cross-Guarantee</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128</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ARTICLE VII EVENTS OF DEFAULT</w:t>
            </w:r>
          </w:p>
        </w:tc>
        <w:tc>
          <w:tcPr>
            <w:tcW w:w="7520" w:type="dxa"/>
            <w:vAlign w:val="bottom"/>
          </w:tcPr>
          <w:p>
            <w:pPr>
              <w:spacing w:after="0"/>
              <w:rPr>
                <w:sz w:val="18"/>
                <w:szCs w:val="18"/>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128</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7.01</w:t>
            </w:r>
          </w:p>
        </w:tc>
        <w:tc>
          <w:tcPr>
            <w:tcW w:w="7520" w:type="dxa"/>
            <w:vAlign w:val="bottom"/>
          </w:tcPr>
          <w:p>
            <w:pPr>
              <w:ind w:left="400"/>
              <w:spacing w:after="0"/>
              <w:rPr>
                <w:sz w:val="20"/>
                <w:szCs w:val="20"/>
                <w:color w:val="auto"/>
              </w:rPr>
            </w:pPr>
            <w:r>
              <w:rPr>
                <w:rFonts w:ascii="Arial" w:cs="Arial" w:eastAsia="Arial" w:hAnsi="Arial"/>
                <w:sz w:val="18"/>
                <w:szCs w:val="18"/>
                <w:color w:val="auto"/>
              </w:rPr>
              <w:t>Events of Default</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128</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7.02</w:t>
            </w:r>
          </w:p>
        </w:tc>
        <w:tc>
          <w:tcPr>
            <w:tcW w:w="7520" w:type="dxa"/>
            <w:vAlign w:val="bottom"/>
          </w:tcPr>
          <w:p>
            <w:pPr>
              <w:ind w:left="400"/>
              <w:spacing w:after="0"/>
              <w:rPr>
                <w:sz w:val="20"/>
                <w:szCs w:val="20"/>
                <w:color w:val="auto"/>
              </w:rPr>
            </w:pPr>
            <w:r>
              <w:rPr>
                <w:rFonts w:ascii="Arial" w:cs="Arial" w:eastAsia="Arial" w:hAnsi="Arial"/>
                <w:sz w:val="18"/>
                <w:szCs w:val="18"/>
                <w:color w:val="auto"/>
              </w:rPr>
              <w:t>Optional Acceleration of Maturity</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130</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7.03</w:t>
            </w:r>
          </w:p>
        </w:tc>
        <w:tc>
          <w:tcPr>
            <w:tcW w:w="7520" w:type="dxa"/>
            <w:vAlign w:val="bottom"/>
          </w:tcPr>
          <w:p>
            <w:pPr>
              <w:ind w:left="400"/>
              <w:spacing w:after="0"/>
              <w:rPr>
                <w:sz w:val="20"/>
                <w:szCs w:val="20"/>
                <w:color w:val="auto"/>
              </w:rPr>
            </w:pPr>
            <w:r>
              <w:rPr>
                <w:rFonts w:ascii="Arial" w:cs="Arial" w:eastAsia="Arial" w:hAnsi="Arial"/>
                <w:sz w:val="18"/>
                <w:szCs w:val="18"/>
                <w:color w:val="auto"/>
              </w:rPr>
              <w:t>Automatic Acceleration of Maturity</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130</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7.04</w:t>
            </w:r>
          </w:p>
        </w:tc>
        <w:tc>
          <w:tcPr>
            <w:tcW w:w="7520" w:type="dxa"/>
            <w:vAlign w:val="bottom"/>
          </w:tcPr>
          <w:p>
            <w:pPr>
              <w:ind w:left="400"/>
              <w:spacing w:after="0"/>
              <w:rPr>
                <w:sz w:val="20"/>
                <w:szCs w:val="20"/>
                <w:color w:val="auto"/>
              </w:rPr>
            </w:pPr>
            <w:r>
              <w:rPr>
                <w:rFonts w:ascii="Arial" w:cs="Arial" w:eastAsia="Arial" w:hAnsi="Arial"/>
                <w:sz w:val="18"/>
                <w:szCs w:val="18"/>
                <w:color w:val="auto"/>
              </w:rPr>
              <w:t>Non-exclusivity of Remedies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131</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7.05</w:t>
            </w:r>
          </w:p>
        </w:tc>
        <w:tc>
          <w:tcPr>
            <w:tcW w:w="7520" w:type="dxa"/>
            <w:vAlign w:val="bottom"/>
          </w:tcPr>
          <w:p>
            <w:pPr>
              <w:ind w:left="400"/>
              <w:spacing w:after="0"/>
              <w:rPr>
                <w:sz w:val="20"/>
                <w:szCs w:val="20"/>
                <w:color w:val="auto"/>
              </w:rPr>
            </w:pPr>
            <w:r>
              <w:rPr>
                <w:rFonts w:ascii="Arial" w:cs="Arial" w:eastAsia="Arial" w:hAnsi="Arial"/>
                <w:sz w:val="18"/>
                <w:szCs w:val="18"/>
                <w:color w:val="auto"/>
              </w:rPr>
              <w:t>Application of Proceeds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131</w:t>
            </w:r>
          </w:p>
        </w:tc>
        <w:tc>
          <w:tcPr>
            <w:tcW w:w="0" w:type="dxa"/>
            <w:vAlign w:val="bottom"/>
          </w:tcPr>
          <w:p>
            <w:pPr>
              <w:spacing w:after="0"/>
              <w:rPr>
                <w:sz w:val="1"/>
                <w:szCs w:val="1"/>
                <w:color w:val="auto"/>
              </w:rPr>
            </w:pPr>
          </w:p>
        </w:tc>
      </w:tr>
      <w:tr>
        <w:trPr>
          <w:trHeight w:val="196"/>
        </w:trPr>
        <w:tc>
          <w:tcPr>
            <w:tcW w:w="10860" w:type="dxa"/>
            <w:vAlign w:val="bottom"/>
            <w:gridSpan w:val="2"/>
          </w:tcPr>
          <w:p>
            <w:pPr>
              <w:spacing w:after="0" w:line="196" w:lineRule="exact"/>
              <w:rPr>
                <w:sz w:val="20"/>
                <w:szCs w:val="20"/>
                <w:color w:val="auto"/>
              </w:rPr>
            </w:pPr>
            <w:r>
              <w:rPr>
                <w:rFonts w:ascii="Arial" w:cs="Arial" w:eastAsia="Arial" w:hAnsi="Arial"/>
                <w:sz w:val="18"/>
                <w:szCs w:val="18"/>
                <w:color w:val="auto"/>
              </w:rPr>
              <w:t>ARTICLE VIII THE ADMINISTRATIVE AGENTS, THE COLLATERAL AGENTS, THE ISSUING BANKS AND THE SWING</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3"/>
              </w:rPr>
              <w:t>132</w:t>
            </w:r>
          </w:p>
        </w:tc>
        <w:tc>
          <w:tcPr>
            <w:tcW w:w="0" w:type="dxa"/>
            <w:vAlign w:val="bottom"/>
          </w:tcPr>
          <w:p>
            <w:pPr>
              <w:spacing w:after="0"/>
              <w:rPr>
                <w:sz w:val="1"/>
                <w:szCs w:val="1"/>
                <w:color w:val="auto"/>
              </w:rPr>
            </w:pPr>
          </w:p>
        </w:tc>
      </w:tr>
      <w:tr>
        <w:trPr>
          <w:trHeight w:val="208"/>
        </w:trPr>
        <w:tc>
          <w:tcPr>
            <w:tcW w:w="3340" w:type="dxa"/>
            <w:vAlign w:val="bottom"/>
          </w:tcPr>
          <w:p>
            <w:pPr>
              <w:spacing w:after="0" w:line="202" w:lineRule="exact"/>
              <w:rPr>
                <w:sz w:val="20"/>
                <w:szCs w:val="20"/>
                <w:color w:val="auto"/>
              </w:rPr>
            </w:pPr>
            <w:r>
              <w:rPr>
                <w:rFonts w:ascii="Arial" w:cs="Arial" w:eastAsia="Arial" w:hAnsi="Arial"/>
                <w:sz w:val="18"/>
                <w:szCs w:val="18"/>
                <w:color w:val="auto"/>
              </w:rPr>
              <w:t>LINE LENDERS</w:t>
            </w:r>
          </w:p>
        </w:tc>
        <w:tc>
          <w:tcPr>
            <w:tcW w:w="7520" w:type="dxa"/>
            <w:vAlign w:val="bottom"/>
          </w:tcPr>
          <w:p>
            <w:pPr>
              <w:spacing w:after="0"/>
              <w:rPr>
                <w:sz w:val="17"/>
                <w:szCs w:val="17"/>
                <w:color w:val="auto"/>
              </w:rPr>
            </w:pPr>
          </w:p>
        </w:tc>
        <w:tc>
          <w:tcPr>
            <w:tcW w:w="300" w:type="dxa"/>
            <w:vAlign w:val="bottom"/>
            <w:tcBorders>
              <w:bottom w:val="single" w:sz="8" w:color="0000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8.01</w:t>
            </w:r>
          </w:p>
        </w:tc>
        <w:tc>
          <w:tcPr>
            <w:tcW w:w="7520" w:type="dxa"/>
            <w:vAlign w:val="bottom"/>
          </w:tcPr>
          <w:p>
            <w:pPr>
              <w:ind w:left="400"/>
              <w:spacing w:after="0"/>
              <w:rPr>
                <w:sz w:val="20"/>
                <w:szCs w:val="20"/>
                <w:color w:val="auto"/>
              </w:rPr>
            </w:pPr>
            <w:r>
              <w:rPr>
                <w:rFonts w:ascii="Arial" w:cs="Arial" w:eastAsia="Arial" w:hAnsi="Arial"/>
                <w:sz w:val="18"/>
                <w:szCs w:val="18"/>
                <w:color w:val="auto"/>
              </w:rPr>
              <w:t>Appointment and Authority</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132</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8.02</w:t>
            </w:r>
          </w:p>
        </w:tc>
        <w:tc>
          <w:tcPr>
            <w:tcW w:w="7520" w:type="dxa"/>
            <w:vAlign w:val="bottom"/>
          </w:tcPr>
          <w:p>
            <w:pPr>
              <w:ind w:left="400"/>
              <w:spacing w:after="0"/>
              <w:rPr>
                <w:sz w:val="20"/>
                <w:szCs w:val="20"/>
                <w:color w:val="auto"/>
              </w:rPr>
            </w:pPr>
            <w:r>
              <w:rPr>
                <w:rFonts w:ascii="Arial" w:cs="Arial" w:eastAsia="Arial" w:hAnsi="Arial"/>
                <w:sz w:val="18"/>
                <w:szCs w:val="18"/>
                <w:color w:val="auto"/>
              </w:rPr>
              <w:t>Rights as a Lender</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132</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8.03</w:t>
            </w:r>
          </w:p>
        </w:tc>
        <w:tc>
          <w:tcPr>
            <w:tcW w:w="7520" w:type="dxa"/>
            <w:vAlign w:val="bottom"/>
          </w:tcPr>
          <w:p>
            <w:pPr>
              <w:ind w:left="400"/>
              <w:spacing w:after="0"/>
              <w:rPr>
                <w:sz w:val="20"/>
                <w:szCs w:val="20"/>
                <w:color w:val="auto"/>
              </w:rPr>
            </w:pPr>
            <w:r>
              <w:rPr>
                <w:rFonts w:ascii="Arial" w:cs="Arial" w:eastAsia="Arial" w:hAnsi="Arial"/>
                <w:sz w:val="18"/>
                <w:szCs w:val="18"/>
                <w:color w:val="auto"/>
              </w:rPr>
              <w:t>Exculpatory Provisions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132</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8.04</w:t>
            </w:r>
          </w:p>
        </w:tc>
        <w:tc>
          <w:tcPr>
            <w:tcW w:w="7520" w:type="dxa"/>
            <w:vAlign w:val="bottom"/>
          </w:tcPr>
          <w:p>
            <w:pPr>
              <w:ind w:left="400"/>
              <w:spacing w:after="0"/>
              <w:rPr>
                <w:sz w:val="20"/>
                <w:szCs w:val="20"/>
                <w:color w:val="auto"/>
              </w:rPr>
            </w:pPr>
            <w:r>
              <w:rPr>
                <w:rFonts w:ascii="Arial" w:cs="Arial" w:eastAsia="Arial" w:hAnsi="Arial"/>
                <w:sz w:val="18"/>
                <w:szCs w:val="18"/>
                <w:color w:val="auto"/>
              </w:rPr>
              <w:t>Reliance by the Agents, the Issuing Banks and the Swing Line Lenders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133</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8.05</w:t>
            </w:r>
          </w:p>
        </w:tc>
        <w:tc>
          <w:tcPr>
            <w:tcW w:w="7520" w:type="dxa"/>
            <w:vAlign w:val="bottom"/>
          </w:tcPr>
          <w:p>
            <w:pPr>
              <w:ind w:left="400"/>
              <w:spacing w:after="0"/>
              <w:rPr>
                <w:sz w:val="20"/>
                <w:szCs w:val="20"/>
                <w:color w:val="auto"/>
              </w:rPr>
            </w:pPr>
            <w:r>
              <w:rPr>
                <w:rFonts w:ascii="Arial" w:cs="Arial" w:eastAsia="Arial" w:hAnsi="Arial"/>
                <w:sz w:val="18"/>
                <w:szCs w:val="18"/>
                <w:color w:val="auto"/>
              </w:rPr>
              <w:t>Delegation of Duties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134</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8.06</w:t>
            </w:r>
          </w:p>
        </w:tc>
        <w:tc>
          <w:tcPr>
            <w:tcW w:w="7520" w:type="dxa"/>
            <w:vAlign w:val="bottom"/>
          </w:tcPr>
          <w:p>
            <w:pPr>
              <w:ind w:left="400"/>
              <w:spacing w:after="0"/>
              <w:rPr>
                <w:sz w:val="20"/>
                <w:szCs w:val="20"/>
                <w:color w:val="auto"/>
              </w:rPr>
            </w:pPr>
            <w:r>
              <w:rPr>
                <w:rFonts w:ascii="Arial" w:cs="Arial" w:eastAsia="Arial" w:hAnsi="Arial"/>
                <w:sz w:val="18"/>
                <w:szCs w:val="18"/>
                <w:color w:val="auto"/>
              </w:rPr>
              <w:t>Resignation of an Agent or a Swing Line Lender</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134</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8.07</w:t>
            </w:r>
          </w:p>
        </w:tc>
        <w:tc>
          <w:tcPr>
            <w:tcW w:w="7520" w:type="dxa"/>
            <w:vAlign w:val="bottom"/>
          </w:tcPr>
          <w:p>
            <w:pPr>
              <w:ind w:left="400"/>
              <w:spacing w:after="0"/>
              <w:rPr>
                <w:sz w:val="20"/>
                <w:szCs w:val="20"/>
                <w:color w:val="auto"/>
              </w:rPr>
            </w:pPr>
            <w:r>
              <w:rPr>
                <w:rFonts w:ascii="Arial" w:cs="Arial" w:eastAsia="Arial" w:hAnsi="Arial"/>
                <w:sz w:val="18"/>
                <w:szCs w:val="18"/>
                <w:color w:val="auto"/>
              </w:rPr>
              <w:t>Non-Reliance on Agents and Other Lenders; Certain Acknowledgments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135</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8.08</w:t>
            </w:r>
          </w:p>
        </w:tc>
        <w:tc>
          <w:tcPr>
            <w:tcW w:w="7520" w:type="dxa"/>
            <w:vAlign w:val="bottom"/>
          </w:tcPr>
          <w:p>
            <w:pPr>
              <w:ind w:left="400"/>
              <w:spacing w:after="0"/>
              <w:rPr>
                <w:sz w:val="20"/>
                <w:szCs w:val="20"/>
                <w:color w:val="auto"/>
              </w:rPr>
            </w:pPr>
            <w:r>
              <w:rPr>
                <w:rFonts w:ascii="Arial" w:cs="Arial" w:eastAsia="Arial" w:hAnsi="Arial"/>
                <w:sz w:val="18"/>
                <w:szCs w:val="18"/>
                <w:color w:val="auto"/>
              </w:rPr>
              <w:t>Indemnification</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136</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8.09</w:t>
            </w:r>
          </w:p>
        </w:tc>
        <w:tc>
          <w:tcPr>
            <w:tcW w:w="7520" w:type="dxa"/>
            <w:vAlign w:val="bottom"/>
          </w:tcPr>
          <w:p>
            <w:pPr>
              <w:ind w:left="400"/>
              <w:spacing w:after="0"/>
              <w:rPr>
                <w:sz w:val="20"/>
                <w:szCs w:val="20"/>
                <w:color w:val="auto"/>
              </w:rPr>
            </w:pPr>
            <w:r>
              <w:rPr>
                <w:rFonts w:ascii="Arial" w:cs="Arial" w:eastAsia="Arial" w:hAnsi="Arial"/>
                <w:sz w:val="18"/>
                <w:szCs w:val="18"/>
                <w:color w:val="auto"/>
              </w:rPr>
              <w:t>Collateral and Guaranty Matters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136</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SECTION 8.10</w:t>
            </w:r>
          </w:p>
        </w:tc>
        <w:tc>
          <w:tcPr>
            <w:tcW w:w="7520" w:type="dxa"/>
            <w:vAlign w:val="bottom"/>
          </w:tcPr>
          <w:p>
            <w:pPr>
              <w:ind w:left="400"/>
              <w:spacing w:after="0"/>
              <w:rPr>
                <w:sz w:val="20"/>
                <w:szCs w:val="20"/>
                <w:color w:val="auto"/>
              </w:rPr>
            </w:pPr>
            <w:r>
              <w:rPr>
                <w:rFonts w:ascii="Arial" w:cs="Arial" w:eastAsia="Arial" w:hAnsi="Arial"/>
                <w:sz w:val="18"/>
                <w:szCs w:val="18"/>
                <w:color w:val="auto"/>
              </w:rPr>
              <w:t>No Other Duties, etc.</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138</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8.11</w:t>
            </w:r>
          </w:p>
        </w:tc>
        <w:tc>
          <w:tcPr>
            <w:tcW w:w="7520" w:type="dxa"/>
            <w:vAlign w:val="bottom"/>
          </w:tcPr>
          <w:p>
            <w:pPr>
              <w:ind w:left="400"/>
              <w:spacing w:after="0"/>
              <w:rPr>
                <w:sz w:val="20"/>
                <w:szCs w:val="20"/>
                <w:color w:val="auto"/>
              </w:rPr>
            </w:pPr>
            <w:r>
              <w:rPr>
                <w:rFonts w:ascii="Arial" w:cs="Arial" w:eastAsia="Arial" w:hAnsi="Arial"/>
                <w:sz w:val="18"/>
                <w:szCs w:val="18"/>
                <w:color w:val="auto"/>
              </w:rPr>
              <w:t>Agents May File Proofs of Claim</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138</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8.12</w:t>
            </w:r>
          </w:p>
        </w:tc>
        <w:tc>
          <w:tcPr>
            <w:tcW w:w="7520" w:type="dxa"/>
            <w:vAlign w:val="bottom"/>
          </w:tcPr>
          <w:p>
            <w:pPr>
              <w:ind w:left="400"/>
              <w:spacing w:after="0"/>
              <w:rPr>
                <w:sz w:val="20"/>
                <w:szCs w:val="20"/>
                <w:color w:val="auto"/>
              </w:rPr>
            </w:pPr>
            <w:r>
              <w:rPr>
                <w:rFonts w:ascii="Arial" w:cs="Arial" w:eastAsia="Arial" w:hAnsi="Arial"/>
                <w:sz w:val="18"/>
                <w:szCs w:val="18"/>
                <w:color w:val="auto"/>
              </w:rPr>
              <w:t>Certain ERISA Matters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139</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8.13</w:t>
            </w:r>
          </w:p>
        </w:tc>
        <w:tc>
          <w:tcPr>
            <w:tcW w:w="7520" w:type="dxa"/>
            <w:vAlign w:val="bottom"/>
          </w:tcPr>
          <w:p>
            <w:pPr>
              <w:ind w:left="400"/>
              <w:spacing w:after="0"/>
              <w:rPr>
                <w:sz w:val="20"/>
                <w:szCs w:val="20"/>
                <w:color w:val="auto"/>
              </w:rPr>
            </w:pPr>
            <w:r>
              <w:rPr>
                <w:rFonts w:ascii="Arial" w:cs="Arial" w:eastAsia="Arial" w:hAnsi="Arial"/>
                <w:sz w:val="18"/>
                <w:szCs w:val="18"/>
                <w:color w:val="auto"/>
              </w:rPr>
              <w:t>Erroneous Payments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140</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7520" w:type="dxa"/>
            <w:vAlign w:val="bottom"/>
          </w:tcPr>
          <w:p>
            <w:pPr>
              <w:spacing w:after="0"/>
              <w:rPr>
                <w:sz w:val="18"/>
                <w:szCs w:val="18"/>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142</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9.01</w:t>
            </w:r>
          </w:p>
        </w:tc>
        <w:tc>
          <w:tcPr>
            <w:tcW w:w="7520" w:type="dxa"/>
            <w:vAlign w:val="bottom"/>
          </w:tcPr>
          <w:p>
            <w:pPr>
              <w:ind w:left="400"/>
              <w:spacing w:after="0"/>
              <w:rPr>
                <w:sz w:val="20"/>
                <w:szCs w:val="20"/>
                <w:color w:val="auto"/>
              </w:rPr>
            </w:pPr>
            <w:r>
              <w:rPr>
                <w:rFonts w:ascii="Arial" w:cs="Arial" w:eastAsia="Arial" w:hAnsi="Arial"/>
                <w:sz w:val="18"/>
                <w:szCs w:val="18"/>
                <w:color w:val="auto"/>
              </w:rPr>
              <w:t>Notices</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142</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SECTION 9.02</w:t>
            </w:r>
          </w:p>
        </w:tc>
        <w:tc>
          <w:tcPr>
            <w:tcW w:w="7520" w:type="dxa"/>
            <w:vAlign w:val="bottom"/>
          </w:tcPr>
          <w:p>
            <w:pPr>
              <w:ind w:left="400"/>
              <w:spacing w:after="0"/>
              <w:rPr>
                <w:sz w:val="20"/>
                <w:szCs w:val="20"/>
                <w:color w:val="auto"/>
              </w:rPr>
            </w:pPr>
            <w:r>
              <w:rPr>
                <w:rFonts w:ascii="Arial" w:cs="Arial" w:eastAsia="Arial" w:hAnsi="Arial"/>
                <w:sz w:val="18"/>
                <w:szCs w:val="18"/>
                <w:color w:val="auto"/>
              </w:rPr>
              <w:t>Survival of Agreement</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93"/>
              </w:rPr>
              <w:t>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iii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00"/>
          </w:cols>
          <w:pgMar w:left="320" w:top="114" w:right="37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(continued)</w:t>
      </w:r>
    </w:p>
    <w:p>
      <w:pPr>
        <w:spacing w:after="0" w:line="6"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Arial" w:cs="Arial" w:eastAsia="Arial" w:hAnsi="Arial"/>
                <w:sz w:val="18"/>
                <w:szCs w:val="18"/>
                <w:color w:val="auto"/>
              </w:rPr>
              <w:t>SECTION 9.03</w:t>
            </w:r>
          </w:p>
        </w:tc>
        <w:tc>
          <w:tcPr>
            <w:tcW w:w="8380" w:type="dxa"/>
            <w:vAlign w:val="bottom"/>
          </w:tcPr>
          <w:p>
            <w:pPr>
              <w:ind w:left="1260"/>
              <w:spacing w:after="0"/>
              <w:rPr>
                <w:sz w:val="20"/>
                <w:szCs w:val="20"/>
                <w:color w:val="auto"/>
              </w:rPr>
            </w:pPr>
            <w:r>
              <w:rPr>
                <w:rFonts w:ascii="Arial" w:cs="Arial" w:eastAsia="Arial" w:hAnsi="Arial"/>
                <w:sz w:val="18"/>
                <w:szCs w:val="18"/>
                <w:color w:val="auto"/>
              </w:rPr>
              <w:t>Binding Effect</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145</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9.04</w:t>
            </w:r>
          </w:p>
        </w:tc>
        <w:tc>
          <w:tcPr>
            <w:tcW w:w="8380" w:type="dxa"/>
            <w:vAlign w:val="bottom"/>
          </w:tcPr>
          <w:p>
            <w:pPr>
              <w:ind w:left="1260"/>
              <w:spacing w:after="0"/>
              <w:rPr>
                <w:sz w:val="20"/>
                <w:szCs w:val="20"/>
                <w:color w:val="auto"/>
              </w:rPr>
            </w:pPr>
            <w:r>
              <w:rPr>
                <w:rFonts w:ascii="Arial" w:cs="Arial" w:eastAsia="Arial" w:hAnsi="Arial"/>
                <w:sz w:val="18"/>
                <w:szCs w:val="18"/>
                <w:color w:val="auto"/>
              </w:rPr>
              <w:t>Successors and Assigns</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145</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9.05</w:t>
            </w:r>
          </w:p>
        </w:tc>
        <w:tc>
          <w:tcPr>
            <w:tcW w:w="8380" w:type="dxa"/>
            <w:vAlign w:val="bottom"/>
          </w:tcPr>
          <w:p>
            <w:pPr>
              <w:ind w:left="1260"/>
              <w:spacing w:after="0"/>
              <w:rPr>
                <w:sz w:val="20"/>
                <w:szCs w:val="20"/>
                <w:color w:val="auto"/>
              </w:rPr>
            </w:pPr>
            <w:r>
              <w:rPr>
                <w:rFonts w:ascii="Arial" w:cs="Arial" w:eastAsia="Arial" w:hAnsi="Arial"/>
                <w:sz w:val="18"/>
                <w:szCs w:val="18"/>
                <w:color w:val="auto"/>
              </w:rPr>
              <w:t>Expenses; Indemnity</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150</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9.06</w:t>
            </w:r>
          </w:p>
        </w:tc>
        <w:tc>
          <w:tcPr>
            <w:tcW w:w="8380" w:type="dxa"/>
            <w:vAlign w:val="bottom"/>
          </w:tcPr>
          <w:p>
            <w:pPr>
              <w:ind w:left="1260"/>
              <w:spacing w:after="0"/>
              <w:rPr>
                <w:sz w:val="20"/>
                <w:szCs w:val="20"/>
                <w:color w:val="auto"/>
              </w:rPr>
            </w:pPr>
            <w:r>
              <w:rPr>
                <w:rFonts w:ascii="Arial" w:cs="Arial" w:eastAsia="Arial" w:hAnsi="Arial"/>
                <w:sz w:val="18"/>
                <w:szCs w:val="18"/>
                <w:color w:val="auto"/>
              </w:rPr>
              <w:t>Right of Setoff</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152</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9.07</w:t>
            </w:r>
          </w:p>
        </w:tc>
        <w:tc>
          <w:tcPr>
            <w:tcW w:w="8380" w:type="dxa"/>
            <w:vAlign w:val="bottom"/>
          </w:tcPr>
          <w:p>
            <w:pPr>
              <w:ind w:left="1260"/>
              <w:spacing w:after="0"/>
              <w:rPr>
                <w:sz w:val="20"/>
                <w:szCs w:val="20"/>
                <w:color w:val="auto"/>
              </w:rPr>
            </w:pPr>
            <w:r>
              <w:rPr>
                <w:rFonts w:ascii="Arial" w:cs="Arial" w:eastAsia="Arial" w:hAnsi="Arial"/>
                <w:sz w:val="18"/>
                <w:szCs w:val="18"/>
                <w:color w:val="auto"/>
              </w:rPr>
              <w:t>Applicable Law</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153</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9.08</w:t>
            </w:r>
          </w:p>
        </w:tc>
        <w:tc>
          <w:tcPr>
            <w:tcW w:w="8380" w:type="dxa"/>
            <w:vAlign w:val="bottom"/>
          </w:tcPr>
          <w:p>
            <w:pPr>
              <w:ind w:left="1260"/>
              <w:spacing w:after="0"/>
              <w:rPr>
                <w:sz w:val="20"/>
                <w:szCs w:val="20"/>
                <w:color w:val="auto"/>
              </w:rPr>
            </w:pPr>
            <w:r>
              <w:rPr>
                <w:rFonts w:ascii="Arial" w:cs="Arial" w:eastAsia="Arial" w:hAnsi="Arial"/>
                <w:sz w:val="18"/>
                <w:szCs w:val="18"/>
                <w:color w:val="auto"/>
              </w:rPr>
              <w:t>Waivers; Amendment</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153</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9.09</w:t>
            </w:r>
          </w:p>
        </w:tc>
        <w:tc>
          <w:tcPr>
            <w:tcW w:w="8380" w:type="dxa"/>
            <w:vAlign w:val="bottom"/>
          </w:tcPr>
          <w:p>
            <w:pPr>
              <w:ind w:left="1260"/>
              <w:spacing w:after="0"/>
              <w:rPr>
                <w:sz w:val="20"/>
                <w:szCs w:val="20"/>
                <w:color w:val="auto"/>
              </w:rPr>
            </w:pPr>
            <w:r>
              <w:rPr>
                <w:rFonts w:ascii="Arial" w:cs="Arial" w:eastAsia="Arial" w:hAnsi="Arial"/>
                <w:sz w:val="18"/>
                <w:szCs w:val="18"/>
                <w:color w:val="auto"/>
              </w:rPr>
              <w:t>Interest Rate Limitation</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157</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9.10</w:t>
            </w:r>
          </w:p>
        </w:tc>
        <w:tc>
          <w:tcPr>
            <w:tcW w:w="8380" w:type="dxa"/>
            <w:vAlign w:val="bottom"/>
          </w:tcPr>
          <w:p>
            <w:pPr>
              <w:ind w:left="1260"/>
              <w:spacing w:after="0"/>
              <w:rPr>
                <w:sz w:val="20"/>
                <w:szCs w:val="20"/>
                <w:color w:val="auto"/>
              </w:rPr>
            </w:pPr>
            <w:r>
              <w:rPr>
                <w:rFonts w:ascii="Arial" w:cs="Arial" w:eastAsia="Arial" w:hAnsi="Arial"/>
                <w:sz w:val="18"/>
                <w:szCs w:val="18"/>
                <w:color w:val="auto"/>
              </w:rPr>
              <w:t>Entire Agreement</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157</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9.11</w:t>
            </w:r>
          </w:p>
        </w:tc>
        <w:tc>
          <w:tcPr>
            <w:tcW w:w="8380" w:type="dxa"/>
            <w:vAlign w:val="bottom"/>
          </w:tcPr>
          <w:p>
            <w:pPr>
              <w:ind w:left="1260"/>
              <w:spacing w:after="0"/>
              <w:rPr>
                <w:sz w:val="20"/>
                <w:szCs w:val="20"/>
                <w:color w:val="auto"/>
              </w:rPr>
            </w:pPr>
            <w:r>
              <w:rPr>
                <w:rFonts w:ascii="Arial" w:cs="Arial" w:eastAsia="Arial" w:hAnsi="Arial"/>
                <w:sz w:val="18"/>
                <w:szCs w:val="18"/>
                <w:color w:val="auto"/>
              </w:rPr>
              <w:t>WAIVER OF JURY TRIAL</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157</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9.12</w:t>
            </w:r>
          </w:p>
        </w:tc>
        <w:tc>
          <w:tcPr>
            <w:tcW w:w="8380" w:type="dxa"/>
            <w:vAlign w:val="bottom"/>
          </w:tcPr>
          <w:p>
            <w:pPr>
              <w:ind w:left="1260"/>
              <w:spacing w:after="0"/>
              <w:rPr>
                <w:sz w:val="20"/>
                <w:szCs w:val="20"/>
                <w:color w:val="auto"/>
              </w:rPr>
            </w:pPr>
            <w:r>
              <w:rPr>
                <w:rFonts w:ascii="Arial" w:cs="Arial" w:eastAsia="Arial" w:hAnsi="Arial"/>
                <w:sz w:val="18"/>
                <w:szCs w:val="18"/>
                <w:color w:val="auto"/>
              </w:rPr>
              <w:t>Severability</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157</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9.13</w:t>
            </w:r>
          </w:p>
        </w:tc>
        <w:tc>
          <w:tcPr>
            <w:tcW w:w="8380" w:type="dxa"/>
            <w:vAlign w:val="bottom"/>
          </w:tcPr>
          <w:p>
            <w:pPr>
              <w:ind w:left="1260"/>
              <w:spacing w:after="0"/>
              <w:rPr>
                <w:sz w:val="20"/>
                <w:szCs w:val="20"/>
                <w:color w:val="auto"/>
              </w:rPr>
            </w:pPr>
            <w:r>
              <w:rPr>
                <w:rFonts w:ascii="Arial" w:cs="Arial" w:eastAsia="Arial" w:hAnsi="Arial"/>
                <w:sz w:val="18"/>
                <w:szCs w:val="18"/>
                <w:color w:val="auto"/>
              </w:rPr>
              <w:t>Counterparts</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158</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9.14</w:t>
            </w:r>
          </w:p>
        </w:tc>
        <w:tc>
          <w:tcPr>
            <w:tcW w:w="8380" w:type="dxa"/>
            <w:vAlign w:val="bottom"/>
          </w:tcPr>
          <w:p>
            <w:pPr>
              <w:ind w:left="1260"/>
              <w:spacing w:after="0"/>
              <w:rPr>
                <w:sz w:val="20"/>
                <w:szCs w:val="20"/>
                <w:color w:val="auto"/>
              </w:rPr>
            </w:pPr>
            <w:r>
              <w:rPr>
                <w:rFonts w:ascii="Arial" w:cs="Arial" w:eastAsia="Arial" w:hAnsi="Arial"/>
                <w:sz w:val="18"/>
                <w:szCs w:val="18"/>
                <w:color w:val="auto"/>
              </w:rPr>
              <w:t>Headings</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159</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9.15</w:t>
            </w:r>
          </w:p>
        </w:tc>
        <w:tc>
          <w:tcPr>
            <w:tcW w:w="8380" w:type="dxa"/>
            <w:vAlign w:val="bottom"/>
          </w:tcPr>
          <w:p>
            <w:pPr>
              <w:ind w:left="1260"/>
              <w:spacing w:after="0"/>
              <w:rPr>
                <w:sz w:val="20"/>
                <w:szCs w:val="20"/>
                <w:color w:val="auto"/>
              </w:rPr>
            </w:pPr>
            <w:r>
              <w:rPr>
                <w:rFonts w:ascii="Arial" w:cs="Arial" w:eastAsia="Arial" w:hAnsi="Arial"/>
                <w:sz w:val="18"/>
                <w:szCs w:val="18"/>
                <w:color w:val="auto"/>
              </w:rPr>
              <w:t>Jurisdiction; Consent to Service of Process</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159</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9.16</w:t>
            </w:r>
          </w:p>
        </w:tc>
        <w:tc>
          <w:tcPr>
            <w:tcW w:w="8380" w:type="dxa"/>
            <w:vAlign w:val="bottom"/>
          </w:tcPr>
          <w:p>
            <w:pPr>
              <w:ind w:left="1260"/>
              <w:spacing w:after="0"/>
              <w:rPr>
                <w:sz w:val="20"/>
                <w:szCs w:val="20"/>
                <w:color w:val="auto"/>
              </w:rPr>
            </w:pPr>
            <w:r>
              <w:rPr>
                <w:rFonts w:ascii="Arial" w:cs="Arial" w:eastAsia="Arial" w:hAnsi="Arial"/>
                <w:sz w:val="18"/>
                <w:szCs w:val="18"/>
                <w:color w:val="auto"/>
              </w:rPr>
              <w:t>Confidentiality</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160</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9.17</w:t>
            </w:r>
          </w:p>
        </w:tc>
        <w:tc>
          <w:tcPr>
            <w:tcW w:w="8380" w:type="dxa"/>
            <w:vAlign w:val="bottom"/>
          </w:tcPr>
          <w:p>
            <w:pPr>
              <w:ind w:left="1260"/>
              <w:spacing w:after="0"/>
              <w:rPr>
                <w:sz w:val="20"/>
                <w:szCs w:val="20"/>
                <w:color w:val="auto"/>
              </w:rPr>
            </w:pPr>
            <w:r>
              <w:rPr>
                <w:rFonts w:ascii="Arial" w:cs="Arial" w:eastAsia="Arial" w:hAnsi="Arial"/>
                <w:sz w:val="18"/>
                <w:szCs w:val="18"/>
                <w:color w:val="auto"/>
              </w:rPr>
              <w:t>Judgment Currency</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160</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9.18</w:t>
            </w:r>
          </w:p>
        </w:tc>
        <w:tc>
          <w:tcPr>
            <w:tcW w:w="8380" w:type="dxa"/>
            <w:vAlign w:val="bottom"/>
          </w:tcPr>
          <w:p>
            <w:pPr>
              <w:ind w:left="1260"/>
              <w:spacing w:after="0"/>
              <w:rPr>
                <w:sz w:val="20"/>
                <w:szCs w:val="20"/>
                <w:color w:val="auto"/>
              </w:rPr>
            </w:pPr>
            <w:r>
              <w:rPr>
                <w:rFonts w:ascii="Arial" w:cs="Arial" w:eastAsia="Arial" w:hAnsi="Arial"/>
                <w:sz w:val="18"/>
                <w:szCs w:val="18"/>
                <w:color w:val="auto"/>
              </w:rPr>
              <w:t>Exculpation Provisions</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161</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9.19</w:t>
            </w:r>
          </w:p>
        </w:tc>
        <w:tc>
          <w:tcPr>
            <w:tcW w:w="8380" w:type="dxa"/>
            <w:vAlign w:val="bottom"/>
          </w:tcPr>
          <w:p>
            <w:pPr>
              <w:ind w:left="1260"/>
              <w:spacing w:after="0"/>
              <w:rPr>
                <w:sz w:val="20"/>
                <w:szCs w:val="20"/>
                <w:color w:val="auto"/>
              </w:rPr>
            </w:pPr>
            <w:r>
              <w:rPr>
                <w:rFonts w:ascii="Arial" w:cs="Arial" w:eastAsia="Arial" w:hAnsi="Arial"/>
                <w:sz w:val="18"/>
                <w:szCs w:val="18"/>
                <w:color w:val="auto"/>
              </w:rPr>
              <w:t>Payments Set Aside</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161</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9.20</w:t>
            </w:r>
          </w:p>
        </w:tc>
        <w:tc>
          <w:tcPr>
            <w:tcW w:w="8380" w:type="dxa"/>
            <w:vAlign w:val="bottom"/>
          </w:tcPr>
          <w:p>
            <w:pPr>
              <w:ind w:left="1260"/>
              <w:spacing w:after="0"/>
              <w:rPr>
                <w:sz w:val="20"/>
                <w:szCs w:val="20"/>
                <w:color w:val="auto"/>
              </w:rPr>
            </w:pPr>
            <w:r>
              <w:rPr>
                <w:rFonts w:ascii="Arial" w:cs="Arial" w:eastAsia="Arial" w:hAnsi="Arial"/>
                <w:sz w:val="18"/>
                <w:szCs w:val="18"/>
                <w:color w:val="auto"/>
              </w:rPr>
              <w:t>Termination</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162</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9.21</w:t>
            </w:r>
          </w:p>
        </w:tc>
        <w:tc>
          <w:tcPr>
            <w:tcW w:w="8380" w:type="dxa"/>
            <w:vAlign w:val="bottom"/>
          </w:tcPr>
          <w:p>
            <w:pPr>
              <w:ind w:left="1260"/>
              <w:spacing w:after="0"/>
              <w:rPr>
                <w:sz w:val="20"/>
                <w:szCs w:val="20"/>
                <w:color w:val="auto"/>
              </w:rPr>
            </w:pPr>
            <w:r>
              <w:rPr>
                <w:rFonts w:ascii="Arial" w:cs="Arial" w:eastAsia="Arial" w:hAnsi="Arial"/>
                <w:sz w:val="18"/>
                <w:szCs w:val="18"/>
                <w:color w:val="auto"/>
              </w:rPr>
              <w:t>Patriot Act Notice</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162</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9.22</w:t>
            </w:r>
          </w:p>
        </w:tc>
        <w:tc>
          <w:tcPr>
            <w:tcW w:w="8380" w:type="dxa"/>
            <w:vAlign w:val="bottom"/>
          </w:tcPr>
          <w:p>
            <w:pPr>
              <w:ind w:left="1260"/>
              <w:spacing w:after="0"/>
              <w:rPr>
                <w:sz w:val="20"/>
                <w:szCs w:val="20"/>
                <w:color w:val="auto"/>
              </w:rPr>
            </w:pPr>
            <w:r>
              <w:rPr>
                <w:rFonts w:ascii="Arial" w:cs="Arial" w:eastAsia="Arial" w:hAnsi="Arial"/>
                <w:sz w:val="18"/>
                <w:szCs w:val="18"/>
                <w:color w:val="auto"/>
              </w:rPr>
              <w:t>Public Offer</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162</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9.23</w:t>
            </w:r>
          </w:p>
        </w:tc>
        <w:tc>
          <w:tcPr>
            <w:tcW w:w="8380" w:type="dxa"/>
            <w:vAlign w:val="bottom"/>
          </w:tcPr>
          <w:p>
            <w:pPr>
              <w:ind w:left="1260"/>
              <w:spacing w:after="0"/>
              <w:rPr>
                <w:sz w:val="20"/>
                <w:szCs w:val="20"/>
                <w:color w:val="auto"/>
              </w:rPr>
            </w:pPr>
            <w:r>
              <w:rPr>
                <w:rFonts w:ascii="Arial" w:cs="Arial" w:eastAsia="Arial" w:hAnsi="Arial"/>
                <w:sz w:val="18"/>
                <w:szCs w:val="18"/>
                <w:color w:val="auto"/>
              </w:rPr>
              <w:t>Keepwell</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163</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9.24</w:t>
            </w:r>
          </w:p>
        </w:tc>
        <w:tc>
          <w:tcPr>
            <w:tcW w:w="8380" w:type="dxa"/>
            <w:vAlign w:val="bottom"/>
          </w:tcPr>
          <w:p>
            <w:pPr>
              <w:ind w:left="126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163</w:t>
            </w:r>
          </w:p>
        </w:tc>
      </w:tr>
      <w:tr>
        <w:trPr>
          <w:trHeight w:val="209"/>
        </w:trPr>
        <w:tc>
          <w:tcPr>
            <w:tcW w:w="2480" w:type="dxa"/>
            <w:vAlign w:val="bottom"/>
          </w:tcPr>
          <w:p>
            <w:pPr>
              <w:spacing w:after="0"/>
              <w:rPr>
                <w:sz w:val="20"/>
                <w:szCs w:val="20"/>
                <w:color w:val="auto"/>
              </w:rPr>
            </w:pPr>
            <w:r>
              <w:rPr>
                <w:rFonts w:ascii="Arial" w:cs="Arial" w:eastAsia="Arial" w:hAnsi="Arial"/>
                <w:sz w:val="18"/>
                <w:szCs w:val="18"/>
                <w:color w:val="auto"/>
              </w:rPr>
              <w:t>SECTION 9.25</w:t>
            </w:r>
          </w:p>
        </w:tc>
        <w:tc>
          <w:tcPr>
            <w:tcW w:w="8380" w:type="dxa"/>
            <w:vAlign w:val="bottom"/>
          </w:tcPr>
          <w:p>
            <w:pPr>
              <w:ind w:left="1260"/>
              <w:spacing w:after="0"/>
              <w:rPr>
                <w:sz w:val="20"/>
                <w:szCs w:val="20"/>
                <w:color w:val="auto"/>
              </w:rPr>
            </w:pPr>
            <w:r>
              <w:rPr>
                <w:rFonts w:ascii="Arial" w:cs="Arial" w:eastAsia="Arial" w:hAnsi="Arial"/>
                <w:sz w:val="18"/>
                <w:szCs w:val="18"/>
                <w:color w:val="auto"/>
              </w:rPr>
              <w:t>Acknowledgment Regarding Any Supported QFCs</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164</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9.26</w:t>
            </w:r>
          </w:p>
        </w:tc>
        <w:tc>
          <w:tcPr>
            <w:tcW w:w="8380" w:type="dxa"/>
            <w:vAlign w:val="bottom"/>
          </w:tcPr>
          <w:p>
            <w:pPr>
              <w:ind w:left="1260"/>
              <w:spacing w:after="0"/>
              <w:rPr>
                <w:sz w:val="20"/>
                <w:szCs w:val="20"/>
                <w:color w:val="auto"/>
              </w:rPr>
            </w:pPr>
            <w:r>
              <w:rPr>
                <w:rFonts w:ascii="Arial" w:cs="Arial" w:eastAsia="Arial" w:hAnsi="Arial"/>
                <w:sz w:val="18"/>
                <w:szCs w:val="18"/>
                <w:color w:val="auto"/>
              </w:rPr>
              <w:t>Recognition of Hong Kong Stay Power</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164</w:t>
            </w: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SECTION 9.27</w:t>
            </w:r>
          </w:p>
        </w:tc>
        <w:tc>
          <w:tcPr>
            <w:tcW w:w="8380" w:type="dxa"/>
            <w:vAlign w:val="bottom"/>
          </w:tcPr>
          <w:p>
            <w:pPr>
              <w:ind w:left="1260"/>
              <w:spacing w:after="0"/>
              <w:rPr>
                <w:sz w:val="20"/>
                <w:szCs w:val="20"/>
                <w:color w:val="auto"/>
              </w:rPr>
            </w:pPr>
            <w:r>
              <w:rPr>
                <w:rFonts w:ascii="Arial" w:cs="Arial" w:eastAsia="Arial" w:hAnsi="Arial"/>
                <w:sz w:val="18"/>
                <w:szCs w:val="18"/>
                <w:color w:val="auto"/>
              </w:rPr>
              <w:t>Existing Credit Agreement</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iv</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00"/>
          </w:cols>
          <w:pgMar w:left="320" w:top="114" w:right="379" w:bottom="1440" w:gutter="0" w:footer="0" w:header="0"/>
        </w:sectPr>
      </w:pPr>
    </w:p>
    <w:bookmarkStart w:id="10" w:name="page11"/>
    <w:bookmarkEnd w:id="10"/>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1.01(a)</w:t>
      </w:r>
      <w:r>
        <w:rPr>
          <w:sz w:val="20"/>
          <w:szCs w:val="20"/>
          <w:color w:val="auto"/>
        </w:rPr>
        <w:tab/>
      </w:r>
      <w:r>
        <w:rPr>
          <w:rFonts w:ascii="Times New Roman" w:cs="Times New Roman" w:eastAsia="Times New Roman" w:hAnsi="Times New Roman"/>
          <w:sz w:val="21"/>
          <w:szCs w:val="21"/>
          <w:color w:val="auto"/>
        </w:rPr>
        <w:t>Rolled Letters of Credit</w:t>
      </w:r>
    </w:p>
    <w:p>
      <w:pPr>
        <w:spacing w:after="0" w:line="2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Schedule 1.01(b)</w:t>
      </w:r>
      <w:r>
        <w:rPr>
          <w:sz w:val="20"/>
          <w:szCs w:val="20"/>
          <w:color w:val="auto"/>
        </w:rPr>
        <w:tab/>
      </w:r>
      <w:r>
        <w:rPr>
          <w:rFonts w:ascii="Times New Roman" w:cs="Times New Roman" w:eastAsia="Times New Roman" w:hAnsi="Times New Roman"/>
          <w:sz w:val="21"/>
          <w:szCs w:val="21"/>
          <w:color w:val="auto"/>
        </w:rPr>
        <w:t>U.S. Subsidiary Guarantors</w:t>
      </w:r>
    </w:p>
    <w:p>
      <w:pPr>
        <w:spacing w:after="0" w:line="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1.01(c)</w:t>
      </w:r>
      <w:r>
        <w:rPr>
          <w:sz w:val="20"/>
          <w:szCs w:val="20"/>
          <w:color w:val="auto"/>
        </w:rPr>
        <w:tab/>
      </w:r>
      <w:r>
        <w:rPr>
          <w:rFonts w:ascii="Times New Roman" w:cs="Times New Roman" w:eastAsia="Times New Roman" w:hAnsi="Times New Roman"/>
          <w:sz w:val="21"/>
          <w:szCs w:val="21"/>
          <w:color w:val="auto"/>
        </w:rPr>
        <w:t>Canadian Subsidiary Guarantors</w:t>
      </w:r>
    </w:p>
    <w:p>
      <w:pPr>
        <w:spacing w:after="0" w:line="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1.01(d)</w:t>
      </w:r>
      <w:r>
        <w:rPr>
          <w:sz w:val="20"/>
          <w:szCs w:val="20"/>
          <w:color w:val="auto"/>
        </w:rPr>
        <w:tab/>
      </w:r>
      <w:r>
        <w:rPr>
          <w:rFonts w:ascii="Times New Roman" w:cs="Times New Roman" w:eastAsia="Times New Roman" w:hAnsi="Times New Roman"/>
          <w:sz w:val="21"/>
          <w:szCs w:val="21"/>
          <w:color w:val="auto"/>
        </w:rPr>
        <w:t>Australian Subsidiary Guarantors</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2.01</w:t>
      </w:r>
      <w:r>
        <w:rPr>
          <w:sz w:val="20"/>
          <w:szCs w:val="20"/>
          <w:color w:val="auto"/>
        </w:rPr>
        <w:tab/>
      </w:r>
      <w:r>
        <w:rPr>
          <w:rFonts w:ascii="Times New Roman" w:cs="Times New Roman" w:eastAsia="Times New Roman" w:hAnsi="Times New Roman"/>
          <w:sz w:val="21"/>
          <w:szCs w:val="21"/>
          <w:color w:val="auto"/>
        </w:rPr>
        <w:t>Lenders and Commitments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2.21</w:t>
      </w:r>
      <w:r>
        <w:rPr>
          <w:sz w:val="20"/>
          <w:szCs w:val="20"/>
          <w:color w:val="auto"/>
        </w:rPr>
        <w:tab/>
      </w:r>
      <w:r>
        <w:rPr>
          <w:rFonts w:ascii="Times New Roman" w:cs="Times New Roman" w:eastAsia="Times New Roman" w:hAnsi="Times New Roman"/>
          <w:sz w:val="21"/>
          <w:szCs w:val="21"/>
          <w:color w:val="auto"/>
        </w:rPr>
        <w:t>L/C Issuance Limits</w:t>
      </w:r>
    </w:p>
    <w:p>
      <w:pPr>
        <w:spacing w:after="0" w:line="4" w:lineRule="exact"/>
        <w:rPr>
          <w:sz w:val="20"/>
          <w:szCs w:val="20"/>
          <w:color w:val="auto"/>
        </w:rPr>
      </w:pPr>
    </w:p>
    <w:p>
      <w:pPr>
        <w:ind w:right="4299"/>
        <w:spacing w:after="0" w:line="244" w:lineRule="auto"/>
        <w:rPr>
          <w:sz w:val="20"/>
          <w:szCs w:val="20"/>
          <w:color w:val="auto"/>
        </w:rPr>
      </w:pPr>
      <w:r>
        <w:rPr>
          <w:rFonts w:ascii="Times New Roman" w:cs="Times New Roman" w:eastAsia="Times New Roman" w:hAnsi="Times New Roman"/>
          <w:sz w:val="22"/>
          <w:szCs w:val="22"/>
          <w:color w:val="auto"/>
        </w:rPr>
        <w:t>Schedule 3.08 Subsidiaries and Special Purpose Business Entities Schedule 3.09 Litigation</w:t>
      </w:r>
    </w:p>
    <w:p>
      <w:pPr>
        <w:spacing w:after="0" w:line="1"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color w:val="auto"/>
        </w:rPr>
        <w:t>Schedule 3.16(a)</w:t>
      </w:r>
      <w:r>
        <w:rPr>
          <w:sz w:val="20"/>
          <w:szCs w:val="20"/>
          <w:color w:val="auto"/>
        </w:rPr>
        <w:tab/>
      </w:r>
      <w:r>
        <w:rPr>
          <w:rFonts w:ascii="Times New Roman" w:cs="Times New Roman" w:eastAsia="Times New Roman" w:hAnsi="Times New Roman"/>
          <w:sz w:val="21"/>
          <w:szCs w:val="21"/>
          <w:color w:val="auto"/>
        </w:rPr>
        <w:t>Unfunded Plans</w:t>
      </w:r>
    </w:p>
    <w:p>
      <w:pPr>
        <w:spacing w:after="0" w:line="1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Schedule 3.16(b)</w:t>
      </w:r>
      <w:r>
        <w:rPr>
          <w:sz w:val="20"/>
          <w:szCs w:val="20"/>
          <w:color w:val="auto"/>
        </w:rPr>
        <w:tab/>
      </w:r>
      <w:r>
        <w:rPr>
          <w:rFonts w:ascii="Times New Roman" w:cs="Times New Roman" w:eastAsia="Times New Roman" w:hAnsi="Times New Roman"/>
          <w:sz w:val="21"/>
          <w:szCs w:val="21"/>
          <w:color w:val="auto"/>
        </w:rPr>
        <w:t>Canadian Benefit Plans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3.17</w:t>
      </w:r>
      <w:r>
        <w:rPr>
          <w:sz w:val="20"/>
          <w:szCs w:val="20"/>
          <w:color w:val="auto"/>
        </w:rPr>
        <w:tab/>
      </w:r>
      <w:r>
        <w:rPr>
          <w:rFonts w:ascii="Times New Roman" w:cs="Times New Roman" w:eastAsia="Times New Roman" w:hAnsi="Times New Roman"/>
          <w:sz w:val="21"/>
          <w:szCs w:val="21"/>
          <w:color w:val="auto"/>
        </w:rPr>
        <w:t>Environmental Matters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6.01</w:t>
      </w:r>
      <w:r>
        <w:rPr>
          <w:sz w:val="20"/>
          <w:szCs w:val="20"/>
          <w:color w:val="auto"/>
        </w:rPr>
        <w:tab/>
      </w:r>
      <w:r>
        <w:rPr>
          <w:rFonts w:ascii="Times New Roman" w:cs="Times New Roman" w:eastAsia="Times New Roman" w:hAnsi="Times New Roman"/>
          <w:sz w:val="21"/>
          <w:szCs w:val="21"/>
          <w:color w:val="auto"/>
        </w:rPr>
        <w:t>Existing Indebtedness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6.02</w:t>
      </w:r>
      <w:r>
        <w:rPr>
          <w:sz w:val="20"/>
          <w:szCs w:val="20"/>
          <w:color w:val="auto"/>
        </w:rPr>
        <w:tab/>
      </w:r>
      <w:r>
        <w:rPr>
          <w:rFonts w:ascii="Times New Roman" w:cs="Times New Roman" w:eastAsia="Times New Roman" w:hAnsi="Times New Roman"/>
          <w:sz w:val="21"/>
          <w:szCs w:val="21"/>
          <w:color w:val="auto"/>
        </w:rPr>
        <w:t>Existing Liens</w:t>
      </w:r>
    </w:p>
    <w:p>
      <w:pPr>
        <w:spacing w:after="0" w:line="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Schedule 6.04</w:t>
      </w:r>
      <w:r>
        <w:rPr>
          <w:sz w:val="20"/>
          <w:szCs w:val="20"/>
          <w:color w:val="auto"/>
        </w:rPr>
        <w:tab/>
      </w:r>
      <w:r>
        <w:rPr>
          <w:rFonts w:ascii="Times New Roman" w:cs="Times New Roman" w:eastAsia="Times New Roman" w:hAnsi="Times New Roman"/>
          <w:sz w:val="21"/>
          <w:szCs w:val="21"/>
          <w:color w:val="auto"/>
        </w:rPr>
        <w:t>Existing Investments</w:t>
      </w:r>
    </w:p>
    <w:p>
      <w:pPr>
        <w:spacing w:after="0" w:line="20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Assignment and Acceptance</w:t>
      </w:r>
    </w:p>
    <w:p>
      <w:pPr>
        <w:spacing w:after="0" w:line="2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B-1</w:t>
      </w:r>
      <w:r>
        <w:rPr>
          <w:sz w:val="20"/>
          <w:szCs w:val="20"/>
          <w:color w:val="auto"/>
        </w:rPr>
        <w:tab/>
      </w:r>
      <w:r>
        <w:rPr>
          <w:rFonts w:ascii="Times New Roman" w:cs="Times New Roman" w:eastAsia="Times New Roman" w:hAnsi="Times New Roman"/>
          <w:sz w:val="21"/>
          <w:szCs w:val="21"/>
          <w:color w:val="auto"/>
        </w:rPr>
        <w:t>Form of U.S. Borrowing Request</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B-2</w:t>
      </w:r>
      <w:r>
        <w:rPr>
          <w:sz w:val="20"/>
          <w:szCs w:val="20"/>
          <w:color w:val="auto"/>
        </w:rPr>
        <w:tab/>
      </w:r>
      <w:r>
        <w:rPr>
          <w:rFonts w:ascii="Times New Roman" w:cs="Times New Roman" w:eastAsia="Times New Roman" w:hAnsi="Times New Roman"/>
          <w:sz w:val="21"/>
          <w:szCs w:val="21"/>
          <w:color w:val="auto"/>
        </w:rPr>
        <w:t>Form of Canadian Borrowing Request</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B-3</w:t>
      </w:r>
      <w:r>
        <w:rPr>
          <w:sz w:val="20"/>
          <w:szCs w:val="20"/>
          <w:color w:val="auto"/>
        </w:rPr>
        <w:tab/>
      </w:r>
      <w:r>
        <w:rPr>
          <w:rFonts w:ascii="Times New Roman" w:cs="Times New Roman" w:eastAsia="Times New Roman" w:hAnsi="Times New Roman"/>
          <w:sz w:val="21"/>
          <w:szCs w:val="21"/>
          <w:color w:val="auto"/>
        </w:rPr>
        <w:t>Form of Australian Borrowing Request</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B-4</w:t>
      </w:r>
      <w:r>
        <w:rPr>
          <w:sz w:val="20"/>
          <w:szCs w:val="20"/>
          <w:color w:val="auto"/>
        </w:rPr>
        <w:tab/>
      </w:r>
      <w:r>
        <w:rPr>
          <w:rFonts w:ascii="Times New Roman" w:cs="Times New Roman" w:eastAsia="Times New Roman" w:hAnsi="Times New Roman"/>
          <w:sz w:val="21"/>
          <w:szCs w:val="21"/>
          <w:color w:val="auto"/>
        </w:rPr>
        <w:t>Form of Swing Line Borrowing Request</w:t>
      </w:r>
    </w:p>
    <w:p>
      <w:pPr>
        <w:spacing w:after="0" w:line="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B-5</w:t>
      </w:r>
      <w:r>
        <w:rPr>
          <w:sz w:val="20"/>
          <w:szCs w:val="20"/>
          <w:color w:val="auto"/>
        </w:rPr>
        <w:tab/>
      </w:r>
      <w:r>
        <w:rPr>
          <w:rFonts w:ascii="Times New Roman" w:cs="Times New Roman" w:eastAsia="Times New Roman" w:hAnsi="Times New Roman"/>
          <w:sz w:val="21"/>
          <w:szCs w:val="21"/>
          <w:color w:val="auto"/>
        </w:rPr>
        <w:t>Form of Prepayment Notice</w:t>
      </w:r>
    </w:p>
    <w:p>
      <w:pPr>
        <w:spacing w:after="0" w:line="1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B-6</w:t>
      </w:r>
      <w:r>
        <w:rPr>
          <w:sz w:val="20"/>
          <w:szCs w:val="20"/>
          <w:color w:val="auto"/>
        </w:rPr>
        <w:tab/>
      </w:r>
      <w:r>
        <w:rPr>
          <w:rFonts w:ascii="Times New Roman" w:cs="Times New Roman" w:eastAsia="Times New Roman" w:hAnsi="Times New Roman"/>
          <w:sz w:val="21"/>
          <w:szCs w:val="21"/>
          <w:color w:val="auto"/>
        </w:rPr>
        <w:t>Form of Conversion/Continuation Notice</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C-1</w:t>
      </w:r>
      <w:r>
        <w:rPr>
          <w:sz w:val="20"/>
          <w:szCs w:val="20"/>
          <w:color w:val="auto"/>
        </w:rPr>
        <w:tab/>
      </w:r>
      <w:r>
        <w:rPr>
          <w:rFonts w:ascii="Times New Roman" w:cs="Times New Roman" w:eastAsia="Times New Roman" w:hAnsi="Times New Roman"/>
          <w:sz w:val="21"/>
          <w:szCs w:val="21"/>
          <w:color w:val="auto"/>
        </w:rPr>
        <w:t>Form of Australian Guarantee Agreement</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C-2</w:t>
      </w:r>
      <w:r>
        <w:rPr>
          <w:sz w:val="20"/>
          <w:szCs w:val="20"/>
          <w:color w:val="auto"/>
        </w:rPr>
        <w:tab/>
      </w:r>
      <w:r>
        <w:rPr>
          <w:rFonts w:ascii="Times New Roman" w:cs="Times New Roman" w:eastAsia="Times New Roman" w:hAnsi="Times New Roman"/>
          <w:sz w:val="21"/>
          <w:szCs w:val="21"/>
          <w:color w:val="auto"/>
        </w:rPr>
        <w:t>Form of Canadian Guarantee Agreement</w:t>
      </w:r>
    </w:p>
    <w:p>
      <w:pPr>
        <w:spacing w:after="0" w:line="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Exhibit C-3</w:t>
      </w:r>
      <w:r>
        <w:rPr>
          <w:sz w:val="20"/>
          <w:szCs w:val="20"/>
          <w:color w:val="auto"/>
        </w:rPr>
        <w:tab/>
      </w:r>
      <w:r>
        <w:rPr>
          <w:rFonts w:ascii="Times New Roman" w:cs="Times New Roman" w:eastAsia="Times New Roman" w:hAnsi="Times New Roman"/>
          <w:sz w:val="21"/>
          <w:szCs w:val="21"/>
          <w:color w:val="auto"/>
        </w:rPr>
        <w:t>Form of U.S. Guarantee Agreement</w:t>
      </w:r>
    </w:p>
    <w:p>
      <w:pPr>
        <w:spacing w:after="0" w:line="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D-1</w:t>
      </w:r>
      <w:r>
        <w:rPr>
          <w:sz w:val="20"/>
          <w:szCs w:val="20"/>
          <w:color w:val="auto"/>
        </w:rPr>
        <w:tab/>
      </w:r>
      <w:r>
        <w:rPr>
          <w:rFonts w:ascii="Times New Roman" w:cs="Times New Roman" w:eastAsia="Times New Roman" w:hAnsi="Times New Roman"/>
          <w:sz w:val="21"/>
          <w:szCs w:val="21"/>
          <w:color w:val="auto"/>
        </w:rPr>
        <w:t>Form of Canadian Pledge Agreement</w:t>
      </w:r>
    </w:p>
    <w:p>
      <w:pPr>
        <w:spacing w:after="0" w:line="1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D-2</w:t>
      </w:r>
      <w:r>
        <w:rPr>
          <w:sz w:val="20"/>
          <w:szCs w:val="20"/>
          <w:color w:val="auto"/>
        </w:rPr>
        <w:tab/>
      </w:r>
      <w:r>
        <w:rPr>
          <w:rFonts w:ascii="Times New Roman" w:cs="Times New Roman" w:eastAsia="Times New Roman" w:hAnsi="Times New Roman"/>
          <w:sz w:val="21"/>
          <w:szCs w:val="21"/>
          <w:color w:val="auto"/>
        </w:rPr>
        <w:t>Form of U.S. Pledge Agreement</w:t>
      </w:r>
    </w:p>
    <w:p>
      <w:pPr>
        <w:spacing w:after="0" w:line="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Exhibit E-1</w:t>
      </w:r>
      <w:r>
        <w:rPr>
          <w:sz w:val="20"/>
          <w:szCs w:val="20"/>
          <w:color w:val="auto"/>
        </w:rPr>
        <w:tab/>
      </w:r>
      <w:r>
        <w:rPr>
          <w:rFonts w:ascii="Times New Roman" w:cs="Times New Roman" w:eastAsia="Times New Roman" w:hAnsi="Times New Roman"/>
          <w:sz w:val="21"/>
          <w:szCs w:val="21"/>
          <w:color w:val="auto"/>
        </w:rPr>
        <w:t>Form of Australian Security Deed</w:t>
      </w:r>
    </w:p>
    <w:p>
      <w:pPr>
        <w:spacing w:after="0" w:line="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Exhibit E-2</w:t>
      </w:r>
      <w:r>
        <w:rPr>
          <w:sz w:val="20"/>
          <w:szCs w:val="20"/>
          <w:color w:val="auto"/>
        </w:rPr>
        <w:tab/>
      </w:r>
      <w:r>
        <w:rPr>
          <w:rFonts w:ascii="Times New Roman" w:cs="Times New Roman" w:eastAsia="Times New Roman" w:hAnsi="Times New Roman"/>
          <w:sz w:val="21"/>
          <w:szCs w:val="21"/>
          <w:color w:val="auto"/>
        </w:rPr>
        <w:t>Form of Canadian Security Agreement</w:t>
      </w:r>
    </w:p>
    <w:p>
      <w:pPr>
        <w:spacing w:after="0" w:line="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Exhibit E-3</w:t>
      </w:r>
      <w:r>
        <w:rPr>
          <w:sz w:val="20"/>
          <w:szCs w:val="20"/>
          <w:color w:val="auto"/>
        </w:rPr>
        <w:tab/>
      </w:r>
      <w:r>
        <w:rPr>
          <w:rFonts w:ascii="Times New Roman" w:cs="Times New Roman" w:eastAsia="Times New Roman" w:hAnsi="Times New Roman"/>
          <w:sz w:val="21"/>
          <w:szCs w:val="21"/>
          <w:color w:val="auto"/>
        </w:rPr>
        <w:t>Form of U.S. Security Agreement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Form of Compliance Certificate</w:t>
      </w:r>
    </w:p>
    <w:p>
      <w:pPr>
        <w:spacing w:after="0" w:line="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[Reserved]</w:t>
      </w:r>
    </w:p>
    <w:p>
      <w:pPr>
        <w:spacing w:after="0" w:line="1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2"/>
          <w:szCs w:val="22"/>
          <w:color w:val="auto"/>
        </w:rPr>
        <w:t>Exhibit H-1 – H-4</w:t>
      </w:r>
      <w:r>
        <w:rPr>
          <w:sz w:val="20"/>
          <w:szCs w:val="20"/>
          <w:color w:val="auto"/>
        </w:rPr>
        <w:tab/>
      </w:r>
      <w:r>
        <w:rPr>
          <w:rFonts w:ascii="Times New Roman" w:cs="Times New Roman" w:eastAsia="Times New Roman" w:hAnsi="Times New Roman"/>
          <w:sz w:val="21"/>
          <w:szCs w:val="21"/>
          <w:color w:val="auto"/>
        </w:rPr>
        <w:t>Forms of U.S. Tax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0139"/>
          </w:cols>
          <w:pgMar w:left="320" w:top="1422" w:right="1440" w:bottom="1440" w:gutter="0" w:footer="0" w:header="0"/>
        </w:sectPr>
      </w:pPr>
    </w:p>
    <w:bookmarkStart w:id="11" w:name="page12"/>
    <w:bookmarkEnd w:id="11"/>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AMENDED AND RESTATED SYNDICATED FACILITY AGREEMENT dated as of April 23, 2026 (as amended, restated, amended and restated, supplemented or modified from time to time,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is among CIVEO CORPORATION, a corporation incorporated under the laws of the Province of British Columbia (the “</w:t>
      </w:r>
      <w:r>
        <w:rPr>
          <w:rFonts w:ascii="Times New Roman" w:cs="Times New Roman" w:eastAsia="Times New Roman" w:hAnsi="Times New Roman"/>
          <w:sz w:val="22"/>
          <w:szCs w:val="22"/>
          <w:i w:val="1"/>
          <w:iCs w:val="1"/>
          <w:color w:val="auto"/>
        </w:rPr>
        <w:t>Parent Borrower</w:t>
      </w:r>
      <w:r>
        <w:rPr>
          <w:rFonts w:ascii="Times New Roman" w:cs="Times New Roman" w:eastAsia="Times New Roman" w:hAnsi="Times New Roman"/>
          <w:sz w:val="22"/>
          <w:szCs w:val="22"/>
          <w:color w:val="auto"/>
        </w:rPr>
        <w:t>”), CIVEO MANAGEMENT LLC, a Delaware limited liability company (“</w:t>
      </w:r>
      <w:r>
        <w:rPr>
          <w:rFonts w:ascii="Times New Roman" w:cs="Times New Roman" w:eastAsia="Times New Roman" w:hAnsi="Times New Roman"/>
          <w:sz w:val="22"/>
          <w:szCs w:val="22"/>
          <w:i w:val="1"/>
          <w:iCs w:val="1"/>
          <w:color w:val="auto"/>
        </w:rPr>
        <w:t>Civeo Management</w:t>
      </w:r>
      <w:r>
        <w:rPr>
          <w:rFonts w:ascii="Times New Roman" w:cs="Times New Roman" w:eastAsia="Times New Roman" w:hAnsi="Times New Roman"/>
          <w:sz w:val="22"/>
          <w:szCs w:val="22"/>
          <w:color w:val="auto"/>
        </w:rPr>
        <w:t>”), CIVEO USA LLC, a Delaware limited liability company (“</w:t>
      </w:r>
      <w:r>
        <w:rPr>
          <w:rFonts w:ascii="Times New Roman" w:cs="Times New Roman" w:eastAsia="Times New Roman" w:hAnsi="Times New Roman"/>
          <w:sz w:val="22"/>
          <w:szCs w:val="22"/>
          <w:i w:val="1"/>
          <w:iCs w:val="1"/>
          <w:color w:val="auto"/>
        </w:rPr>
        <w:t>Civeo USA</w:t>
      </w:r>
      <w:r>
        <w:rPr>
          <w:rFonts w:ascii="Times New Roman" w:cs="Times New Roman" w:eastAsia="Times New Roman" w:hAnsi="Times New Roman"/>
          <w:sz w:val="22"/>
          <w:szCs w:val="22"/>
          <w:color w:val="auto"/>
        </w:rPr>
        <w:t>”, and together with Civeo Management, collectively, the “</w:t>
      </w:r>
      <w:r>
        <w:rPr>
          <w:rFonts w:ascii="Times New Roman" w:cs="Times New Roman" w:eastAsia="Times New Roman" w:hAnsi="Times New Roman"/>
          <w:sz w:val="22"/>
          <w:szCs w:val="22"/>
          <w:i w:val="1"/>
          <w:iCs w:val="1"/>
          <w:color w:val="auto"/>
        </w:rPr>
        <w:t>U.S. Borrowers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i w:val="1"/>
          <w:iCs w:val="1"/>
          <w:color w:val="auto"/>
        </w:rPr>
        <w:t>U.S. Borrower</w:t>
      </w:r>
      <w:r>
        <w:rPr>
          <w:rFonts w:ascii="Times New Roman" w:cs="Times New Roman" w:eastAsia="Times New Roman" w:hAnsi="Times New Roman"/>
          <w:sz w:val="22"/>
          <w:szCs w:val="22"/>
          <w:color w:val="auto"/>
        </w:rPr>
        <w:t>”), CIVEO PTY LIMITED ACN 003 657 510, an Australian proprietary limited company (the “</w:t>
      </w:r>
      <w:r>
        <w:rPr>
          <w:rFonts w:ascii="Times New Roman" w:cs="Times New Roman" w:eastAsia="Times New Roman" w:hAnsi="Times New Roman"/>
          <w:sz w:val="22"/>
          <w:szCs w:val="22"/>
          <w:i w:val="1"/>
          <w:iCs w:val="1"/>
          <w:color w:val="auto"/>
        </w:rPr>
        <w:t>Australian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and, together with the Parent Borrower and the U.S. Borrowers, the “</w:t>
      </w:r>
      <w:r>
        <w:rPr>
          <w:rFonts w:ascii="Times New Roman" w:cs="Times New Roman" w:eastAsia="Times New Roman" w:hAnsi="Times New Roman"/>
          <w:sz w:val="22"/>
          <w:szCs w:val="22"/>
          <w:i w:val="1"/>
          <w:iCs w:val="1"/>
          <w:color w:val="auto"/>
        </w:rPr>
        <w:t>Borrowers</w:t>
      </w:r>
      <w:r>
        <w:rPr>
          <w:rFonts w:ascii="Times New Roman" w:cs="Times New Roman" w:eastAsia="Times New Roman" w:hAnsi="Times New Roman"/>
          <w:sz w:val="22"/>
          <w:szCs w:val="22"/>
          <w:color w:val="auto"/>
        </w:rPr>
        <w:t>”), the Lenders (as defined in Article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 ROYAL BANK OF CANADA (“</w:t>
      </w:r>
      <w:r>
        <w:rPr>
          <w:rFonts w:ascii="Times New Roman" w:cs="Times New Roman" w:eastAsia="Times New Roman" w:hAnsi="Times New Roman"/>
          <w:sz w:val="22"/>
          <w:szCs w:val="22"/>
          <w:i w:val="1"/>
          <w:iCs w:val="1"/>
          <w:color w:val="auto"/>
        </w:rPr>
        <w:t>RBC</w:t>
      </w:r>
      <w:r>
        <w:rPr>
          <w:rFonts w:ascii="Times New Roman" w:cs="Times New Roman" w:eastAsia="Times New Roman" w:hAnsi="Times New Roman"/>
          <w:sz w:val="22"/>
          <w:szCs w:val="22"/>
          <w:color w:val="auto"/>
        </w:rPr>
        <w:t>”), as administrative agent (in such capacity, together with its successors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for the U.S. Lenders (as defined in Article I), as U.S. collateral agent (in such capacity, together with its successors in such capacity, the “</w:t>
      </w:r>
      <w:r>
        <w:rPr>
          <w:rFonts w:ascii="Times New Roman" w:cs="Times New Roman" w:eastAsia="Times New Roman" w:hAnsi="Times New Roman"/>
          <w:sz w:val="22"/>
          <w:szCs w:val="22"/>
          <w:i w:val="1"/>
          <w:iCs w:val="1"/>
          <w:color w:val="auto"/>
        </w:rPr>
        <w:t>U.S. Collateral Agent</w:t>
      </w:r>
      <w:r>
        <w:rPr>
          <w:rFonts w:ascii="Times New Roman" w:cs="Times New Roman" w:eastAsia="Times New Roman" w:hAnsi="Times New Roman"/>
          <w:sz w:val="22"/>
          <w:szCs w:val="22"/>
          <w:color w:val="auto"/>
        </w:rPr>
        <w:t>”) for the Lenders, as administrative agent (in such capacity, together with its successors in such capacity, the “</w:t>
      </w:r>
      <w:r>
        <w:rPr>
          <w:rFonts w:ascii="Times New Roman" w:cs="Times New Roman" w:eastAsia="Times New Roman" w:hAnsi="Times New Roman"/>
          <w:sz w:val="22"/>
          <w:szCs w:val="22"/>
          <w:i w:val="1"/>
          <w:iCs w:val="1"/>
          <w:color w:val="auto"/>
        </w:rPr>
        <w:t>Canadian Administrative Agent</w:t>
      </w:r>
      <w:r>
        <w:rPr>
          <w:rFonts w:ascii="Times New Roman" w:cs="Times New Roman" w:eastAsia="Times New Roman" w:hAnsi="Times New Roman"/>
          <w:sz w:val="22"/>
          <w:szCs w:val="22"/>
          <w:color w:val="auto"/>
        </w:rPr>
        <w:t>”) for the Canadian Revolving Lenders (as defined in Article I) and as Canadian collateral agent (in such capacity, together with its successors in such capacity, the “</w:t>
      </w:r>
      <w:r>
        <w:rPr>
          <w:rFonts w:ascii="Times New Roman" w:cs="Times New Roman" w:eastAsia="Times New Roman" w:hAnsi="Times New Roman"/>
          <w:sz w:val="22"/>
          <w:szCs w:val="22"/>
          <w:i w:val="1"/>
          <w:iCs w:val="1"/>
          <w:color w:val="auto"/>
        </w:rPr>
        <w:t>Canadian Collateral Agent</w:t>
      </w:r>
      <w:r>
        <w:rPr>
          <w:rFonts w:ascii="Times New Roman" w:cs="Times New Roman" w:eastAsia="Times New Roman" w:hAnsi="Times New Roman"/>
          <w:sz w:val="22"/>
          <w:szCs w:val="22"/>
          <w:color w:val="auto"/>
        </w:rPr>
        <w:t>”) for the Lenders, and RBC EUROPE LIMITED (“</w:t>
      </w:r>
      <w:r>
        <w:rPr>
          <w:rFonts w:ascii="Times New Roman" w:cs="Times New Roman" w:eastAsia="Times New Roman" w:hAnsi="Times New Roman"/>
          <w:sz w:val="22"/>
          <w:szCs w:val="22"/>
          <w:i w:val="1"/>
          <w:iCs w:val="1"/>
          <w:color w:val="auto"/>
        </w:rPr>
        <w:t>RBC Europe</w:t>
      </w:r>
      <w:r>
        <w:rPr>
          <w:rFonts w:ascii="Times New Roman" w:cs="Times New Roman" w:eastAsia="Times New Roman" w:hAnsi="Times New Roman"/>
          <w:sz w:val="22"/>
          <w:szCs w:val="22"/>
          <w:color w:val="auto"/>
        </w:rPr>
        <w:t>”), as administrative agent (in such capacity, together with its successors in such capacity, the “</w:t>
      </w:r>
      <w:r>
        <w:rPr>
          <w:rFonts w:ascii="Times New Roman" w:cs="Times New Roman" w:eastAsia="Times New Roman" w:hAnsi="Times New Roman"/>
          <w:sz w:val="22"/>
          <w:szCs w:val="22"/>
          <w:i w:val="1"/>
          <w:iCs w:val="1"/>
          <w:color w:val="auto"/>
        </w:rPr>
        <w:t>Australian Administrative Agent</w:t>
      </w:r>
      <w:r>
        <w:rPr>
          <w:rFonts w:ascii="Times New Roman" w:cs="Times New Roman" w:eastAsia="Times New Roman" w:hAnsi="Times New Roman"/>
          <w:sz w:val="22"/>
          <w:szCs w:val="22"/>
          <w:color w:val="auto"/>
        </w:rPr>
        <w:t>”) for the Australian Lenders (as defined in Article I) and as Australian collateral agent (in such capacity, together with its successors in such capacity, the “</w:t>
      </w:r>
      <w:r>
        <w:rPr>
          <w:rFonts w:ascii="Times New Roman" w:cs="Times New Roman" w:eastAsia="Times New Roman" w:hAnsi="Times New Roman"/>
          <w:sz w:val="22"/>
          <w:szCs w:val="22"/>
          <w:i w:val="1"/>
          <w:iCs w:val="1"/>
          <w:color w:val="auto"/>
        </w:rPr>
        <w:t>Australian Collateral Agent</w:t>
      </w:r>
      <w:r>
        <w:rPr>
          <w:rFonts w:ascii="Times New Roman" w:cs="Times New Roman" w:eastAsia="Times New Roman" w:hAnsi="Times New Roman"/>
          <w:sz w:val="22"/>
          <w:szCs w:val="22"/>
          <w:color w:val="auto"/>
        </w:rPr>
        <w:t>”) for the Lenders.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Borrowers, the lenders party thereto, and the Administrative Agents are party to that certain Syndicated Facility Agreement, dated as of September 8, 2021 (the “</w:t>
      </w:r>
      <w:r>
        <w:rPr>
          <w:rFonts w:ascii="Times New Roman" w:cs="Times New Roman" w:eastAsia="Times New Roman" w:hAnsi="Times New Roman"/>
          <w:sz w:val="22"/>
          <w:szCs w:val="22"/>
          <w:i w:val="1"/>
          <w:iCs w:val="1"/>
          <w:color w:val="auto"/>
        </w:rPr>
        <w:t>Initial Closing Date</w:t>
      </w:r>
      <w:r>
        <w:rPr>
          <w:rFonts w:ascii="Times New Roman" w:cs="Times New Roman" w:eastAsia="Times New Roman" w:hAnsi="Times New Roman"/>
          <w:sz w:val="22"/>
          <w:szCs w:val="22"/>
          <w:color w:val="auto"/>
        </w:rPr>
        <w:t>”) (such Syndicated Facility Agreement as amended, restated, amended and restated, supplemented or modified from time to time prior to the date hereof, the “</w:t>
      </w:r>
      <w:r>
        <w:rPr>
          <w:rFonts w:ascii="Times New Roman" w:cs="Times New Roman" w:eastAsia="Times New Roman" w:hAnsi="Times New Roman"/>
          <w:sz w:val="22"/>
          <w:szCs w:val="22"/>
          <w:i w:val="1"/>
          <w:iCs w:val="1"/>
          <w:color w:val="auto"/>
        </w:rPr>
        <w:t>Existing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and</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Borrowers desire to amend and restate the Existing Credit Agreement in its entirety and have requested that the Lenders extend credit, and the Lenders have indicated their willingness to extend credit and the Issuing Banks (as defined in Article I) have indicated their willingness to issue Letters of Credit (as defined in Article I), in each case, on the terms and subject to the conditions set forth herein.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consideration of the mutual covenants and agreements herein contained, the parties hereto hereby agree as follows:</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6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i w:val="1"/>
          <w:iCs w:val="1"/>
          <w:color w:val="auto"/>
        </w:rPr>
        <w:t>Defined Terms</w:t>
      </w:r>
      <w:r>
        <w:rPr>
          <w:rFonts w:ascii="Times New Roman" w:cs="Times New Roman" w:eastAsia="Times New Roman" w:hAnsi="Times New Roman"/>
          <w:sz w:val="21"/>
          <w:szCs w:val="21"/>
          <w:color w:val="auto"/>
        </w:rPr>
        <w:t>. As used in this Agreement, the following terms shall have the meanings specified below:</w:t>
      </w:r>
    </w:p>
    <w:p>
      <w:pPr>
        <w:ind w:left="660"/>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Borrowing, are bearing interest at a rate determined by reference to the Alternate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Permitted Amount</w:t>
      </w:r>
      <w:r>
        <w:rPr>
          <w:rFonts w:ascii="Times New Roman" w:cs="Times New Roman" w:eastAsia="Times New Roman" w:hAnsi="Times New Roman"/>
          <w:sz w:val="22"/>
          <w:szCs w:val="22"/>
          <w:color w:val="auto"/>
        </w:rPr>
        <w:t>” has the meaning set forth in the definition of Permitted Refinancing Indebtedness.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“Adjusted Term CORRA” </w:t>
      </w:r>
      <w:r>
        <w:rPr>
          <w:rFonts w:ascii="Times New Roman" w:cs="Times New Roman" w:eastAsia="Times New Roman" w:hAnsi="Times New Roman"/>
          <w:sz w:val="22"/>
          <w:szCs w:val="22"/>
          <w:color w:val="auto"/>
        </w:rPr>
        <w:t>means, for purposes of any calculation, the rate per annum equal to (a) Term CORRA for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calculation plus (b) the Term CORRA Adjustment; provided that if Adjusted Term CORRA as so determined shall ever be less than the Floor, then Adjusted Term CORRA shall be deemed to be the Floor.</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“Adjusted Term SOFR” </w:t>
      </w:r>
      <w:r>
        <w:rPr>
          <w:rFonts w:ascii="Times New Roman" w:cs="Times New Roman" w:eastAsia="Times New Roman" w:hAnsi="Times New Roman"/>
          <w:sz w:val="22"/>
          <w:szCs w:val="22"/>
          <w:color w:val="auto"/>
        </w:rPr>
        <w:t>means, for purposes of any calculation, the rate per annum equal to (a) Term SOFR for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calculation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Term SOFR Adjustment; provided that if Adjusted Term SOFR as so determined shall ever be less than the Floor, then Adjusted Term SOFR shall be deemed to be the Floor.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Agents</w:t>
      </w:r>
      <w:r>
        <w:rPr>
          <w:rFonts w:ascii="Times New Roman" w:cs="Times New Roman" w:eastAsia="Times New Roman" w:hAnsi="Times New Roman"/>
          <w:sz w:val="22"/>
          <w:szCs w:val="22"/>
          <w:color w:val="auto"/>
        </w:rPr>
        <w:t>” shall mean the Administrative Agent, the Canadian Administrative Agent and the Australian Administrative Agent.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Questionnaire</w:t>
      </w:r>
      <w:r>
        <w:rPr>
          <w:rFonts w:ascii="Times New Roman" w:cs="Times New Roman" w:eastAsia="Times New Roman" w:hAnsi="Times New Roman"/>
          <w:sz w:val="22"/>
          <w:szCs w:val="22"/>
          <w:color w:val="auto"/>
        </w:rPr>
        <w:t>” shall mean an administrative questionnaire in a form supplied from time to time by the Applicable Administrative Agent.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Affected Financial Institution</w:t>
      </w:r>
      <w:r>
        <w:rPr>
          <w:rFonts w:ascii="Times New Roman" w:cs="Times New Roman" w:eastAsia="Times New Roman" w:hAnsi="Times New Roman"/>
          <w:sz w:val="22"/>
          <w:szCs w:val="22"/>
          <w:color w:val="auto"/>
        </w:rPr>
        <w:t>” shall mean (a) any EEA Financial Institution or (b) any UK Financial Institution.</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purposes of Section 6.07, the term “Affiliate” shall also include any person that directly or indirectly owns 5% or more of any class of Equity Interests of the person specified or that is an officer or director of the person specified.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 Parties</w:t>
      </w:r>
      <w:r>
        <w:rPr>
          <w:rFonts w:ascii="Times New Roman" w:cs="Times New Roman" w:eastAsia="Times New Roman" w:hAnsi="Times New Roman"/>
          <w:sz w:val="22"/>
          <w:szCs w:val="22"/>
          <w:color w:val="auto"/>
        </w:rPr>
        <w:t>” shall have the meaning assigned to such term in Section 9.01(d).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Agents</w:t>
      </w:r>
      <w:r>
        <w:rPr>
          <w:rFonts w:ascii="Times New Roman" w:cs="Times New Roman" w:eastAsia="Times New Roman" w:hAnsi="Times New Roman"/>
          <w:sz w:val="22"/>
          <w:szCs w:val="22"/>
          <w:color w:val="auto"/>
        </w:rPr>
        <w:t>” shall mean, collectively, the Administrative Agents and the Collateral Agents.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Aggregate L/C Exposure</w:t>
      </w:r>
      <w:r>
        <w:rPr>
          <w:rFonts w:ascii="Times New Roman" w:cs="Times New Roman" w:eastAsia="Times New Roman" w:hAnsi="Times New Roman"/>
          <w:sz w:val="22"/>
          <w:szCs w:val="22"/>
          <w:color w:val="auto"/>
        </w:rPr>
        <w:t>” shall mean, at any time, the sum of the U.S. L/C Exposure, the U.S. Dollar Equivalent of the Canadian L/C Exposure and the U.S. Dollar Equivalent of the Australian L/C Exposure at such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Alternate Base Rate</w:t>
      </w:r>
      <w:r>
        <w:rPr>
          <w:rFonts w:ascii="Times New Roman" w:cs="Times New Roman" w:eastAsia="Times New Roman" w:hAnsi="Times New Roman"/>
          <w:sz w:val="22"/>
          <w:szCs w:val="22"/>
          <w:color w:val="auto"/>
        </w:rPr>
        <w:t xml:space="preserve">” shall mean, for any day, a rate per annum equal to the greatest of (i) the Prime Rate in effect on such day, (ii) the Federal Funds Effective Rate in effect on such day plus ½ of 1.00% and (iii) Adjusted Term SOFR for a one-month tenor in effect for such day plus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highest rate as calculated above shall, at any time, be less than the Floor, such rate shall be deemed to be Floor for all purposes herein. Any change in the Alternate Base Rate due to a change in the Prime Rate, the Federal Funds Effective Rate or Adjusted Term SOFR shall be effective on the opening of business on the day specified in the public announcement of such change in the Prime Rate, the Federal Funds Effective Rate or Adjusted Term SOFR, respectively.</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3" w:name="page14"/>
    <w:bookmarkEnd w:id="13"/>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Alternative Currency</w:t>
      </w:r>
      <w:r>
        <w:rPr>
          <w:rFonts w:ascii="Times New Roman" w:cs="Times New Roman" w:eastAsia="Times New Roman" w:hAnsi="Times New Roman"/>
          <w:sz w:val="22"/>
          <w:szCs w:val="22"/>
          <w:color w:val="auto"/>
        </w:rPr>
        <w:t>” shall mean the Euro, Pounds Sterling, Japanese Yen, Singapore Dollar, Hong Kong Dollar, Mexican Peso, Indian Rupee, Kuwaiti Dinar and each other currency (other than U.S. dollars, Canadian dollars or Australian dollars) that is approved in accordance with Section 1.05.</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Ancillary Document</w:t>
      </w:r>
      <w:r>
        <w:rPr>
          <w:rFonts w:ascii="Times New Roman" w:cs="Times New Roman" w:eastAsia="Times New Roman" w:hAnsi="Times New Roman"/>
          <w:sz w:val="22"/>
          <w:szCs w:val="22"/>
          <w:color w:val="auto"/>
        </w:rPr>
        <w:t>” shall have the meaning assigned to such term in Section 9.13.</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Anti-Corruption Laws</w:t>
      </w:r>
      <w:r>
        <w:rPr>
          <w:rFonts w:ascii="Times New Roman" w:cs="Times New Roman" w:eastAsia="Times New Roman" w:hAnsi="Times New Roman"/>
          <w:sz w:val="22"/>
          <w:szCs w:val="22"/>
          <w:color w:val="auto"/>
        </w:rPr>
        <w:t>” shall mean all statutes, enactments, by-laws, rules, regulations, notifications, circulars, case-law, orders, ordinances, guidelines, policies, directions and judgments of any Governmental Authority, in relation to anti-corruption issued, administered or enforceable against any Borrower or any of their Subsidiaries, including, without limitation, the FCPA and the UKBA.</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Anti-Money Laundering Laws</w:t>
      </w:r>
      <w:r>
        <w:rPr>
          <w:rFonts w:ascii="Times New Roman" w:cs="Times New Roman" w:eastAsia="Times New Roman" w:hAnsi="Times New Roman"/>
          <w:sz w:val="22"/>
          <w:szCs w:val="22"/>
          <w:color w:val="auto"/>
        </w:rPr>
        <w:t>” shall mean all applicable financial recordkeeping and reporting requirements and the money laundering and terrorist financing statutes and laws and the rules and regulations thereunder and any related or similar rules, regulations or guidelines, which in each case are issued, administered or enforced by any Governmental Authority having jurisdiction over any Borrower or any of their Subsidiaries, or to which any Borrower or any of their Subsidiaries is subject, including, without limitation, the Patriot Act and the Bank Secrecy Act of 1970.</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Administrative Agent</w:t>
      </w:r>
      <w:r>
        <w:rPr>
          <w:rFonts w:ascii="Times New Roman" w:cs="Times New Roman" w:eastAsia="Times New Roman" w:hAnsi="Times New Roman"/>
          <w:sz w:val="21"/>
          <w:szCs w:val="21"/>
          <w:color w:val="auto"/>
        </w:rPr>
        <w:t>” shall mean (a) the Administrative Agent, with respect to any U.S. Loan or U.S. Letter of Credit, (b) the Canadian Administrative Agent, with respect to any Canadian Revolving Loan or Canadian Letter of Credit and (c) the Australian Administrative Agent, with respect to any Australian Revolving Credit Loan or Australian Letter of Credit.</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Borrower</w:t>
      </w:r>
      <w:r>
        <w:rPr>
          <w:rFonts w:ascii="Times New Roman" w:cs="Times New Roman" w:eastAsia="Times New Roman" w:hAnsi="Times New Roman"/>
          <w:sz w:val="22"/>
          <w:szCs w:val="22"/>
          <w:color w:val="auto"/>
        </w:rPr>
        <w:t>” shall mean (a) the Parent Borrower with respect to the Canadian Revolving Credit Facility, (b) the U.S. Borrowers, with respect to the U.S. Revolving Credit Facility, and (c) the Australian Borrower, with respect to the Australian Revolving Credit Facility.</w:t>
      </w:r>
    </w:p>
    <w:p>
      <w:pPr>
        <w:spacing w:after="0" w:line="15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Collateral Agent</w:t>
      </w:r>
      <w:r>
        <w:rPr>
          <w:rFonts w:ascii="Times New Roman" w:cs="Times New Roman" w:eastAsia="Times New Roman" w:hAnsi="Times New Roman"/>
          <w:sz w:val="21"/>
          <w:szCs w:val="21"/>
          <w:color w:val="auto"/>
        </w:rPr>
        <w:t>” shall mean (a) the U.S. Collateral Agent, with respect to the U.S. Security Documents and the U.S. Collateral, (b) the Canadian Collateral Agent, with respect to the Canadian Security Documents and the Canadian Collateral or (c) the Australian Collateral Agent, with respect to the Australian Security Documents and the Australian Collateral.</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Issuing Bank</w:t>
      </w:r>
      <w:r>
        <w:rPr>
          <w:rFonts w:ascii="Times New Roman" w:cs="Times New Roman" w:eastAsia="Times New Roman" w:hAnsi="Times New Roman"/>
          <w:sz w:val="22"/>
          <w:szCs w:val="22"/>
          <w:color w:val="auto"/>
        </w:rPr>
        <w:t>” shall mean (a) RBC or any other Issuing Bank that has issued, or has a commitment to issue, U.S. Letters of Credit, (b) RBC or any other Issuing Bank that has issued, or has a commitment to issue, Canadian Letters of Credit, or (c) RBC, or any other Issuing Bank that has issued, or has a commitment to issue, Australian Letters of Credit.</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Lender</w:t>
      </w:r>
      <w:r>
        <w:rPr>
          <w:rFonts w:ascii="Times New Roman" w:cs="Times New Roman" w:eastAsia="Times New Roman" w:hAnsi="Times New Roman"/>
          <w:sz w:val="22"/>
          <w:szCs w:val="22"/>
          <w:color w:val="auto"/>
        </w:rPr>
        <w:t>” shall mean (a) when used with respect to the U.S. Revolving Credit Facility, the Canadian Revolving Credit Facility or the Australian Revolving Credit Facility, a Lender that has a Commitment or holds a Loan with respect to such Facility, (b) with respect to any Letter of Credit, (i) the Issuing Banks and (ii) if any L/C Disbursements have been made by an Issuing Bank and not reimbursed or refinanced by Section 2.02(g), the Canadian Revolving Lenders, the U.S. Revolving Lenders or the Australian Lenders, as the case may be, and (c) with respect to the U.S. Swing Line Sublimit or the Canadian Swing Line Sublimit, the Applicable Swing Line Lender.</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4" w:name="page15"/>
    <w:bookmarkEnd w:id="14"/>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Percentage</w:t>
      </w:r>
      <w:r>
        <w:rPr>
          <w:rFonts w:ascii="Times New Roman" w:cs="Times New Roman" w:eastAsia="Times New Roman" w:hAnsi="Times New Roman"/>
          <w:sz w:val="22"/>
          <w:szCs w:val="22"/>
          <w:color w:val="auto"/>
        </w:rPr>
        <w:t>” shall mean, for any day, with respect to any SOFR Loan, ABR Loan, Term CORRA Loan, Canadian Prime Rate Loan, U.S. Base Rate Loan, BBSY Rate Loan or the Commitment Fee, the applicable percentage set forth below under the applicable caption, based upon the Total Net Leverage Ratio as of the relevant date of determination: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SOFR/ BBSY</w:t>
            </w:r>
          </w:p>
        </w:tc>
        <w:tc>
          <w:tcPr>
            <w:tcW w:w="2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ABR, Canadian Prime</w:t>
            </w:r>
          </w:p>
        </w:tc>
        <w:tc>
          <w:tcPr>
            <w:tcW w:w="2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Commitment Fee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Net Leverage Ratio</w:t>
            </w:r>
          </w:p>
        </w:tc>
        <w:tc>
          <w:tcPr>
            <w:tcW w:w="196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Rate/Term CORRA</w:t>
            </w:r>
          </w:p>
        </w:tc>
        <w:tc>
          <w:tcPr>
            <w:tcW w:w="228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Rate and U.S. Base</w:t>
            </w: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3"/>
            <w:vMerge w:val="continue"/>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Spread</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Rate Spread</w:t>
            </w:r>
          </w:p>
        </w:tc>
        <w:tc>
          <w:tcPr>
            <w:tcW w:w="20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b w:val="1"/>
                <w:bCs w:val="1"/>
                <w:color w:val="auto"/>
              </w:rPr>
              <w:t>Percentage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w w:val="96"/>
              </w:rPr>
              <w:t>Category 1</w:t>
            </w:r>
          </w:p>
        </w:tc>
        <w:tc>
          <w:tcPr>
            <w:tcW w:w="3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Less than 1.00 to 1.00</w:t>
            </w:r>
          </w:p>
        </w:tc>
        <w:tc>
          <w:tcPr>
            <w:tcW w:w="19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2.50%</w:t>
            </w:r>
          </w:p>
        </w:tc>
        <w:tc>
          <w:tcPr>
            <w:tcW w:w="228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1.50%</w:t>
            </w:r>
          </w:p>
        </w:tc>
        <w:tc>
          <w:tcPr>
            <w:tcW w:w="2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0.563%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60" w:type="dxa"/>
            <w:vAlign w:val="bottom"/>
            <w:tcBorders>
              <w:bottom w:val="single" w:sz="8" w:color="auto"/>
            </w:tcBorders>
            <w:gridSpan w:val="2"/>
          </w:tcPr>
          <w:p>
            <w:pPr>
              <w:spacing w:after="0" w:line="231" w:lineRule="exact"/>
              <w:rPr>
                <w:sz w:val="20"/>
                <w:szCs w:val="20"/>
                <w:color w:val="auto"/>
              </w:rPr>
            </w:pPr>
            <w:r>
              <w:rPr>
                <w:rFonts w:ascii="Times New Roman" w:cs="Times New Roman" w:eastAsia="Times New Roman" w:hAnsi="Times New Roman"/>
                <w:sz w:val="22"/>
                <w:szCs w:val="22"/>
                <w:color w:val="auto"/>
                <w:w w:val="96"/>
              </w:rPr>
              <w:t>Category 2</w:t>
            </w:r>
          </w:p>
        </w:tc>
        <w:tc>
          <w:tcPr>
            <w:tcW w:w="3980" w:type="dxa"/>
            <w:vAlign w:val="bottom"/>
            <w:gridSpan w:val="2"/>
          </w:tcPr>
          <w:p>
            <w:pPr>
              <w:spacing w:after="0"/>
              <w:rPr>
                <w:sz w:val="20"/>
                <w:szCs w:val="20"/>
                <w:color w:val="auto"/>
              </w:rPr>
            </w:pPr>
          </w:p>
        </w:tc>
        <w:tc>
          <w:tcPr>
            <w:tcW w:w="1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Greater than or equal to 1.00 to 1.00 but less than</w:t>
            </w:r>
          </w:p>
        </w:tc>
        <w:tc>
          <w:tcPr>
            <w:tcW w:w="1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1.50 to 1.00</w:t>
            </w:r>
          </w:p>
        </w:tc>
        <w:tc>
          <w:tcPr>
            <w:tcW w:w="19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2.75%</w:t>
            </w:r>
          </w:p>
        </w:tc>
        <w:tc>
          <w:tcPr>
            <w:tcW w:w="228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1.75%</w:t>
            </w:r>
          </w:p>
        </w:tc>
        <w:tc>
          <w:tcPr>
            <w:tcW w:w="2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0.619%</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Category 3</w:t>
            </w:r>
          </w:p>
        </w:tc>
        <w:tc>
          <w:tcPr>
            <w:tcW w:w="39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Greater than or equal to 1.50 to 1.00 but less than</w:t>
            </w:r>
          </w:p>
        </w:tc>
        <w:tc>
          <w:tcPr>
            <w:tcW w:w="1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2.00 to 1.00</w:t>
            </w:r>
          </w:p>
        </w:tc>
        <w:tc>
          <w:tcPr>
            <w:tcW w:w="19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3.00%</w:t>
            </w:r>
          </w:p>
        </w:tc>
        <w:tc>
          <w:tcPr>
            <w:tcW w:w="228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2.00%</w:t>
            </w:r>
          </w:p>
        </w:tc>
        <w:tc>
          <w:tcPr>
            <w:tcW w:w="2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0.675%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Category 4</w:t>
            </w:r>
          </w:p>
        </w:tc>
        <w:tc>
          <w:tcPr>
            <w:tcW w:w="39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Greater than or equal to 2.00 to 1.00 but less than</w:t>
            </w:r>
          </w:p>
        </w:tc>
        <w:tc>
          <w:tcPr>
            <w:tcW w:w="1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2.50 to 1.00</w:t>
            </w:r>
          </w:p>
        </w:tc>
        <w:tc>
          <w:tcPr>
            <w:tcW w:w="19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3.25%</w:t>
            </w:r>
          </w:p>
        </w:tc>
        <w:tc>
          <w:tcPr>
            <w:tcW w:w="228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2.25%</w:t>
            </w:r>
          </w:p>
        </w:tc>
        <w:tc>
          <w:tcPr>
            <w:tcW w:w="2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0.731%</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Category 5</w:t>
            </w:r>
          </w:p>
        </w:tc>
        <w:tc>
          <w:tcPr>
            <w:tcW w:w="39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Greater than or equal to 2.50 to 1.00 but less than</w:t>
            </w:r>
          </w:p>
        </w:tc>
        <w:tc>
          <w:tcPr>
            <w:tcW w:w="1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3.00 to 1.00</w:t>
            </w:r>
          </w:p>
        </w:tc>
        <w:tc>
          <w:tcPr>
            <w:tcW w:w="19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3.50%</w:t>
            </w:r>
          </w:p>
        </w:tc>
        <w:tc>
          <w:tcPr>
            <w:tcW w:w="228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2.50%</w:t>
            </w:r>
          </w:p>
        </w:tc>
        <w:tc>
          <w:tcPr>
            <w:tcW w:w="2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0.788%</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Category 6</w:t>
            </w:r>
          </w:p>
        </w:tc>
        <w:tc>
          <w:tcPr>
            <w:tcW w:w="39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Greater than or equal to 3.00 to 1.00</w:t>
            </w:r>
          </w:p>
        </w:tc>
        <w:tc>
          <w:tcPr>
            <w:tcW w:w="19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3.75%</w:t>
            </w:r>
          </w:p>
        </w:tc>
        <w:tc>
          <w:tcPr>
            <w:tcW w:w="228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2.75%</w:t>
            </w:r>
          </w:p>
        </w:tc>
        <w:tc>
          <w:tcPr>
            <w:tcW w:w="2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0.844%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Each change in the Applicable Percentage resulting from a change in the Total Net Leverage Ratio shall be effective with respect to all Loans and Letters of Credit outstanding on and after the date of delivery to the Administrative Agent of the financial statements required by Section 5.04(a) or Section 5.04(b) and the Compliance Certificate required by Section 5.04(c), respectively, indicating such change until the date immediately preceding the next date of delivery of such financial statements indicating another such change; provided, however, that at any time during which the Parent Borrower has failed to deliver when due the financial statements required by Section 5.04(a) or Section 5.04(b) and the Compliance Certificate required by Section 5.04(c), respectively, the Total Net Leverage Ratio shall be deemed to be in Category 5 for purposes of determining the Applicable Percentage. Notwithstanding the foregoing, as of the Closing Date, the Applicable Percentage shall be based on Category 3 until adjusted in accordance with this paragraph.</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Pro Rata Percentage</w:t>
      </w:r>
      <w:r>
        <w:rPr>
          <w:rFonts w:ascii="Times New Roman" w:cs="Times New Roman" w:eastAsia="Times New Roman" w:hAnsi="Times New Roman"/>
          <w:sz w:val="22"/>
          <w:szCs w:val="22"/>
          <w:color w:val="auto"/>
        </w:rPr>
        <w:t>” shall mean the Canadian Revolving Pro Rata Percentage, the Australian Revolving Pro Rata Percentage or the U.S. Revolving Pro Rata Percentage, as the context may require.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Required Lenders</w:t>
      </w:r>
      <w:r>
        <w:rPr>
          <w:rFonts w:ascii="Times New Roman" w:cs="Times New Roman" w:eastAsia="Times New Roman" w:hAnsi="Times New Roman"/>
          <w:sz w:val="22"/>
          <w:szCs w:val="22"/>
          <w:color w:val="auto"/>
        </w:rPr>
        <w:t>” shall mean (a) the Required U.S. Lenders with respect to the U.S. Revolving Credit Facility, (b) the Required Canadian Revolving Lenders with respect to the Canadian Revolving Credit Facility or (c) the Required Australian Lenders with respect to the Australian Revolving Credit Facility.</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5" w:name="page16"/>
    <w:bookmarkEnd w:id="15"/>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Swing Line Lender</w:t>
      </w:r>
      <w:r>
        <w:rPr>
          <w:rFonts w:ascii="Times New Roman" w:cs="Times New Roman" w:eastAsia="Times New Roman" w:hAnsi="Times New Roman"/>
          <w:sz w:val="22"/>
          <w:szCs w:val="22"/>
          <w:color w:val="auto"/>
        </w:rPr>
        <w:t>” shall mean (a) with respect to the U.S. Swing Line Sublimit, (i) the U.S. Swing Line Lender and (ii) if any U.S. Swing Line Loans are outstanding and have not been refinanced by a U.S. Revolving Borrowing pursuant to Section 2.23(c)(ii), the U.S. Revolving Lenders and (b) with respect to the Canadian Swing Line Sublimit, the Canadian Swing Line Lender and (ii) if any Canadian Swing Line Loans are outstanding and have not been refinanced by a Canadian Revolving Borrowing pursuant to Section 2.23(c)(ii), the Canadian Revolving Lenders.</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Approved Fund</w:t>
      </w:r>
      <w:r>
        <w:rPr>
          <w:rFonts w:ascii="Times New Roman" w:cs="Times New Roman" w:eastAsia="Times New Roman" w:hAnsi="Times New Roman"/>
          <w:sz w:val="22"/>
          <w:szCs w:val="22"/>
          <w:color w:val="auto"/>
        </w:rPr>
        <w:t>” shall mean any Fund that is administered or managed by (a) a Lender, (b) an Affiliate of a Lender or (c) an entity or an Affiliate of an entity that administers or manages a Lender.</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Asset Sale</w:t>
      </w:r>
      <w:r>
        <w:rPr>
          <w:rFonts w:ascii="Times New Roman" w:cs="Times New Roman" w:eastAsia="Times New Roman" w:hAnsi="Times New Roman"/>
          <w:sz w:val="22"/>
          <w:szCs w:val="22"/>
          <w:color w:val="auto"/>
        </w:rPr>
        <w:t xml:space="preserve">” shall mean the sale, transfer or other disposition (by way of merger, casualty, condemnation or otherwise) of any or all of the property of the Parent Borrower or any of its Subsidiaries to any person other than the Parent Borrower or any of its Subsidiaries (other than (a) Equity Interests in the Parent Borrower or directors’ qualifying shares in any Subsidiary, (b) inventory, damaged, obsolete or worn out assets, scrap and Permitted Investments, in each case disposed of in the ordinary course of business, (c) dispositions between or among Subsidiaries that are not Loan Parties or (d) Specified Dispositions);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asset sale or series of related asset sales described above having a value not in excess of U.S.$5,000,000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deemed not to be an “Asset Sale” for purposes of this Agreement. For the avoidance of doubt, none of (a) the sale or issuance of any Permitted Convertible Indebtedness by the Parent Borrower, (b) the Guarantee of any Permitted Convertible Indebtedness by any Subsidiary, (c) the sale of any Permitted Warrant Transaction by the Parent Borrower, (d) the termination, unwind or other disposition of any Permitted Warrant Transaction nor (e) the performance by the Parent Borrower and/or any Subsidiary of its or their obligations under any Permitted Convertible Indebtedness, and Guarantee of any Permitted Convertible Indebtedness or any Permitted Warrant Transaction, shall constitute an Asset Sale.</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Assignee Group</w:t>
      </w:r>
      <w:r>
        <w:rPr>
          <w:rFonts w:ascii="Times New Roman" w:cs="Times New Roman" w:eastAsia="Times New Roman" w:hAnsi="Times New Roman"/>
          <w:sz w:val="22"/>
          <w:szCs w:val="22"/>
          <w:color w:val="auto"/>
        </w:rPr>
        <w:t>” shall mean two or more Eligible Assignees that are Affiliates of one another or two or more Approved Funds managed by the same investment advisor.</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xml:space="preserve">” shall mean an assignment and acceptance entered into by a Lender and an assignee (with the consent of any party whose consent is required by Section 9.04) and accepted by the Applicable Administrative Agent,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such other form as shall be approved by the Applicable Administrative Agent.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Associate</w:t>
      </w:r>
      <w:r>
        <w:rPr>
          <w:rFonts w:ascii="Times New Roman" w:cs="Times New Roman" w:eastAsia="Times New Roman" w:hAnsi="Times New Roman"/>
          <w:sz w:val="22"/>
          <w:szCs w:val="22"/>
          <w:color w:val="auto"/>
        </w:rPr>
        <w:t>” shall mean an “associate” as defined in section 128F(9) of the Australian Tax Act.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Attorneys</w:t>
      </w:r>
      <w:r>
        <w:rPr>
          <w:rFonts w:ascii="Times New Roman" w:cs="Times New Roman" w:eastAsia="Times New Roman" w:hAnsi="Times New Roman"/>
          <w:sz w:val="22"/>
          <w:szCs w:val="22"/>
          <w:color w:val="auto"/>
        </w:rPr>
        <w:t>” shall have the meaning assigned to such term in Section 1.03.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Administrative Agent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Borrower</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Collateral</w:t>
      </w:r>
      <w:r>
        <w:rPr>
          <w:rFonts w:ascii="Times New Roman" w:cs="Times New Roman" w:eastAsia="Times New Roman" w:hAnsi="Times New Roman"/>
          <w:sz w:val="22"/>
          <w:szCs w:val="22"/>
          <w:color w:val="auto"/>
        </w:rPr>
        <w:t>” shall mean all “Collateral” or “Secured Property” as defined in any Australian Security Document.</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Collateral Agent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Commitment Fee</w:t>
      </w:r>
      <w:r>
        <w:rPr>
          <w:rFonts w:ascii="Times New Roman" w:cs="Times New Roman" w:eastAsia="Times New Roman" w:hAnsi="Times New Roman"/>
          <w:sz w:val="22"/>
          <w:szCs w:val="22"/>
          <w:color w:val="auto"/>
        </w:rPr>
        <w:t>” shall have the meaning assigned to such term in Section 2.05(a).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Corporations Act</w:t>
      </w:r>
      <w:r>
        <w:rPr>
          <w:rFonts w:ascii="Times New Roman" w:cs="Times New Roman" w:eastAsia="Times New Roman" w:hAnsi="Times New Roman"/>
          <w:sz w:val="22"/>
          <w:szCs w:val="22"/>
          <w:color w:val="auto"/>
        </w:rPr>
        <w:t xml:space="preserve">” shall mean the </w:t>
      </w:r>
      <w:r>
        <w:rPr>
          <w:rFonts w:ascii="Times New Roman" w:cs="Times New Roman" w:eastAsia="Times New Roman" w:hAnsi="Times New Roman"/>
          <w:sz w:val="22"/>
          <w:szCs w:val="22"/>
          <w:i w:val="1"/>
          <w:iCs w:val="1"/>
          <w:color w:val="auto"/>
        </w:rPr>
        <w:t>Corporations Act 2001 (Cth)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Dollar Equivalent</w:t>
      </w:r>
      <w:r>
        <w:rPr>
          <w:rFonts w:ascii="Times New Roman" w:cs="Times New Roman" w:eastAsia="Times New Roman" w:hAnsi="Times New Roman"/>
          <w:sz w:val="21"/>
          <w:szCs w:val="21"/>
          <w:color w:val="auto"/>
        </w:rPr>
        <w:t>” shall mean, on any date of determination, with respect to any amount in U.S. dollars, the equivalent in Australian dollars of such amount, determined by the Administrative Agent using the Exchange Rate then in effect.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AUD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AUD$</w:t>
      </w:r>
      <w:r>
        <w:rPr>
          <w:rFonts w:ascii="Times New Roman" w:cs="Times New Roman" w:eastAsia="Times New Roman" w:hAnsi="Times New Roman"/>
          <w:sz w:val="22"/>
          <w:szCs w:val="22"/>
          <w:color w:val="auto"/>
        </w:rPr>
        <w:t>” shall mean the lawful money of the Commonwealth of Australia.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GST</w:t>
      </w:r>
      <w:r>
        <w:rPr>
          <w:rFonts w:ascii="Times New Roman" w:cs="Times New Roman" w:eastAsia="Times New Roman" w:hAnsi="Times New Roman"/>
          <w:sz w:val="22"/>
          <w:szCs w:val="22"/>
          <w:color w:val="auto"/>
        </w:rPr>
        <w:t xml:space="preserve">” shall have the meaning given in </w:t>
      </w:r>
      <w:r>
        <w:rPr>
          <w:rFonts w:ascii="Times New Roman" w:cs="Times New Roman" w:eastAsia="Times New Roman" w:hAnsi="Times New Roman"/>
          <w:sz w:val="22"/>
          <w:szCs w:val="22"/>
          <w:i w:val="1"/>
          <w:iCs w:val="1"/>
          <w:color w:val="auto"/>
        </w:rPr>
        <w:t>A New Tax System (Goods and Services Tax) Act 1999 (Cth)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GST Liability</w:t>
      </w:r>
      <w:r>
        <w:rPr>
          <w:rFonts w:ascii="Times New Roman" w:cs="Times New Roman" w:eastAsia="Times New Roman" w:hAnsi="Times New Roman"/>
          <w:sz w:val="22"/>
          <w:szCs w:val="22"/>
          <w:color w:val="auto"/>
        </w:rPr>
        <w:t>” shall have the meaning assigned to such term in Section 2.19(j).</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Guarantee Agreement</w:t>
      </w:r>
      <w:r>
        <w:rPr>
          <w:rFonts w:ascii="Times New Roman" w:cs="Times New Roman" w:eastAsia="Times New Roman" w:hAnsi="Times New Roman"/>
          <w:sz w:val="22"/>
          <w:szCs w:val="22"/>
          <w:color w:val="auto"/>
        </w:rPr>
        <w:t xml:space="preserve">” shall mean a Deed of Guarantee and Indemnity,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in favor of the Australian Collateral Agent, for the benefit of the Secured Parties.</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L/C Exposure</w:t>
      </w:r>
      <w:r>
        <w:rPr>
          <w:rFonts w:ascii="Times New Roman" w:cs="Times New Roman" w:eastAsia="Times New Roman" w:hAnsi="Times New Roman"/>
          <w:sz w:val="22"/>
          <w:szCs w:val="22"/>
          <w:color w:val="auto"/>
        </w:rPr>
        <w:t>” shall mean at any time the sum of (a) the aggregate undrawn amount of all outstanding Australian Letters of Credit at such time plus (b) the aggregate principal amount of all L/C Disbursements in respect of Australian Letters of Credit that have not yet been reimbursed at such time. The Australian L/C Exposure of any Australian Lender at any time shall mean its Australian Revolving Pro Rata Percentage of the aggregate Australian L/C Exposure at such time.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L/C Participation Fee</w:t>
      </w:r>
      <w:r>
        <w:rPr>
          <w:rFonts w:ascii="Times New Roman" w:cs="Times New Roman" w:eastAsia="Times New Roman" w:hAnsi="Times New Roman"/>
          <w:sz w:val="22"/>
          <w:szCs w:val="22"/>
          <w:color w:val="auto"/>
        </w:rPr>
        <w:t>” shall have the meaning assigned to such term in Section 2.05(c).</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Lenders</w:t>
      </w:r>
      <w:r>
        <w:rPr>
          <w:rFonts w:ascii="Times New Roman" w:cs="Times New Roman" w:eastAsia="Times New Roman" w:hAnsi="Times New Roman"/>
          <w:sz w:val="22"/>
          <w:szCs w:val="22"/>
          <w:color w:val="auto"/>
        </w:rPr>
        <w:t>” shall mean Lenders having Australian Revolving Commitments, outstanding Australian Revolving Credit Loans or participations in Australian Letters of Credit pursuant to Section 2.21(d).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Loan Parties</w:t>
      </w:r>
      <w:r>
        <w:rPr>
          <w:rFonts w:ascii="Times New Roman" w:cs="Times New Roman" w:eastAsia="Times New Roman" w:hAnsi="Times New Roman"/>
          <w:sz w:val="22"/>
          <w:szCs w:val="22"/>
          <w:color w:val="auto"/>
        </w:rPr>
        <w:t>” shall mean the Australian Borrower and the Australian Subsidiary Guarantors.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Borrowing</w:t>
      </w:r>
      <w:r>
        <w:rPr>
          <w:rFonts w:ascii="Times New Roman" w:cs="Times New Roman" w:eastAsia="Times New Roman" w:hAnsi="Times New Roman"/>
          <w:sz w:val="22"/>
          <w:szCs w:val="22"/>
          <w:color w:val="auto"/>
        </w:rPr>
        <w:t>” shall mean a group of Australian Revolving Credit Loans of a single Type made, converted or continued by the Australian Lenders on a single date and as to which a single Interest Period is in effect.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Commitment</w:t>
      </w:r>
      <w:r>
        <w:rPr>
          <w:rFonts w:ascii="Times New Roman" w:cs="Times New Roman" w:eastAsia="Times New Roman" w:hAnsi="Times New Roman"/>
          <w:sz w:val="22"/>
          <w:szCs w:val="22"/>
          <w:color w:val="auto"/>
        </w:rPr>
        <w:t xml:space="preserve">” shall mean, with respect to each Australian Lender, the commitment of such Australian Lender to (a) make Australian Revolving Credit Loans hereunder and (b) purchase participations in the Australian L/C Exposure, in an aggregate principal amount not to exceed the amount set forth opposite such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“Australian Revolving Commitment”, or in the Assignment and Acceptance or Lender Joinder Agreement pursuant to which such Australian Lender assumed its</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Australian Revolving Commitment, as applicable, as the same may be (i) increased from time to time pursuant to Section 2.25,</w:t>
      </w:r>
    </w:p>
    <w:p>
      <w:pPr>
        <w:jc w:val="both"/>
        <w:ind w:firstLine="8"/>
        <w:spacing w:after="0" w:line="218" w:lineRule="auto"/>
        <w:tabs>
          <w:tab w:leader="none" w:pos="32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reduced from time to time pursuant to Section 2.09 and (iii) reduced or increased from time to time pursuant to assignments by or to such Australian Lender pursuant to Section 9.04. The aggregate amount of the Australian Revolving Commitments as of the Closing Date is U.S.$70,000,000.</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Credit Exposure</w:t>
      </w:r>
      <w:r>
        <w:rPr>
          <w:rFonts w:ascii="Times New Roman" w:cs="Times New Roman" w:eastAsia="Times New Roman" w:hAnsi="Times New Roman"/>
          <w:sz w:val="22"/>
          <w:szCs w:val="22"/>
          <w:color w:val="auto"/>
        </w:rPr>
        <w:t xml:space="preserve">” shall mean, with respect to any Australian Lender at any time, the aggregate principal amount at such time of all outstanding Australian Revolving Credit Loans of such Lender denominated in U.S. dollars,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the U.S. Dollar Equivalent of the aggregate principal amount at such time of all outstanding Australian Revolving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Loans of such Australian Lender denominated in Australian dollars,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U.S. Dollar Equivalent of the aggregate amount at such time of such Australian Lender’s Australian Revolving Pro Rata Percentage of the Australian L/C Exposure.</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Credit Facility</w:t>
      </w:r>
      <w:r>
        <w:rPr>
          <w:rFonts w:ascii="Times New Roman" w:cs="Times New Roman" w:eastAsia="Times New Roman" w:hAnsi="Times New Roman"/>
          <w:sz w:val="22"/>
          <w:szCs w:val="22"/>
          <w:color w:val="auto"/>
        </w:rPr>
        <w:t>” shall mean at any time the aggregate amount of the Australian Revolving Commitments of the Australian Lenders at such time.</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Credit Loans</w:t>
      </w:r>
      <w:r>
        <w:rPr>
          <w:rFonts w:ascii="Times New Roman" w:cs="Times New Roman" w:eastAsia="Times New Roman" w:hAnsi="Times New Roman"/>
          <w:sz w:val="22"/>
          <w:szCs w:val="22"/>
          <w:color w:val="auto"/>
        </w:rPr>
        <w:t>” shall mean (a) the Australian dollar-denominated Revolving Credit Loans made by the Australian Lenders to the Australian Borrower hereunder and (b) the U.S. dollar-denominated Revolving Credit Loans made by the Australian Lenders to the Australian Borrower. Each Australian Revolving Credit Loan denominated in Australian dollars shall be a BBSY Rate Loan. Each Australian Revolving Credit Loan denominated in U.S. dollars and made to the Australian Borrower shall be a SOFR Loan.</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Revolving Pro Rata Percentage</w:t>
      </w:r>
      <w:r>
        <w:rPr>
          <w:rFonts w:ascii="Times New Roman" w:cs="Times New Roman" w:eastAsia="Times New Roman" w:hAnsi="Times New Roman"/>
          <w:sz w:val="22"/>
          <w:szCs w:val="22"/>
          <w:color w:val="auto"/>
        </w:rPr>
        <w:t xml:space="preserve">” of any Australian Lender, subject to any adjustment as provided in Section 2.24(c) or Section 2.25(a), shall mean the percentage of the aggregate Australian Revolving Commitments represented by such Australian Lender’s Australian Revolving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Australian Revolving Commitments have terminated, the Australian Revolving Pro Rata Percentages of the Australian Lenders shall be determined based upon the Australian Revolving Commitments most recently in effect, giving effect to any assignments.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Security Deed</w:t>
      </w:r>
      <w:r>
        <w:rPr>
          <w:rFonts w:ascii="Times New Roman" w:cs="Times New Roman" w:eastAsia="Times New Roman" w:hAnsi="Times New Roman"/>
          <w:sz w:val="22"/>
          <w:szCs w:val="22"/>
          <w:color w:val="auto"/>
        </w:rPr>
        <w:t xml:space="preserve">” shall mean any Australian General Security Deed governed by the laws of New South Wales, Australia,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among the Australian Borrower and the Australian Subsidiary Guarantors, as grantors, and the Australian Collateral Agent for the benefit of the Secured Parties.</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Security Documents</w:t>
      </w:r>
      <w:r>
        <w:rPr>
          <w:rFonts w:ascii="Times New Roman" w:cs="Times New Roman" w:eastAsia="Times New Roman" w:hAnsi="Times New Roman"/>
          <w:sz w:val="21"/>
          <w:szCs w:val="21"/>
          <w:color w:val="auto"/>
        </w:rPr>
        <w:t>” shall mean the Australian Security Deed, the Australian Security Trust Deed and each other Security Document to which the Australian Borrower, or any Australian Subsidiary Guarantor is a party and that purports to grant a Lien in the assets of any such person in favor of the Australian Collateral Agent for the benefit of the Secured Parties.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Australian Security Trust Deed</w:t>
      </w:r>
      <w:r>
        <w:rPr>
          <w:rFonts w:ascii="Times New Roman" w:cs="Times New Roman" w:eastAsia="Times New Roman" w:hAnsi="Times New Roman"/>
          <w:sz w:val="21"/>
          <w:szCs w:val="21"/>
          <w:color w:val="auto"/>
        </w:rPr>
        <w:t>” shall mean the security trust deed granted by the Australian Collateral Agent, as security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trustee.</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Subsidiaries</w:t>
      </w:r>
      <w:r>
        <w:rPr>
          <w:rFonts w:ascii="Times New Roman" w:cs="Times New Roman" w:eastAsia="Times New Roman" w:hAnsi="Times New Roman"/>
          <w:sz w:val="22"/>
          <w:szCs w:val="22"/>
          <w:color w:val="auto"/>
        </w:rPr>
        <w:t>” shall mean the Subsidiaries of the Parent Borrower (other than the Australian Borrower) organized under the laws of the Commonwealth of Australia or any state, territory or other political subdivision thereof other than any U.S. Owned Subsidiary.</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Subsidiary Guarantor</w:t>
      </w:r>
      <w:r>
        <w:rPr>
          <w:rFonts w:ascii="Times New Roman" w:cs="Times New Roman" w:eastAsia="Times New Roman" w:hAnsi="Times New Roman"/>
          <w:sz w:val="22"/>
          <w:szCs w:val="22"/>
          <w:color w:val="auto"/>
        </w:rPr>
        <w:t xml:space="preserve">” shall mean each Australian Subsidiary listed on </w:t>
      </w:r>
      <w:r>
        <w:rPr>
          <w:rFonts w:ascii="Times New Roman" w:cs="Times New Roman" w:eastAsia="Times New Roman" w:hAnsi="Times New Roman"/>
          <w:sz w:val="22"/>
          <w:szCs w:val="22"/>
          <w:u w:val="single" w:color="auto"/>
          <w:color w:val="auto"/>
        </w:rPr>
        <w:t>Schedule 1.01(d)</w:t>
      </w:r>
      <w:r>
        <w:rPr>
          <w:rFonts w:ascii="Times New Roman" w:cs="Times New Roman" w:eastAsia="Times New Roman" w:hAnsi="Times New Roman"/>
          <w:sz w:val="22"/>
          <w:szCs w:val="22"/>
          <w:color w:val="auto"/>
        </w:rPr>
        <w:t>, and each other Australian Subsidiary that is or becomes a party to an Australian Guarantee Agreement.</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82" w:right="339" w:bottom="1440" w:gutter="0" w:footer="0" w:header="0"/>
        </w:sectPr>
      </w:pPr>
    </w:p>
    <w:bookmarkStart w:id="18" w:name="page19"/>
    <w:bookmarkEnd w:id="18"/>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Tax Act</w:t>
      </w:r>
      <w:r>
        <w:rPr>
          <w:rFonts w:ascii="Times New Roman" w:cs="Times New Roman" w:eastAsia="Times New Roman" w:hAnsi="Times New Roman"/>
          <w:sz w:val="22"/>
          <w:szCs w:val="22"/>
          <w:color w:val="auto"/>
        </w:rPr>
        <w:t>” shall mean the Income Tax Assessment Act 1936 (Cth) (Australia) or the Income Tax Assessment Act 1997 (Cth) (Australia) as applicable.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Withholding Tax</w:t>
      </w:r>
      <w:r>
        <w:rPr>
          <w:rFonts w:ascii="Times New Roman" w:cs="Times New Roman" w:eastAsia="Times New Roman" w:hAnsi="Times New Roman"/>
          <w:sz w:val="22"/>
          <w:szCs w:val="22"/>
          <w:color w:val="auto"/>
        </w:rPr>
        <w:t xml:space="preserve">” shall mean any Australian Tax required to be withheld or deducted from any interest or other payment under Division 11A of Part III of the Tax Act or Subdivision 12-F of Schedule 1 to the </w:t>
      </w:r>
      <w:r>
        <w:rPr>
          <w:rFonts w:ascii="Times New Roman" w:cs="Times New Roman" w:eastAsia="Times New Roman" w:hAnsi="Times New Roman"/>
          <w:sz w:val="22"/>
          <w:szCs w:val="22"/>
          <w:i w:val="1"/>
          <w:iCs w:val="1"/>
          <w:color w:val="auto"/>
        </w:rPr>
        <w:t>Taxation Administration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1953 (Commonwealth of Australia).</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AutoBorrow Agreement</w:t>
      </w:r>
      <w:r>
        <w:rPr>
          <w:rFonts w:ascii="Times New Roman" w:cs="Times New Roman" w:eastAsia="Times New Roman" w:hAnsi="Times New Roman"/>
          <w:sz w:val="22"/>
          <w:szCs w:val="22"/>
          <w:color w:val="auto"/>
        </w:rPr>
        <w:t>” shall mean any agreement providing for automatic borrowing services between a Loan Party and a Swing Line Lender.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 xml:space="preserve">“Available Tenor” </w:t>
      </w:r>
      <w:r>
        <w:rPr>
          <w:rFonts w:ascii="Times New Roman" w:cs="Times New Roman" w:eastAsia="Times New Roman" w:hAnsi="Times New Roman"/>
          <w:sz w:val="21"/>
          <w:szCs w:val="21"/>
          <w:color w:val="auto"/>
        </w:rPr>
        <w:t>means, as of any date of determination and with respect to the then-current Benchmark, as applicable,</w:t>
      </w:r>
    </w:p>
    <w:p>
      <w:pPr>
        <w:spacing w:after="0" w:line="3" w:lineRule="exact"/>
        <w:rPr>
          <w:sz w:val="20"/>
          <w:szCs w:val="20"/>
          <w:color w:val="auto"/>
        </w:rPr>
      </w:pPr>
    </w:p>
    <w:p>
      <w:pPr>
        <w:jc w:val="both"/>
        <w:ind w:firstLine="8"/>
        <w:spacing w:after="0" w:line="211" w:lineRule="auto"/>
        <w:tabs>
          <w:tab w:leader="none" w:pos="3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clause (d) of Section 2.26.</w:t>
      </w:r>
    </w:p>
    <w:p>
      <w:pPr>
        <w:spacing w:after="0" w:line="150"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shall mean the exercise of any Write-Down and Conversion Powers by the applicable EEA Resolution Authority in respect of any liability of an EEA Financial Institution.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Legislation</w:t>
      </w:r>
      <w:r>
        <w:rPr>
          <w:rFonts w:ascii="Times New Roman" w:cs="Times New Roman" w:eastAsia="Times New Roman" w:hAnsi="Times New Roman"/>
          <w:sz w:val="22"/>
          <w:szCs w:val="22"/>
          <w:color w:val="auto"/>
        </w:rPr>
        <w:t>” shall mean:</w:t>
      </w:r>
    </w:p>
    <w:p>
      <w:pPr>
        <w:spacing w:after="0" w:line="183" w:lineRule="exact"/>
        <w:rPr>
          <w:sz w:val="20"/>
          <w:szCs w:val="20"/>
          <w:color w:val="auto"/>
        </w:rPr>
      </w:pPr>
    </w:p>
    <w:p>
      <w:pPr>
        <w:jc w:val="both"/>
        <w:ind w:firstLine="656"/>
        <w:spacing w:after="0" w:line="225" w:lineRule="auto"/>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19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respective Affiliates (other than through liquidation, administration or other insolvency proceedings).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Banking Services</w:t>
      </w:r>
      <w:r>
        <w:rPr>
          <w:rFonts w:ascii="Times New Roman" w:cs="Times New Roman" w:eastAsia="Times New Roman" w:hAnsi="Times New Roman"/>
          <w:sz w:val="22"/>
          <w:szCs w:val="22"/>
          <w:color w:val="auto"/>
        </w:rPr>
        <w:t>” shall mean each and any of the following bank services provided to the Parent Borrower or any Subsidiary by any Lender or any Affiliate of a Lender: (a) commercial credit cards, (b) stored value cards and (c) treasury management services (including, without limitation, controlled disbursement, automated clearinghouse transactions, return items, overdrafts and interstate depository network services).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Banking Services Obligations</w:t>
      </w:r>
      <w:r>
        <w:rPr>
          <w:rFonts w:ascii="Times New Roman" w:cs="Times New Roman" w:eastAsia="Times New Roman" w:hAnsi="Times New Roman"/>
          <w:sz w:val="22"/>
          <w:szCs w:val="22"/>
          <w:color w:val="auto"/>
        </w:rPr>
        <w:t>” shall mean any and all obligations of the Parent Borrower or any Subsidiary, whether absolute or contingent and howsoever and whensoever created, arising, evidenced or acquired (including all renewals, extensions and modifications thereof and substitutions therefor) in connection with Banking Services. Notwithstanding anything to the contrary contained herein, “Banking Services Obligations” shall not include the Excluded Swap Obligations.</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9" w:name="page20"/>
    <w:bookmarkEnd w:id="19"/>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BBSY Rate</w:t>
      </w:r>
      <w:r>
        <w:rPr>
          <w:rFonts w:ascii="Times New Roman" w:cs="Times New Roman" w:eastAsia="Times New Roman" w:hAnsi="Times New Roman"/>
          <w:sz w:val="22"/>
          <w:szCs w:val="22"/>
          <w:color w:val="auto"/>
        </w:rPr>
        <w:t>” shall mean, for the relevant Interest Period: (a) the rate per annum which is equal to the average bid rate displayed at or about 10:30 a.m. (Sydney time) on the date that is two Business Days prior to the first day of that period on the Bloomberg BBSY page for a term equivalent to that period; or (b) if a rate for a term cannot be determined in accordance with clause (a) above because a rate is not displayed for a term equivalent to that period or if the basis on which that rate is displayed is changed and in the opinion of the Australian Administrative Agent ceases to reflect the Australian Lenders’ cost of funding to the same extent as of the date of this Agreement, the BBSY Rate for that period will be the rate determined by the Australian Administrative Agent at or about 10:30 a.m. (Sydney time) on the day of calculation (which day shall be two Business Days prior to the first day of that period) to be the average of the buying rates quoted to the Australian Administrative Agent by three Reference Banks selected by the Australian Administrative Agent (after consultation with the Australian Borrower) at or about that time on that date for bills of exchange that are accepted by an Australian bank and that have a term equivalent to the relevant period.</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Adjusted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Adjusted Term SOFR or the then-current Benchmark, then “Benchmark” means the applicable Benchmark Replacement to the extent that such Benchmark Replacement has replaced such prior benchmark rate pursuant to clause (a) of Section 2.26.</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 means with respect to any Benchmark Transition Event, for any Available Tenor, the sum of:</w:t>
      </w:r>
    </w:p>
    <w:p>
      <w:pPr>
        <w:spacing w:after="0" w:line="43" w:lineRule="exact"/>
        <w:rPr>
          <w:sz w:val="20"/>
          <w:szCs w:val="20"/>
          <w:color w:val="auto"/>
        </w:rPr>
      </w:pPr>
    </w:p>
    <w:p>
      <w:pPr>
        <w:jc w:val="both"/>
        <w:ind w:firstLine="8"/>
        <w:spacing w:after="0" w:line="247" w:lineRule="auto"/>
        <w:tabs>
          <w:tab w:leader="none" w:pos="30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in the United States and (b) the related Benchmark Replacement Adjustment.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Replacement Adjustment</w:t>
      </w:r>
      <w:r>
        <w:rPr>
          <w:rFonts w:ascii="Times New Roman" w:cs="Times New Roman" w:eastAsia="Times New Roman" w:hAnsi="Times New Roman"/>
          <w:sz w:val="21"/>
          <w:szCs w:val="21"/>
          <w:color w:val="auto"/>
        </w:rPr>
        <w:t>” means,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the then-current Benchmark:</w:t>
      </w:r>
    </w:p>
    <w:p>
      <w:pPr>
        <w:spacing w:after="0" w:line="141" w:lineRule="exact"/>
        <w:rPr>
          <w:sz w:val="20"/>
          <w:szCs w:val="20"/>
          <w:color w:val="auto"/>
        </w:rPr>
      </w:pPr>
    </w:p>
    <w:p>
      <w:pPr>
        <w:ind w:firstLine="656"/>
        <w:spacing w:after="0" w:line="271" w:lineRule="auto"/>
        <w:tabs>
          <w:tab w:leader="none" w:pos="128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w:t>
      </w:r>
    </w:p>
    <w:p>
      <w:pPr>
        <w:spacing w:after="0" w:line="200" w:lineRule="exact"/>
        <w:rPr>
          <w:sz w:val="20"/>
          <w:szCs w:val="20"/>
          <w:color w:val="auto"/>
        </w:rPr>
      </w:pPr>
    </w:p>
    <w:p>
      <w:pPr>
        <w:spacing w:after="0" w:line="3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20" w:name="page21"/>
    <w:bookmarkEnd w:id="20"/>
    <w:p>
      <w:pPr>
        <w:spacing w:after="0" w:line="271" w:lineRule="auto"/>
        <w:rPr>
          <w:sz w:val="20"/>
          <w:szCs w:val="20"/>
          <w:color w:val="auto"/>
        </w:rPr>
      </w:pPr>
      <w:r>
        <w:rPr>
          <w:rFonts w:ascii="Times New Roman" w:cs="Times New Roman" w:eastAsia="Times New Roman" w:hAnsi="Times New Roman"/>
          <w:sz w:val="22"/>
          <w:szCs w:val="22"/>
          <w:color w:val="auto"/>
        </w:rPr>
        <w:t>and (b) the date on which the administrator of such Benchmark (or the published component used in the calculation thereof) permanently or indefinitely ceases to provide all Available Tenors of such Benchmark (or such component thereof); or</w:t>
      </w:r>
    </w:p>
    <w:p>
      <w:pPr>
        <w:spacing w:after="0" w:line="158" w:lineRule="exact"/>
        <w:rPr>
          <w:sz w:val="20"/>
          <w:szCs w:val="20"/>
          <w:color w:val="auto"/>
        </w:rPr>
      </w:pPr>
    </w:p>
    <w:p>
      <w:pPr>
        <w:jc w:val="both"/>
        <w:ind w:firstLine="656"/>
        <w:spacing w:after="0" w:line="256" w:lineRule="auto"/>
        <w:tabs>
          <w:tab w:leader="none" w:pos="128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67" w:lineRule="exact"/>
        <w:rPr>
          <w:sz w:val="20"/>
          <w:szCs w:val="20"/>
          <w:color w:val="auto"/>
        </w:rPr>
      </w:pPr>
    </w:p>
    <w:p>
      <w:pPr>
        <w:jc w:val="both"/>
        <w:ind w:firstLine="656"/>
        <w:spacing w:after="0" w:line="253" w:lineRule="auto"/>
        <w:tabs>
          <w:tab w:leader="none" w:pos="128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79"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200" w:lineRule="exact"/>
        <w:rPr>
          <w:sz w:val="20"/>
          <w:szCs w:val="20"/>
          <w:color w:val="auto"/>
        </w:rPr>
      </w:pPr>
    </w:p>
    <w:p>
      <w:pPr>
        <w:spacing w:after="0" w:line="3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20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means, with respect to any Benchmark, the period (if any) (x) beginning at the time that a Benchmark Replacement Date has occurred if, at such time, no Benchmark Replacement has replaced the then-current Benchmark for all purposes hereunder and under any Loan Document in accordance with Section 2.26 and (y) ending at the time that a Benchmark Replacement has replaced such then-current Benchmark for all purposes hereunder and under any Loan Document in accordance with Section 2.26.</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Benefit Plan</w:t>
      </w:r>
      <w:r>
        <w:rPr>
          <w:rFonts w:ascii="Times New Roman" w:cs="Times New Roman" w:eastAsia="Times New Roman" w:hAnsi="Times New Roman"/>
          <w:sz w:val="22"/>
          <w:szCs w:val="22"/>
          <w:color w:val="auto"/>
        </w:rPr>
        <w:t>” shall mean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BHC Act Affiliate</w:t>
      </w:r>
      <w:r>
        <w:rPr>
          <w:rFonts w:ascii="Times New Roman" w:cs="Times New Roman" w:eastAsia="Times New Roman" w:hAnsi="Times New Roman"/>
          <w:sz w:val="22"/>
          <w:szCs w:val="22"/>
          <w:color w:val="auto"/>
        </w:rPr>
        <w:t>” of a party shall mean an “affiliate” (as such term is defined under, and interpreted in accordance with, 12 U.S.C. 1841(k)) of such party.</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Bilateral Agreement</w:t>
      </w:r>
      <w:r>
        <w:rPr>
          <w:rFonts w:ascii="Times New Roman" w:cs="Times New Roman" w:eastAsia="Times New Roman" w:hAnsi="Times New Roman"/>
          <w:sz w:val="22"/>
          <w:szCs w:val="22"/>
          <w:color w:val="auto"/>
        </w:rPr>
        <w:t>” shall mean collectively (i) that AUD$1,000,000 Guarantee Line provided by the Bilateral Lender to the Australian Borrower pursuant to the Facility Letter, dated as of August 20, 2020 (the “</w:t>
      </w:r>
      <w:r>
        <w:rPr>
          <w:rFonts w:ascii="Times New Roman" w:cs="Times New Roman" w:eastAsia="Times New Roman" w:hAnsi="Times New Roman"/>
          <w:sz w:val="22"/>
          <w:szCs w:val="22"/>
          <w:i w:val="1"/>
          <w:iCs w:val="1"/>
          <w:color w:val="auto"/>
        </w:rPr>
        <w:t>Facility Letter</w:t>
      </w:r>
      <w:r>
        <w:rPr>
          <w:rFonts w:ascii="Times New Roman" w:cs="Times New Roman" w:eastAsia="Times New Roman" w:hAnsi="Times New Roman"/>
          <w:sz w:val="22"/>
          <w:szCs w:val="22"/>
          <w:color w:val="auto"/>
        </w:rPr>
        <w:t>”) by and among the Australian Borrower, the Bilateral Lender and The Hongkong and Shanghai Banking Corporation ABN 65 117 925 970, as amended or supplemented from time to time and (ii) that AUD$700,000 corporate card limit provided by the Bilateral Lender to the Australian Borrower pursuant to that certain Variation Letter dated as of July 19, 2024, by and among Australian Borrower, the Bilateral Lender and The Hongkong and Shanghai Banking Corporation ABN 65 117 925 970, as amended or supplemented from time to time.</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Bilateral Lender</w:t>
      </w:r>
      <w:r>
        <w:rPr>
          <w:rFonts w:ascii="Times New Roman" w:cs="Times New Roman" w:eastAsia="Times New Roman" w:hAnsi="Times New Roman"/>
          <w:sz w:val="22"/>
          <w:szCs w:val="22"/>
          <w:color w:val="auto"/>
        </w:rPr>
        <w:t>” shall mean HSBC Bank Australia Limited ABN 48 006 434 162 in its capacity as lender under the Bilateral Agreement or any other Lender that succeeds HSBC Bank Australia Limited ABN 48 006 434 162 as a party to the Bilateral Agreement.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Bilateral Obligations</w:t>
      </w:r>
      <w:r>
        <w:rPr>
          <w:rFonts w:ascii="Times New Roman" w:cs="Times New Roman" w:eastAsia="Times New Roman" w:hAnsi="Times New Roman"/>
          <w:sz w:val="22"/>
          <w:szCs w:val="22"/>
          <w:color w:val="auto"/>
        </w:rPr>
        <w:t>” shall mean all the liabilities of the Australian Borrower to the Bilateral Lender under or by reason of the Bilateral Agreement, and includes any liabilities or obligations which are liquidated or unliquidated, are present, prospective or contingent, are in existence before or come into existence on or after the date of this Agreement or relate to the payment of money or the performance or omission of any act; provided that, the aggregate principal amount of Indebtedness included for purposes of determining Australian Bank</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Guarantee Obligations under this Agreement or any other Loan Document shall not exceed AUD$1,000,000.</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shall mean the Board of Governors of the Federal Reserve System of the United States of America.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Materials</w:t>
      </w:r>
      <w:r>
        <w:rPr>
          <w:rFonts w:ascii="Times New Roman" w:cs="Times New Roman" w:eastAsia="Times New Roman" w:hAnsi="Times New Roman"/>
          <w:sz w:val="22"/>
          <w:szCs w:val="22"/>
          <w:color w:val="auto"/>
        </w:rPr>
        <w:t>” shall have the meaning assigned to such term in Section 5.04.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Borrowers</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shall mean a Canadian Revolving Borrowing, an Australian Revolving Borrowing, a U.S. Revolving Borrowing or a Swing Line Borrowing.</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 Request</w:t>
      </w:r>
      <w:r>
        <w:rPr>
          <w:rFonts w:ascii="Times New Roman" w:cs="Times New Roman" w:eastAsia="Times New Roman" w:hAnsi="Times New Roman"/>
          <w:sz w:val="22"/>
          <w:szCs w:val="22"/>
          <w:color w:val="auto"/>
        </w:rPr>
        <w:t xml:space="preserve">” shall mean a request by a Borrower in accordance with the terms of Section 2.03 and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B-4</w:t>
      </w:r>
      <w:r>
        <w:rPr>
          <w:rFonts w:ascii="Times New Roman" w:cs="Times New Roman" w:eastAsia="Times New Roman" w:hAnsi="Times New Roman"/>
          <w:sz w:val="22"/>
          <w:szCs w:val="22"/>
          <w:color w:val="auto"/>
        </w:rPr>
        <w:t>, as applicable, or such other form as shall be reasonably approved by the Applicable Administrative Agent.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Breakage Event</w:t>
      </w:r>
      <w:r>
        <w:rPr>
          <w:rFonts w:ascii="Times New Roman" w:cs="Times New Roman" w:eastAsia="Times New Roman" w:hAnsi="Times New Roman"/>
          <w:sz w:val="22"/>
          <w:szCs w:val="22"/>
          <w:color w:val="auto"/>
        </w:rPr>
        <w:t>” shall have the meaning assigned to such term in Section 2.15.</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Business Day</w:t>
      </w:r>
      <w:r>
        <w:rPr>
          <w:rFonts w:ascii="Times New Roman" w:cs="Times New Roman" w:eastAsia="Times New Roman" w:hAnsi="Times New Roman"/>
          <w:sz w:val="21"/>
          <w:szCs w:val="21"/>
          <w:color w:val="auto"/>
        </w:rPr>
        <w:t xml:space="preserve">” shall mean (a) when used in connection with a Loan, Letter of Credit or payment denominated in U.S. dollars, any day other than a Saturday or a Sunday or a legal holiday on which commercial banks are authorized or required by law to be closed for business in New York, New York;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when used in connection with a SOFR Loan, or any other calculation or determination involving SOFR, the term “Business Day” means any day that is only a U.S. Government Securities Business Day, (b) when used in connection with a Canadian Revolving Credit Loan, a Canadian Letter of Credit or a payment under the Canadian Revolving Credit Facility, a day on which banks are open for over-the-counter business in Toronto, Ontario and Calgary, Alberta, and excludes Saturday, Sunday and any other day which is a statutory holiday in Toronto, Ontario or Calgary, Alberta, provided that, when used in connection with SOFR Loans or any other calculation or determination involving SOFR, the term “Business Day” means any day that is only a U.S. Government Securities Business Day, (c) when used in connection with an Australian Revolving Credit Loan, Australian Letter of Credit or payment denominated in Australian dollars or U.S. dollars under the Australian Revolving Credit Facility, any day other than a Saturday, Sunday or any day on which banks in Houston, New York City, Singapore, London, Hong Kong or Sydney, Australia are authorized or required by law to close and</w:t>
      </w:r>
    </w:p>
    <w:p>
      <w:pPr>
        <w:spacing w:after="0" w:line="12" w:lineRule="exact"/>
        <w:rPr>
          <w:sz w:val="20"/>
          <w:szCs w:val="20"/>
          <w:color w:val="auto"/>
        </w:rPr>
      </w:pPr>
    </w:p>
    <w:p>
      <w:pPr>
        <w:jc w:val="both"/>
        <w:ind w:right="20" w:firstLine="8"/>
        <w:spacing w:after="0" w:line="218" w:lineRule="auto"/>
        <w:tabs>
          <w:tab w:leader="none" w:pos="30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in connection with a Letter of Credit or payment denominated in an Alternative Currency, any day on which banks are open for foreign exchange business in the principal financial center of the country of such Alternative Currency and on which the relevant office of the Applicable Issuing Bank is not authorized or required by law to close.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Administrative Agent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Benefit Plans</w:t>
      </w:r>
      <w:r>
        <w:rPr>
          <w:rFonts w:ascii="Times New Roman" w:cs="Times New Roman" w:eastAsia="Times New Roman" w:hAnsi="Times New Roman"/>
          <w:sz w:val="22"/>
          <w:szCs w:val="22"/>
          <w:color w:val="auto"/>
        </w:rPr>
        <w:t>” shall mean all employee benefit plans of any nature or kind whatsoever that are not Canadian Pension Plans or Defined Benefit Plans and are maintained or contributed to by the Parent Borrower or any of the Canadian Subsidiaries, in each case covering employees in Canada.</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Collateral</w:t>
      </w:r>
      <w:r>
        <w:rPr>
          <w:rFonts w:ascii="Times New Roman" w:cs="Times New Roman" w:eastAsia="Times New Roman" w:hAnsi="Times New Roman"/>
          <w:sz w:val="22"/>
          <w:szCs w:val="22"/>
          <w:color w:val="auto"/>
        </w:rPr>
        <w:t>” shall mean all “Collateral” as defined in any Canadian Security Document.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Collateral Agent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Commitment Fees</w:t>
      </w:r>
      <w:r>
        <w:rPr>
          <w:rFonts w:ascii="Times New Roman" w:cs="Times New Roman" w:eastAsia="Times New Roman" w:hAnsi="Times New Roman"/>
          <w:sz w:val="22"/>
          <w:szCs w:val="22"/>
          <w:color w:val="auto"/>
        </w:rPr>
        <w:t>” shall have the meaning assigned to such term in Section 2.05(a)(ii).</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Dollar Equivalent</w:t>
      </w:r>
      <w:r>
        <w:rPr>
          <w:rFonts w:ascii="Times New Roman" w:cs="Times New Roman" w:eastAsia="Times New Roman" w:hAnsi="Times New Roman"/>
          <w:sz w:val="21"/>
          <w:szCs w:val="21"/>
          <w:color w:val="auto"/>
        </w:rPr>
        <w:t>” shall mean, on any date of determination, with respect to any amount in U.S. dollars, the equivalent in Canadian dollars of such amount, determined by the Administrative Agent using the Exchange Rate, then in effect.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w:t>
      </w:r>
      <w:r>
        <w:rPr>
          <w:rFonts w:ascii="Times New Roman" w:cs="Times New Roman" w:eastAsia="Times New Roman" w:hAnsi="Times New Roman"/>
          <w:sz w:val="22"/>
          <w:szCs w:val="22"/>
          <w:color w:val="auto"/>
        </w:rPr>
        <w:t>” shall mean lawful currency of Canada.</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Guarantee Agreement</w:t>
      </w:r>
      <w:r>
        <w:rPr>
          <w:rFonts w:ascii="Times New Roman" w:cs="Times New Roman" w:eastAsia="Times New Roman" w:hAnsi="Times New Roman"/>
          <w:sz w:val="22"/>
          <w:szCs w:val="22"/>
          <w:color w:val="auto"/>
        </w:rPr>
        <w:t xml:space="preserve">” shall mean the Canadian Guarantee Agreement, substantially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by the Parent Borrower and the Canadian Subsidiary Guarantors in favor of the Canadian Collateral Agent, for the benefit of the Secured Parties.</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L/C Exposure</w:t>
      </w:r>
      <w:r>
        <w:rPr>
          <w:rFonts w:ascii="Times New Roman" w:cs="Times New Roman" w:eastAsia="Times New Roman" w:hAnsi="Times New Roman"/>
          <w:sz w:val="22"/>
          <w:szCs w:val="22"/>
          <w:color w:val="auto"/>
        </w:rPr>
        <w:t>” shall mean at any time the sum of (a) the U.S. Dollar Equivalent of the aggregate undrawn amount of all outstanding Canadian Letters of Credit at such time plus (b) the U.S. Dollar Equivalent of the aggregate principal amount of all L/C Disbursements in respect of Canadian Letters of Credit that have not yet been reimbursed at such time. The Canadian L/C Exposure of any Canadian Revolving Lender at any time shall mean its Canadian Revolving Pro Rata Percentage of the aggregate Canadian L/C Exposure at such time.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L/C Participation Fee</w:t>
      </w:r>
      <w:r>
        <w:rPr>
          <w:rFonts w:ascii="Times New Roman" w:cs="Times New Roman" w:eastAsia="Times New Roman" w:hAnsi="Times New Roman"/>
          <w:sz w:val="22"/>
          <w:szCs w:val="22"/>
          <w:color w:val="auto"/>
        </w:rPr>
        <w:t>” shall have the meaning assigned to such term in Section 2.05(c).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Loan Parties</w:t>
      </w:r>
      <w:r>
        <w:rPr>
          <w:rFonts w:ascii="Times New Roman" w:cs="Times New Roman" w:eastAsia="Times New Roman" w:hAnsi="Times New Roman"/>
          <w:sz w:val="22"/>
          <w:szCs w:val="22"/>
          <w:color w:val="auto"/>
        </w:rPr>
        <w:t>” shall mean the Parent Borrower and the Canadian Subsidiary Guarantors.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Pension Plans</w:t>
      </w:r>
      <w:r>
        <w:rPr>
          <w:rFonts w:ascii="Times New Roman" w:cs="Times New Roman" w:eastAsia="Times New Roman" w:hAnsi="Times New Roman"/>
          <w:sz w:val="21"/>
          <w:szCs w:val="21"/>
          <w:color w:val="auto"/>
        </w:rPr>
        <w:t>” shall mean each plan that is considered to be a pension plan for the purposes of any applicable pension benefits standards statute and/or regulation in Canada established, maintained or contributed to by the Parent Borrower or any of the Canadian Subsidiaries for its employees or former employees, but excluding the Defined Benefit Plans.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Pledge Agreement</w:t>
      </w:r>
      <w:r>
        <w:rPr>
          <w:rFonts w:ascii="Times New Roman" w:cs="Times New Roman" w:eastAsia="Times New Roman" w:hAnsi="Times New Roman"/>
          <w:sz w:val="22"/>
          <w:szCs w:val="22"/>
          <w:color w:val="auto"/>
        </w:rPr>
        <w:t xml:space="preserve">” shall mean the Canadian Pledge Agreement,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among the Parent Borrower and each Canadian Subsidiary of the Parent Borrower party thereto, as pledgors, and the Canadian Collateral Agent, for the benefit of the Secured Parties.</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Prime Rate</w:t>
      </w:r>
      <w:r>
        <w:rPr>
          <w:rFonts w:ascii="Times New Roman" w:cs="Times New Roman" w:eastAsia="Times New Roman" w:hAnsi="Times New Roman"/>
          <w:sz w:val="22"/>
          <w:szCs w:val="22"/>
          <w:color w:val="auto"/>
        </w:rPr>
        <w:t>” shall mean, with respect to a Canadian Prime Rate Loan, on any day the greater of (a) the annual rate of interest announced from time to time by the Canadian Administrative Agent as being its reference rate then in effect on such day for determining interest rates on Canadian dollar-denominated commercial loans made by it in Canada and (b) Adjusted Term CORRA for an interest period of one month in effect from time to time plus 100 basis points per annum; provided that in no event shall the Canadian Prime Rate be less than zero for the purposes of this Agreement. The Canadian Prime Rate is a reference rate and does not necessarily represent the lowest or best rate actually charged to any customer. Any change in the Canadian Prime Rate determined by the Canadian Administrative Agent shall be effective on the date the change becomes effective generally.</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Borrowing</w:t>
      </w:r>
      <w:r>
        <w:rPr>
          <w:rFonts w:ascii="Times New Roman" w:cs="Times New Roman" w:eastAsia="Times New Roman" w:hAnsi="Times New Roman"/>
          <w:sz w:val="22"/>
          <w:szCs w:val="22"/>
          <w:color w:val="auto"/>
        </w:rPr>
        <w:t>” shall mean a group of Canadian Revolving Credit Loans of a single Type made, converted or continued by the Canadian Revolving Lenders on a</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24" w:name="page25"/>
    <w:bookmarkEnd w:id="24"/>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single date and, in the case of a SOFR Borrowing, as to which a single Interest Period is in effect and, in the case of a Term CORRA Borrowing, as to which a single Interest Period is in effect.</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Commitment</w:t>
      </w:r>
      <w:r>
        <w:rPr>
          <w:rFonts w:ascii="Times New Roman" w:cs="Times New Roman" w:eastAsia="Times New Roman" w:hAnsi="Times New Roman"/>
          <w:sz w:val="22"/>
          <w:szCs w:val="22"/>
          <w:color w:val="auto"/>
        </w:rPr>
        <w:t xml:space="preserve">” shall mean, with respect to each Canadian Revolving Lender, the commitment of such Canadian Revolving Lender to (a) make Canadian Revolving Credit Loans hereunder, (b) purchase participations in the Canadian L/C Exposure and (c) purchase participations in Canadian Swing Line Loans, in an aggregate principal amount not to exceed the amount set forth opposite such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“Canadian Revolving Commitment”, or in the Assignment and Acceptance or Lender Joinder Agreement pursuant to which such Canadian Revolving Lender assumed its Canadian Revolving Commitment, as applicable, as the same may be (i) increased from time to time pursuant to Section 2.25, (ii) reduced from time to time pursuant to Section 2.09 and (iii) reduced or increased from time to time pursuant to assignments by or to such Canadian Revolving Lender pursuant to Section 9.04. The aggregate amount of the Canadian Revolving Commitments as of the Closing Date is U.S.$205,000,000.</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Credit Exposure</w:t>
      </w:r>
      <w:r>
        <w:rPr>
          <w:rFonts w:ascii="Times New Roman" w:cs="Times New Roman" w:eastAsia="Times New Roman" w:hAnsi="Times New Roman"/>
          <w:sz w:val="22"/>
          <w:szCs w:val="22"/>
          <w:color w:val="auto"/>
        </w:rPr>
        <w:t xml:space="preserve">” shall mean, with respect to any Canadian Revolving Lender at any time, the aggregate principal amount at such time of all outstanding Canadian Revolving Credit Loans of such Lender denominated in U.S. dollars,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U.S. Dollar Equivalent of the aggregate principal amount at such time of all outstanding Canadian Revolving Credit Loans of such Canadian Revolving Lender denominated in Canadian dollars,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U.S. Dollar Equivalent of the aggregate amount at such time of such Canadian Revolving Lender’s Canadian Revolving Pro Rata Percentage of the Canadian L/C Exposure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such Canadian Revolving Lender’s Canadian Revolving Pro Rata Percentage of the outstanding amount of all Canadian Swing Line Loans.</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Credit Facility</w:t>
      </w:r>
      <w:r>
        <w:rPr>
          <w:rFonts w:ascii="Times New Roman" w:cs="Times New Roman" w:eastAsia="Times New Roman" w:hAnsi="Times New Roman"/>
          <w:sz w:val="22"/>
          <w:szCs w:val="22"/>
          <w:color w:val="auto"/>
        </w:rPr>
        <w:t>” shall mean at any time the aggregate amount of the Canadian Revolving Commitments of the Canadian Revolving Lenders at such time.</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Credit Loans</w:t>
      </w:r>
      <w:r>
        <w:rPr>
          <w:rFonts w:ascii="Times New Roman" w:cs="Times New Roman" w:eastAsia="Times New Roman" w:hAnsi="Times New Roman"/>
          <w:sz w:val="22"/>
          <w:szCs w:val="22"/>
          <w:color w:val="auto"/>
        </w:rPr>
        <w:t>” shall mean (a) the Canadian dollar-denominated Revolving Credit Loans made by the Canadian Revolving Lenders to the Parent Borrower hereunder and (b) the U.S. dollar-denominated Revolving Credit Loans made by the Canadian Revolving Lenders to the Parent Borrower. Each Canadian Revolving Credit Loan denominated in Canadian dollars shall be a Canadian Prime Rate Loan or a Term CORRA Loan. Each Canadian Revolving Credit Loan denominated in U.S. dollars and made to the Parent Borrower shall be a SOFR Loan or a U.S. Base Rate Loan.</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Lenders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Canadian Lenders</w:t>
      </w:r>
      <w:r>
        <w:rPr>
          <w:rFonts w:ascii="Times New Roman" w:cs="Times New Roman" w:eastAsia="Times New Roman" w:hAnsi="Times New Roman"/>
          <w:sz w:val="22"/>
          <w:szCs w:val="22"/>
          <w:color w:val="auto"/>
        </w:rPr>
        <w:t>” shall mean Lenders having Canadian Revolving Commitments, outstanding Canadian Revolving Credit Loans, or participations in Canadian Letters of Credit pursuant to Section 2.21(d) or in Canadian Swing Line Loans pursuant to Section 2.23.</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Revolving Pro Rata Percentage</w:t>
      </w:r>
      <w:r>
        <w:rPr>
          <w:rFonts w:ascii="Times New Roman" w:cs="Times New Roman" w:eastAsia="Times New Roman" w:hAnsi="Times New Roman"/>
          <w:sz w:val="22"/>
          <w:szCs w:val="22"/>
          <w:color w:val="auto"/>
        </w:rPr>
        <w:t xml:space="preserve">” of any Canadian Revolving Lender, subject to any adjustment as provided in Section 2.24(c) or Section 2.25(a), shall mean the percentage of the aggregate Canadian Revolving Commitments represented by such Canadian Revolving Lender’s Canadian Revolving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Canadian Revolving Commitments have terminated, the Canadian Revolving Pro Rata Percentages of the Canadian Revolving Lenders shall be determined based upon the Canadian Revolving Commitments most recently in effect, giving effect to any assignments</w:t>
      </w:r>
    </w:p>
    <w:p>
      <w:pPr>
        <w:spacing w:after="0" w:line="147"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Security Agreement</w:t>
      </w:r>
      <w:r>
        <w:rPr>
          <w:rFonts w:ascii="Times New Roman" w:cs="Times New Roman" w:eastAsia="Times New Roman" w:hAnsi="Times New Roman"/>
          <w:sz w:val="22"/>
          <w:szCs w:val="22"/>
          <w:color w:val="auto"/>
        </w:rPr>
        <w:t xml:space="preserve">” shall mean the Canadian Security Agreement, substantially in the form of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among each Canadian Subsidiary of the Parent Borrower</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party thereto, as grantors, and the Canadian Collateral Agent, for the benefit of the Secured Parties.</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Security Documents</w:t>
      </w:r>
      <w:r>
        <w:rPr>
          <w:rFonts w:ascii="Times New Roman" w:cs="Times New Roman" w:eastAsia="Times New Roman" w:hAnsi="Times New Roman"/>
          <w:sz w:val="22"/>
          <w:szCs w:val="22"/>
          <w:color w:val="auto"/>
        </w:rPr>
        <w:t>” shall mean the Canadian Security Agreement, the Canadian Pledge Agreement, and each other Security Document to which the Parent Borrower, any Canadian Subsidiary Guarantor or any other Subsidiary of the Parent Borrower is a party and that purports to grant a Lien in the assets of any such person in favor of the Canadian Collateral Agent for the benefit of the Secured Parties.</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Subsidiaries</w:t>
      </w:r>
      <w:r>
        <w:rPr>
          <w:rFonts w:ascii="Times New Roman" w:cs="Times New Roman" w:eastAsia="Times New Roman" w:hAnsi="Times New Roman"/>
          <w:sz w:val="22"/>
          <w:szCs w:val="22"/>
          <w:color w:val="auto"/>
        </w:rPr>
        <w:t>” shall mean the Subsidiaries organized under the laws of Canada or any province, territory or other political subdivision thereof, other than any U.S. Owned Subsidiary.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Subsidiary Guarantor</w:t>
      </w:r>
      <w:r>
        <w:rPr>
          <w:rFonts w:ascii="Times New Roman" w:cs="Times New Roman" w:eastAsia="Times New Roman" w:hAnsi="Times New Roman"/>
          <w:sz w:val="22"/>
          <w:szCs w:val="22"/>
          <w:color w:val="auto"/>
        </w:rPr>
        <w:t xml:space="preserve">” shall mean each Canadian Subsidiary listed on </w:t>
      </w:r>
      <w:r>
        <w:rPr>
          <w:rFonts w:ascii="Times New Roman" w:cs="Times New Roman" w:eastAsia="Times New Roman" w:hAnsi="Times New Roman"/>
          <w:sz w:val="22"/>
          <w:szCs w:val="22"/>
          <w:u w:val="single" w:color="auto"/>
          <w:color w:val="auto"/>
        </w:rPr>
        <w:t>Schedule 1.01(c)</w:t>
      </w:r>
      <w:r>
        <w:rPr>
          <w:rFonts w:ascii="Times New Roman" w:cs="Times New Roman" w:eastAsia="Times New Roman" w:hAnsi="Times New Roman"/>
          <w:sz w:val="22"/>
          <w:szCs w:val="22"/>
          <w:color w:val="auto"/>
        </w:rPr>
        <w:t>, and each other Canadian Subsidiary that is or becomes a party to the Canadian Guarantee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Swing Line Borrowing</w:t>
      </w:r>
      <w:r>
        <w:rPr>
          <w:rFonts w:ascii="Times New Roman" w:cs="Times New Roman" w:eastAsia="Times New Roman" w:hAnsi="Times New Roman"/>
          <w:sz w:val="22"/>
          <w:szCs w:val="22"/>
          <w:color w:val="auto"/>
        </w:rPr>
        <w:t>” shall mean a borrowing of a Canadian Swing Line Loan pursuant to Section 2.23(a) (ii) or, if an AutoBorrow Agreement is in effect, any transfer of funds pursuant to such AutoBorrow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Swing Line Lender</w:t>
      </w:r>
      <w:r>
        <w:rPr>
          <w:rFonts w:ascii="Times New Roman" w:cs="Times New Roman" w:eastAsia="Times New Roman" w:hAnsi="Times New Roman"/>
          <w:sz w:val="22"/>
          <w:szCs w:val="22"/>
          <w:color w:val="auto"/>
        </w:rPr>
        <w:t>” shall mean RBC in its capacity as provider of Canadian Swing Line Loans, or any successor swing line lender hereunder.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Swing Line Loan</w:t>
      </w:r>
      <w:r>
        <w:rPr>
          <w:rFonts w:ascii="Times New Roman" w:cs="Times New Roman" w:eastAsia="Times New Roman" w:hAnsi="Times New Roman"/>
          <w:sz w:val="22"/>
          <w:szCs w:val="22"/>
          <w:color w:val="auto"/>
        </w:rPr>
        <w:t>” shall have the meaning assigned to such term in Section 2.23(a)(ii).</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Swing Line Sublimit</w:t>
      </w:r>
      <w:r>
        <w:rPr>
          <w:rFonts w:ascii="Times New Roman" w:cs="Times New Roman" w:eastAsia="Times New Roman" w:hAnsi="Times New Roman"/>
          <w:sz w:val="22"/>
          <w:szCs w:val="22"/>
          <w:color w:val="auto"/>
        </w:rPr>
        <w:t>” shall mean U.S.$25,000,000. The Canadian Swing Line Sublimit is part of, and not in addition to, the Canadian Revolving Commitments.</w:t>
      </w:r>
    </w:p>
    <w:p>
      <w:pPr>
        <w:spacing w:after="0" w:line="14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Capital Lease Obligations</w:t>
      </w:r>
      <w:r>
        <w:rPr>
          <w:rFonts w:ascii="Times New Roman" w:cs="Times New Roman" w:eastAsia="Times New Roman" w:hAnsi="Times New Roman"/>
          <w:sz w:val="21"/>
          <w:szCs w:val="21"/>
          <w:color w:val="auto"/>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Cash Collateralize</w:t>
      </w:r>
      <w:r>
        <w:rPr>
          <w:rFonts w:ascii="Times New Roman" w:cs="Times New Roman" w:eastAsia="Times New Roman" w:hAnsi="Times New Roman"/>
          <w:sz w:val="22"/>
          <w:szCs w:val="22"/>
          <w:color w:val="auto"/>
        </w:rPr>
        <w:t>” shall mean to pledge and deposit with or deliver to the Applicable Collateral Agent, for the benefit of the Secured Parties, as collateral for the U.S. L/C Exposure, the Canadian L/C Exposure or the Australian L/C Exposure, as applicable, cash or deposit account balances pursuant to documentation in form and substance reasonably satisfactory to the Applicable Borrower, the Applicable Collateral Agent and the Applicable Issuing Banks (which documentation is hereby consented to by the Lenders). Derivatives of such term have corresponding meanings.</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shall mean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Parent Borrower; (b) the failure by the Parent Borrower to own, directly or indirectly, beneficially and of record, 100% of the issued and outstanding Equity Interests of any U.S. Borrower; (c) the failure by the Parent Borrower to</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26" w:name="page27"/>
    <w:bookmarkEnd w:id="26"/>
    <w:p>
      <w:pPr>
        <w:jc w:val="both"/>
        <w:spacing w:after="0" w:line="225" w:lineRule="auto"/>
        <w:rPr>
          <w:sz w:val="20"/>
          <w:szCs w:val="20"/>
          <w:color w:val="auto"/>
        </w:rPr>
      </w:pPr>
      <w:r>
        <w:rPr>
          <w:rFonts w:ascii="Times New Roman" w:cs="Times New Roman" w:eastAsia="Times New Roman" w:hAnsi="Times New Roman"/>
          <w:sz w:val="22"/>
          <w:szCs w:val="22"/>
          <w:color w:val="auto"/>
        </w:rPr>
        <w:t>own, directly or indirectly, beneficially and of record, 100% of the issued and outstanding Equity Interests of the Australian Borrower; or (d) the occurrence of any “fundamental change”, “Change in Control” or similar event under the documentation governing any Material Indebtedness, any Qualified Offering or any Permitted Convertible Indebtedness.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Change in Law</w:t>
      </w:r>
      <w:r>
        <w:rPr>
          <w:rFonts w:ascii="Times New Roman" w:cs="Times New Roman" w:eastAsia="Times New Roman" w:hAnsi="Times New Roman"/>
          <w:sz w:val="21"/>
          <w:szCs w:val="21"/>
          <w:color w:val="auto"/>
        </w:rPr>
        <w:t xml:space="preserve">” shall mean (a) the adoption of any law, rule, regulation or treaty after the Closing Date, (b) any change in any law, rule or regulation or in the administration, interpretation, implementation or application thereof by any Governmental Authority after the Closing Date or (c) compliance by any Lender or an Issuing Bank (or, for purposes of Section 2.13, by any lending office of such Lender or by such Lender’s or such Issuing Bank’s holding company, if any) with any request, guideline or directive (whether or not having the force of law) of any Governmental Authority made or issued after the Closing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for purposes of this Agreement and notwithstanding anything to the contrary, (i) the Dodd-Frank Wall Street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2"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Class</w:t>
      </w:r>
      <w:r>
        <w:rPr>
          <w:rFonts w:ascii="Times New Roman" w:cs="Times New Roman" w:eastAsia="Times New Roman" w:hAnsi="Times New Roman"/>
          <w:sz w:val="21"/>
          <w:szCs w:val="21"/>
          <w:color w:val="auto"/>
        </w:rPr>
        <w:t>”, when used in reference to (a) any Loan or Borrowing, refers to whether such Loan, or the Loans comprising such Borrowing, are Canadian Revolving Credit Loans, Australian Revolving Credit Loans or U.S. Revolving Credit Loans, and</w:t>
      </w:r>
    </w:p>
    <w:p>
      <w:pPr>
        <w:spacing w:after="0" w:line="1" w:lineRule="exact"/>
        <w:rPr>
          <w:sz w:val="20"/>
          <w:szCs w:val="20"/>
          <w:color w:val="auto"/>
        </w:rPr>
      </w:pPr>
    </w:p>
    <w:p>
      <w:pPr>
        <w:ind w:firstLine="8"/>
        <w:spacing w:after="0" w:line="225" w:lineRule="auto"/>
        <w:tabs>
          <w:tab w:leader="none" w:pos="36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Commitment, refers to whether such Commitment is a Canadian Revolving Commitment, Australian Revolving Commitment or a U.S. Revolving Commitment.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Date</w:t>
      </w:r>
      <w:r>
        <w:rPr>
          <w:rFonts w:ascii="Times New Roman" w:cs="Times New Roman" w:eastAsia="Times New Roman" w:hAnsi="Times New Roman"/>
          <w:sz w:val="22"/>
          <w:szCs w:val="22"/>
          <w:color w:val="auto"/>
        </w:rPr>
        <w:t>” shall mean the date upon which all of the conditions set forth in Sections 4.01 and 4.02 are satisfied or waived in accordance with Section 9.08(b).</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shall mean the Internal Revenue Code of 1986, as amended from time to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w:t>
      </w:r>
      <w:r>
        <w:rPr>
          <w:rFonts w:ascii="Times New Roman" w:cs="Times New Roman" w:eastAsia="Times New Roman" w:hAnsi="Times New Roman"/>
          <w:sz w:val="22"/>
          <w:szCs w:val="22"/>
          <w:color w:val="auto"/>
        </w:rPr>
        <w:t>” shall mean, collectively, all of the U.S. Collateral, the Canadian Collateral and the Australian Collateral.</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Agents</w:t>
      </w:r>
      <w:r>
        <w:rPr>
          <w:rFonts w:ascii="Times New Roman" w:cs="Times New Roman" w:eastAsia="Times New Roman" w:hAnsi="Times New Roman"/>
          <w:sz w:val="22"/>
          <w:szCs w:val="22"/>
          <w:color w:val="auto"/>
        </w:rPr>
        <w:t>” shall mean, collectively, the U.S. Collateral Agent, the Canadian Collateral Agent and the Australian Collateral Agent.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shall mean, with respect to any Lender, such Lender’s U.S. Revolving Commitment, Canadian Revolving Commitment, Australian Revolving Commitment or any Incremental Revolving Commitment, and “</w:t>
      </w:r>
      <w:r>
        <w:rPr>
          <w:rFonts w:ascii="Times New Roman" w:cs="Times New Roman" w:eastAsia="Times New Roman" w:hAnsi="Times New Roman"/>
          <w:sz w:val="22"/>
          <w:szCs w:val="22"/>
          <w:i w:val="1"/>
          <w:iCs w:val="1"/>
          <w:color w:val="auto"/>
        </w:rPr>
        <w:t>Commitments</w:t>
      </w:r>
      <w:r>
        <w:rPr>
          <w:rFonts w:ascii="Times New Roman" w:cs="Times New Roman" w:eastAsia="Times New Roman" w:hAnsi="Times New Roman"/>
          <w:sz w:val="22"/>
          <w:szCs w:val="22"/>
          <w:color w:val="auto"/>
        </w:rPr>
        <w:t>” shall mean the U.S. Revolving Commitments, the Canadian Revolving Commitments, the Australian Revolving Commitments and any Incremental Revolving Commitments.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Fees</w:t>
      </w:r>
      <w:r>
        <w:rPr>
          <w:rFonts w:ascii="Times New Roman" w:cs="Times New Roman" w:eastAsia="Times New Roman" w:hAnsi="Times New Roman"/>
          <w:sz w:val="22"/>
          <w:szCs w:val="22"/>
          <w:color w:val="auto"/>
        </w:rPr>
        <w:t>” shall have the meaning assigned to such term in Section 2.05(a)(iii).</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Commodity Exchange Act</w:t>
      </w:r>
      <w:r>
        <w:rPr>
          <w:rFonts w:ascii="Times New Roman" w:cs="Times New Roman" w:eastAsia="Times New Roman" w:hAnsi="Times New Roman"/>
          <w:sz w:val="22"/>
          <w:szCs w:val="22"/>
          <w:color w:val="auto"/>
        </w:rPr>
        <w:t>” shall mean the Commodity Exchange Act (7 U.S.C. Section 1 et seq.), as amended from time to time, and any successor statute.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Compliance Certificate</w:t>
      </w:r>
      <w:r>
        <w:rPr>
          <w:rFonts w:ascii="Times New Roman" w:cs="Times New Roman" w:eastAsia="Times New Roman" w:hAnsi="Times New Roman"/>
          <w:sz w:val="22"/>
          <w:szCs w:val="22"/>
          <w:color w:val="auto"/>
        </w:rPr>
        <w:t>” shall have the meaning assigned to such term in Section 5.04(c).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27" w:name="page28"/>
    <w:bookmarkEnd w:id="27"/>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shall mean, with respect to either the use or administration of Term SOFR or the use, administration, adoption or implementation of any Benchmark Replacement, any technical, administrative or operational changes (including changes to the definition of “Alternate Base Rate,” the definition of “U.S.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2.26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necessary in connection with the administration of this Agreement and the other Loan Documents).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Connection Income Taxes</w:t>
      </w:r>
      <w:r>
        <w:rPr>
          <w:rFonts w:ascii="Times New Roman" w:cs="Times New Roman" w:eastAsia="Times New Roman" w:hAnsi="Times New Roman"/>
          <w:sz w:val="22"/>
          <w:szCs w:val="22"/>
          <w:color w:val="auto"/>
        </w:rPr>
        <w:t>” shall mean Other Connection Taxes that are imposed on or measured by net income (however denominated) or that are franchise Taxes or branch profits Taxes.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EBITDA</w:t>
      </w:r>
      <w:r>
        <w:rPr>
          <w:rFonts w:ascii="Times New Roman" w:cs="Times New Roman" w:eastAsia="Times New Roman" w:hAnsi="Times New Roman"/>
          <w:sz w:val="22"/>
          <w:szCs w:val="22"/>
          <w:color w:val="auto"/>
        </w:rPr>
        <w:t>” shall mean, for any period, EBITDA of the Parent Borrower and the Subsidiaries for such period, all determined on a consolidated basis.</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Interest Expense</w:t>
      </w:r>
      <w:r>
        <w:rPr>
          <w:rFonts w:ascii="Times New Roman" w:cs="Times New Roman" w:eastAsia="Times New Roman" w:hAnsi="Times New Roman"/>
          <w:sz w:val="22"/>
          <w:szCs w:val="22"/>
          <w:color w:val="auto"/>
        </w:rPr>
        <w:t>” shall mean, for any person for any period, the sum of (a) the interest expense (including imputed interest expense in respect of Capital Lease Obligations but excluding the amortization of debt discount and debt issuance costs) of such person for such period, determined on a consolidated basis in accordance with GAAP, plus (b) any interest accrued during such period in respect of Indebtedness of such person that is required to be capitalized rather than included in consolidated interest expense for such period in accordance with GAAP. For purposes of the foregoing, interest expense shall be determined after giving effect to any net payments made or received by such person with respect to interest rate Hedging Agreements.</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Net Income</w:t>
      </w:r>
      <w:r>
        <w:rPr>
          <w:rFonts w:ascii="Times New Roman" w:cs="Times New Roman" w:eastAsia="Times New Roman" w:hAnsi="Times New Roman"/>
          <w:sz w:val="21"/>
          <w:szCs w:val="21"/>
          <w:color w:val="auto"/>
        </w:rPr>
        <w:t xml:space="preserve">” shall mean, for any person for any period, the net income or loss of such person for such period determined on a consolidated basis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there shall be excluded (a) the income of any subsidiary of such person to the extent that the declaration or payment of dividends or similar distributions by such subsidiary of that income is not at the time permitted by operation of the terms of its charter or any agreement, instrument, judgment, decree, statute, rule or governmental regulation applicable to such subsidiary, (b) the income of any person in which any other person (other than such person or a wholly owned subsidiary thereof or any director holding qualifying shares in accordance with applicable law) has a joint interest, except to the extent of the amount of dividends or other distributions actually paid to such person or a wholly owned subsidiary thereof by such person during such period, and (c) any gains or losses attributable to sales of assets out of the ordinary course of business. For the avoidance of doubt, Consolidated Net Income shall include all amounts recognized as income during such period from the Canada Emergency Wage Subsidy program (but shall deduct, if applicable, any such amounts that were required to be repaid during such period as a result of program non-compliance).</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28" w:name="page29"/>
    <w:bookmarkEnd w:id="28"/>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Worth</w:t>
      </w:r>
      <w:r>
        <w:rPr>
          <w:rFonts w:ascii="Times New Roman" w:cs="Times New Roman" w:eastAsia="Times New Roman" w:hAnsi="Times New Roman"/>
          <w:sz w:val="22"/>
          <w:szCs w:val="22"/>
          <w:color w:val="auto"/>
        </w:rPr>
        <w:t>” shall mean, at any time, the net worth or total shareholders’ equity of the Parent Borrower and its subsidiaries on a consolidated basis determined in accordance with GAAP.</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w:t>
      </w:r>
      <w:r>
        <w:rPr>
          <w:rFonts w:ascii="Times New Roman" w:cs="Times New Roman" w:eastAsia="Times New Roman" w:hAnsi="Times New Roman"/>
          <w:sz w:val="22"/>
          <w:szCs w:val="22"/>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shall have meanings correlative thereto.</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CORRA</w:t>
      </w:r>
      <w:r>
        <w:rPr>
          <w:rFonts w:ascii="Times New Roman" w:cs="Times New Roman" w:eastAsia="Times New Roman" w:hAnsi="Times New Roman"/>
          <w:sz w:val="22"/>
          <w:szCs w:val="22"/>
          <w:color w:val="auto"/>
        </w:rPr>
        <w:t>” means the Canadian Overnight Repo Rate Average administered and published by the Bank of Canada (or any successor administrator).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Entity</w:t>
      </w:r>
      <w:r>
        <w:rPr>
          <w:rFonts w:ascii="Times New Roman" w:cs="Times New Roman" w:eastAsia="Times New Roman" w:hAnsi="Times New Roman"/>
          <w:sz w:val="22"/>
          <w:szCs w:val="22"/>
          <w:color w:val="auto"/>
        </w:rPr>
        <w:t>” shall mean any of the following:</w:t>
      </w:r>
    </w:p>
    <w:p>
      <w:pPr>
        <w:spacing w:after="0" w:line="224"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Party</w:t>
      </w:r>
      <w:r>
        <w:rPr>
          <w:rFonts w:ascii="Times New Roman" w:cs="Times New Roman" w:eastAsia="Times New Roman" w:hAnsi="Times New Roman"/>
          <w:sz w:val="22"/>
          <w:szCs w:val="22"/>
          <w:color w:val="auto"/>
        </w:rPr>
        <w:t>” shall have the meaning provided in Section 9.25.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Credit Event</w:t>
      </w:r>
      <w:r>
        <w:rPr>
          <w:rFonts w:ascii="Times New Roman" w:cs="Times New Roman" w:eastAsia="Times New Roman" w:hAnsi="Times New Roman"/>
          <w:sz w:val="22"/>
          <w:szCs w:val="22"/>
          <w:color w:val="auto"/>
        </w:rPr>
        <w:t>” shall have the meaning assigned to such term in Section 4.01.</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Customary Junior Lien Intercreditor Agreement</w:t>
      </w:r>
      <w:r>
        <w:rPr>
          <w:rFonts w:ascii="Times New Roman" w:cs="Times New Roman" w:eastAsia="Times New Roman" w:hAnsi="Times New Roman"/>
          <w:sz w:val="22"/>
          <w:szCs w:val="22"/>
          <w:color w:val="auto"/>
        </w:rPr>
        <w:t>” shall mean an intercreditor agreement, reasonably acceptable to the Loan Party incurring Indebtedness under the indenture or agreement pursuant to which a Qualified Offering is issued, incurred or otherwise obtained, the Agents and the Required Lenders, to be entered into by and among such Loan Party, the other Loan Parties party thereto, the Agents and the trustee, administrative agent, collateral agent, security agent or similar agent and under such indenture or agreement pursuant to which such Qualified Offering is issued, incurred or otherwise obtained, as the case may be, and each of their successors in such capacities.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Decision Period</w:t>
      </w:r>
      <w:r>
        <w:rPr>
          <w:rFonts w:ascii="Times New Roman" w:cs="Times New Roman" w:eastAsia="Times New Roman" w:hAnsi="Times New Roman"/>
          <w:sz w:val="22"/>
          <w:szCs w:val="22"/>
          <w:color w:val="auto"/>
        </w:rPr>
        <w:t>” shall have the meaning assigned to such term in Section 2.17(d).</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shall mean any event or condition which upon notice, lapse of time or both would constitute an Event of Default.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Defaulting Lender</w:t>
      </w:r>
      <w:r>
        <w:rPr>
          <w:rFonts w:ascii="Times New Roman" w:cs="Times New Roman" w:eastAsia="Times New Roman" w:hAnsi="Times New Roman"/>
          <w:sz w:val="22"/>
          <w:szCs w:val="22"/>
          <w:color w:val="auto"/>
        </w:rPr>
        <w:t>” shall mean, subject to Section 2.24(d), any Lender that:</w:t>
      </w:r>
    </w:p>
    <w:p>
      <w:pPr>
        <w:spacing w:after="0" w:line="183" w:lineRule="exact"/>
        <w:rPr>
          <w:sz w:val="20"/>
          <w:szCs w:val="20"/>
          <w:color w:val="auto"/>
        </w:rPr>
      </w:pPr>
    </w:p>
    <w:p>
      <w:pPr>
        <w:jc w:val="both"/>
        <w:ind w:firstLine="1304"/>
        <w:spacing w:after="0" w:line="215"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failed to (i) fund all or any portion of its Loans within two (2) Business Days of the date such Loans were required to be funded hereunder unless such Lender notifies an Administrative Agent and the Parent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an Administrative Agent, any Issuing Bank, and any Swing Line Lender of any other Lender any other amount required to be paid by it hereunder</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29" w:name="page30"/>
    <w:bookmarkEnd w:id="29"/>
    <w:p>
      <w:pPr>
        <w:spacing w:after="0" w:line="236" w:lineRule="auto"/>
        <w:rPr>
          <w:sz w:val="20"/>
          <w:szCs w:val="20"/>
          <w:color w:val="auto"/>
        </w:rPr>
      </w:pPr>
      <w:r>
        <w:rPr>
          <w:rFonts w:ascii="Times New Roman" w:cs="Times New Roman" w:eastAsia="Times New Roman" w:hAnsi="Times New Roman"/>
          <w:sz w:val="22"/>
          <w:szCs w:val="22"/>
          <w:color w:val="auto"/>
        </w:rPr>
        <w:t>(including in respect of its participation in Letters of Credit or Swing Line Loans) within two (2) Business Days of the date when due;</w:t>
      </w:r>
    </w:p>
    <w:p>
      <w:pPr>
        <w:spacing w:after="0" w:line="150" w:lineRule="exact"/>
        <w:rPr>
          <w:sz w:val="20"/>
          <w:szCs w:val="20"/>
          <w:color w:val="auto"/>
        </w:rPr>
      </w:pPr>
    </w:p>
    <w:p>
      <w:pPr>
        <w:jc w:val="both"/>
        <w:ind w:firstLine="1304"/>
        <w:spacing w:after="0" w:line="217"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notified any Borrower, an Administrative Agent or any Issuing Bank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failed, within three (3) Business Days after request by an Administrative Agent or any Borrower, to confirm in writing to such Administrative Agent and such Borrower that it will comply with its funding obligations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such Administrative Agent and such Borrower);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or has a direct or indirect parent company that has, (i) become the subject of a proceeding under any Insolvency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Lender shall not be a Defaulting Lender solely by virtue of the ownership or acquisition of any equity interest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an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each Borrower, each Issuing Bank, each Swing Line Lender and each Lender.</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Defined Benefit Plan</w:t>
      </w:r>
      <w:r>
        <w:rPr>
          <w:rFonts w:ascii="Times New Roman" w:cs="Times New Roman" w:eastAsia="Times New Roman" w:hAnsi="Times New Roman"/>
          <w:sz w:val="22"/>
          <w:szCs w:val="22"/>
          <w:color w:val="auto"/>
        </w:rPr>
        <w:t xml:space="preserve">” shall mean each of the pension plans identified as such in </w:t>
      </w:r>
      <w:r>
        <w:rPr>
          <w:rFonts w:ascii="Times New Roman" w:cs="Times New Roman" w:eastAsia="Times New Roman" w:hAnsi="Times New Roman"/>
          <w:sz w:val="22"/>
          <w:szCs w:val="22"/>
          <w:u w:val="single" w:color="auto"/>
          <w:color w:val="auto"/>
        </w:rPr>
        <w:t>Schedule 3.16(b)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Person</w:t>
      </w:r>
      <w:r>
        <w:rPr>
          <w:rFonts w:ascii="Times New Roman" w:cs="Times New Roman" w:eastAsia="Times New Roman" w:hAnsi="Times New Roman"/>
          <w:sz w:val="22"/>
          <w:szCs w:val="22"/>
          <w:color w:val="auto"/>
        </w:rPr>
        <w:t>” shall mean a person or entity (a) listed in the annex to, or otherwise subject to the provisions of, any Executive Order (as defined in the definition of “Sanctions Laws and Regulations” below); (b) named as a “Specially Designated National and Blocked Person” (“</w:t>
      </w:r>
      <w:r>
        <w:rPr>
          <w:rFonts w:ascii="Times New Roman" w:cs="Times New Roman" w:eastAsia="Times New Roman" w:hAnsi="Times New Roman"/>
          <w:sz w:val="22"/>
          <w:szCs w:val="22"/>
          <w:i w:val="1"/>
          <w:iCs w:val="1"/>
          <w:color w:val="auto"/>
        </w:rPr>
        <w:t>SDN</w:t>
      </w:r>
      <w:r>
        <w:rPr>
          <w:rFonts w:ascii="Times New Roman" w:cs="Times New Roman" w:eastAsia="Times New Roman" w:hAnsi="Times New Roman"/>
          <w:sz w:val="22"/>
          <w:szCs w:val="22"/>
          <w:color w:val="auto"/>
        </w:rPr>
        <w:t>”) on the most current list published by OFAC at its official website or any replacement website or other replacement official publication of such list (“</w:t>
      </w:r>
      <w:r>
        <w:rPr>
          <w:rFonts w:ascii="Times New Roman" w:cs="Times New Roman" w:eastAsia="Times New Roman" w:hAnsi="Times New Roman"/>
          <w:sz w:val="22"/>
          <w:szCs w:val="22"/>
          <w:i w:val="1"/>
          <w:iCs w:val="1"/>
          <w:color w:val="auto"/>
        </w:rPr>
        <w:t>SDN List</w:t>
      </w:r>
      <w:r>
        <w:rPr>
          <w:rFonts w:ascii="Times New Roman" w:cs="Times New Roman" w:eastAsia="Times New Roman" w:hAnsi="Times New Roman"/>
          <w:sz w:val="22"/>
          <w:szCs w:val="22"/>
          <w:color w:val="auto"/>
        </w:rPr>
        <w:t>”); (c) in which an entity on the SDN List has, to the knowledge of Parent Borrower or any of its subsidiaries, (i) 50% or greater ownership interest or (ii) control of operations and day-to-day activities; or (d) listed in any sanctions-related list of designated persons maintained by the United Nations Security Council, the European Union or any European Union member state or that is otherwise the subject of Sanctions Laws and Regulations.</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Documents</w:t>
      </w:r>
      <w:r>
        <w:rPr>
          <w:rFonts w:ascii="Times New Roman" w:cs="Times New Roman" w:eastAsia="Times New Roman" w:hAnsi="Times New Roman"/>
          <w:sz w:val="22"/>
          <w:szCs w:val="22"/>
          <w:color w:val="auto"/>
        </w:rPr>
        <w:t>” shall have the meaning assigned to such term in Section 1.03.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U.S. 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shall mean lawful money of the United States of America.</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Domestic Subsidiaries</w:t>
      </w:r>
      <w:r>
        <w:rPr>
          <w:rFonts w:ascii="Times New Roman" w:cs="Times New Roman" w:eastAsia="Times New Roman" w:hAnsi="Times New Roman"/>
          <w:sz w:val="22"/>
          <w:szCs w:val="22"/>
          <w:color w:val="auto"/>
        </w:rPr>
        <w:t>” shall mean all Subsidiaries (other than the U.S. Borrowers) incorporated or organized under the laws of the United States of America, any State thereof or the District of Columbia.</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EBITDA</w:t>
      </w:r>
      <w:r>
        <w:rPr>
          <w:rFonts w:ascii="Times New Roman" w:cs="Times New Roman" w:eastAsia="Times New Roman" w:hAnsi="Times New Roman"/>
          <w:sz w:val="21"/>
          <w:szCs w:val="21"/>
          <w:color w:val="auto"/>
        </w:rPr>
        <w:t xml:space="preserve">” shall mean, for any person for any period, Consolidated Net Income of such person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or extraordinary losses for such period, (v) costs related to strategically positioning assets around growth opportunities in an aggregate amount not to exceed the greater of (A) 5% of EBITDA (after giving effect to this clause (a)(v)) and (B) U.S.$5,000,000, (vi) transaction costs associated with any Permitted Acquisitions in an aggregate amount not to exceed U.S.$15,000,000 during the term of this Agreement and (vii) the amount of cost savings, operating expense reductions and synergies directly attributable and of continuing effect and projected by the Parent Borrower in good faith to be realized within 12 months after consummation of a Permitted Acquisition (calculated on a pro forma basis as though such cost savings, operating expense reductions and synergies had been realized on the first day of such period for which EBITDA is being determined and as if such cost savings, operating expense reductions and synergies were realized during the entirety of such period), net of the amount of actual benefits realized during such period from such actions;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ind w:left="380" w:hanging="372"/>
        <w:spacing w:after="0" w:line="216" w:lineRule="auto"/>
        <w:tabs>
          <w:tab w:leader="none" w:pos="3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cost savings, operating expense reductions and synergies (1) are reasonably identifiable and factually supportable and</w:t>
      </w:r>
    </w:p>
    <w:p>
      <w:pPr>
        <w:jc w:val="both"/>
        <w:spacing w:after="0" w:line="21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 have been approved by the Administrative Agent in its reasonable discretion and (B) the aggregate amount of such cost savings, operating expense reductions and synergies included pursuant to this clause (a)(vii), shall not exceed 10% of EBITDA (after giving effect to this clause (a)(vii)), and minus (b) without duplication (i) all cash payments made during such period on account of reserves, restructuring charges and other noncash charges added to Consolidated Net Income pursuant to clause (a)(iv) above in a previous period and (ii) to the extent included in determining such Consolidated Net Income, any extraordinary gains and all noncash items of income for such period, all determined for such person on a consolidated basis in accordance with GAAP. For the avoidance of doubt, without duplication of any amounts included in Consolidated Net Income, EBITDA shall include all amounts recognized as income during such period from the Canada Wage Subsidy program (but shall deduct, if applicable, any such amounts that were required to be repaid during such period as a result of program non-compliance).</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Financial Institution</w:t>
      </w:r>
      <w:r>
        <w:rPr>
          <w:rFonts w:ascii="Times New Roman" w:cs="Times New Roman" w:eastAsia="Times New Roman" w:hAnsi="Times New Roman"/>
          <w:sz w:val="22"/>
          <w:szCs w:val="22"/>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EEA Member Country</w:t>
      </w:r>
      <w:r>
        <w:rPr>
          <w:rFonts w:ascii="Times New Roman" w:cs="Times New Roman" w:eastAsia="Times New Roman" w:hAnsi="Times New Roman"/>
          <w:sz w:val="21"/>
          <w:szCs w:val="21"/>
          <w:color w:val="auto"/>
        </w:rPr>
        <w:t>” shall mean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31" w:name="page32"/>
    <w:bookmarkEnd w:id="31"/>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Resolution Authority</w:t>
      </w:r>
      <w:r>
        <w:rPr>
          <w:rFonts w:ascii="Times New Roman" w:cs="Times New Roman" w:eastAsia="Times New Roman" w:hAnsi="Times New Roman"/>
          <w:sz w:val="22"/>
          <w:szCs w:val="22"/>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Electronic Signature</w:t>
      </w:r>
      <w:r>
        <w:rPr>
          <w:rFonts w:ascii="Times New Roman" w:cs="Times New Roman" w:eastAsia="Times New Roman" w:hAnsi="Times New Roman"/>
          <w:sz w:val="22"/>
          <w:szCs w:val="22"/>
          <w:color w:val="auto"/>
        </w:rPr>
        <w:t>” shall mean an electronic sound, symbol, or process attached to, or associated with, a contract or other record and adopted by a Person with the intent to sign, authenticate or accept such contract or record.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Assignee</w:t>
      </w:r>
      <w:r>
        <w:rPr>
          <w:rFonts w:ascii="Times New Roman" w:cs="Times New Roman" w:eastAsia="Times New Roman" w:hAnsi="Times New Roman"/>
          <w:sz w:val="22"/>
          <w:szCs w:val="22"/>
          <w:color w:val="auto"/>
        </w:rPr>
        <w:t>” shall mean (a) a Lender, (b) an Affiliate of a Lender, (c) an Approved Fund, and (d) any other person (other than a natural person).</w:t>
      </w:r>
    </w:p>
    <w:p>
      <w:pPr>
        <w:spacing w:after="0" w:line="14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Environmental Laws</w:t>
      </w:r>
      <w:r>
        <w:rPr>
          <w:rFonts w:ascii="Times New Roman" w:cs="Times New Roman" w:eastAsia="Times New Roman" w:hAnsi="Times New Roman"/>
          <w:sz w:val="21"/>
          <w:szCs w:val="21"/>
          <w:color w:val="auto"/>
        </w:rPr>
        <w:t>” shall mean all former, current and future federal, state, provincial,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Liability</w:t>
      </w:r>
      <w:r>
        <w:rPr>
          <w:rFonts w:ascii="Times New Roman" w:cs="Times New Roman" w:eastAsia="Times New Roman" w:hAnsi="Times New Roman"/>
          <w:sz w:val="22"/>
          <w:szCs w:val="22"/>
          <w:color w:val="auto"/>
        </w:rPr>
        <w:t>”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shall mean shares of capital stock, partnership interests, membership interests in a limited liability company, beneficial interests in a trust or other equity interests in any person, or any obligations convertible into or exchangeable for, or giving any person a right, option or warrant to acquire such equity interests or such convertible or exchangeable obligations.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shall mean the Employee Retirement Income Security Act of 1974, as the same may be amended from time to</w:t>
      </w: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Affiliate</w:t>
      </w:r>
      <w:r>
        <w:rPr>
          <w:rFonts w:ascii="Times New Roman" w:cs="Times New Roman" w:eastAsia="Times New Roman" w:hAnsi="Times New Roman"/>
          <w:sz w:val="22"/>
          <w:szCs w:val="22"/>
          <w:color w:val="auto"/>
        </w:rPr>
        <w:t>” shall mean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Event</w:t>
      </w:r>
      <w:r>
        <w:rPr>
          <w:rFonts w:ascii="Times New Roman" w:cs="Times New Roman" w:eastAsia="Times New Roman" w:hAnsi="Times New Roman"/>
          <w:sz w:val="22"/>
          <w:szCs w:val="22"/>
          <w:color w:val="auto"/>
        </w:rPr>
        <w:t>” shall mean (a) any “reportable event”, as defined in Section 4043 of ERISA or the regulations issued thereunder, with respect to a Plan (other than an event for which the 30-day notice period is waived); (b) the failure of any Plan to satisfy the Pension Funding Rules; (c) the filing pursuant to Section 412(c) of the Code or Section 302(c) of ERISA of an application for a waiver of the minimum funding standard with respect to any Plan; (d) the incurrence by a Borrower or any of its ERISA Affiliates of any liability under Title IV of ERISA with respect to the termination of any Plan or the withdrawal or partial withdrawal of a Borrower or any of its ERISA Affiliates from any Plan or Multiemployer Plan; (e) the receipt by a Borrower or any of its ERISA Affiliates from the PBGC or a plan administrator of any notice relating to the intention to terminate any Plan or Plans or to appoint a trustee to administer any</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32" w:name="page33"/>
    <w:bookmarkEnd w:id="32"/>
    <w:p>
      <w:pPr>
        <w:jc w:val="both"/>
        <w:spacing w:after="0" w:line="217" w:lineRule="auto"/>
        <w:rPr>
          <w:sz w:val="20"/>
          <w:szCs w:val="20"/>
          <w:color w:val="auto"/>
        </w:rPr>
      </w:pPr>
      <w:r>
        <w:rPr>
          <w:rFonts w:ascii="Times New Roman" w:cs="Times New Roman" w:eastAsia="Times New Roman" w:hAnsi="Times New Roman"/>
          <w:sz w:val="22"/>
          <w:szCs w:val="22"/>
          <w:color w:val="auto"/>
        </w:rPr>
        <w:t>Plan; (f) the receipt by a Borrower or any of its ERISA Affiliates of any notice, or the receipt by any Multiemployer Plan from a Borrower or any of its ERISA Affiliates of any notice, concerning the imposition of Withdrawal Liability or a determination that a Multiemployer Plan is, or is expected to be, insolvent within the meaning of Title IV of ERISA; or (g) the occurrence of a “prohibited transaction” with respect to which a Borrower or any of the Subsidiaries is a “disqualified person” (within the meaning of Section 4975 of the Code) or with respect to which a Borrower or any such Subsidiary could otherwise be liable.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w:t>
      </w:r>
      <w:r>
        <w:rPr>
          <w:rFonts w:ascii="Times New Roman" w:cs="Times New Roman" w:eastAsia="Times New Roman" w:hAnsi="Times New Roman"/>
          <w:sz w:val="22"/>
          <w:szCs w:val="22"/>
          <w:color w:val="auto"/>
        </w:rPr>
        <w:t>” has the meaning assigned to it in Section 8.13(a).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 Payment Return Deficiency</w:t>
      </w:r>
      <w:r>
        <w:rPr>
          <w:rFonts w:ascii="Times New Roman" w:cs="Times New Roman" w:eastAsia="Times New Roman" w:hAnsi="Times New Roman"/>
          <w:sz w:val="22"/>
          <w:szCs w:val="22"/>
          <w:color w:val="auto"/>
        </w:rPr>
        <w:t>” has the meaning assigned to it in Section 8.13(d).</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shall mean the EU Bail-In Legislation Schedule published by the Loan Market Association (or any successor person), as in effect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 shall have the meaning assigned to such term in Article VII.</w:t>
      </w:r>
    </w:p>
    <w:p>
      <w:pPr>
        <w:spacing w:after="0" w:line="179"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Excess Cash</w:t>
      </w:r>
      <w:r>
        <w:rPr>
          <w:rFonts w:ascii="Times New Roman" w:cs="Times New Roman" w:eastAsia="Times New Roman" w:hAnsi="Times New Roman"/>
          <w:sz w:val="22"/>
          <w:szCs w:val="22"/>
          <w:color w:val="auto"/>
        </w:rPr>
        <w:t>” shall mean, as of any date of determination, the aggregate amount of Unrestricted Cash on hand at the Parent Borrower and its Subsidiaries other than (a) any cash allocated for, reserved or otherwise set aside to pay vendor payments, payroll, payroll taxes, other taxes, and employee wage and benefit payment obligations of the Parent Borrower or any of its Subsidiaries then due and owing and for which the Parent Borrower or such Subsidiary has issued checks or has initiated wires or ACH transfers or will issue checks or initiate wires or ACH transfers within five Business Days in order to make such payments, (b) to the extent the payment of such amounts are not prohibited by this Agreement, other amounts in respect of which the Parent Borrower or any of its Subsidiaries has issued checks or has initiated wires or ACH transfers to Persons that are not Affiliates of a Loan Party but that have not yet been subtracted from the balance in the relevant account of the Parent Borrower or any Subsidiary, (c) any cash of the Parent Borrower and its Subsidiaries constituting pledges and/or deposits securing any binding and enforceable purchase and sale agreement with any Persons who are not Affiliates of the Parent Borrower and its Subsidiaries, in each case to the extent permitted by this Agreement and (d) cash of a Borrower or any Subsidiary to be used by a Borrower or any Subsidiary within five Business Days to pay the purchase price for any acquisition of any assets or property by such Loan Party pursuant to an executed and binding agreement between such Loan Party and a third-party seller that is not an Affiliate of such Borrower or Subsidiary, in each case to the extent permitted by this Agreement.</w:t>
      </w:r>
    </w:p>
    <w:p>
      <w:pPr>
        <w:spacing w:after="0" w:line="156"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Exchange Rate</w:t>
      </w:r>
      <w:r>
        <w:rPr>
          <w:rFonts w:ascii="Times New Roman" w:cs="Times New Roman" w:eastAsia="Times New Roman" w:hAnsi="Times New Roman"/>
          <w:sz w:val="21"/>
          <w:szCs w:val="21"/>
          <w:color w:val="auto"/>
        </w:rPr>
        <w:t>” shall mean, on any day, (a) with respect to the Canadian Revolving Credit Facilities only, for purposes of determining the U.S. Dollar Equivalent of Canadian dollars and the Canadian Dollar Equivalent, the rate of exchange for Canadian interbank transactions at which Canadian dollars may be exchanged into U.S. dollars or at which U.S. dollars may be exchanged into Canadian dollars, respectively, established by the Bank of Canada and quoted at approximately the end of business (Standard Time) for the day in question or, if such determination is required to made prior to such time, as quoted at approximately the end of business (Standard Time) on the Business Day immediately preceding the date of determination,</w:t>
      </w:r>
    </w:p>
    <w:p>
      <w:pPr>
        <w:spacing w:after="0" w:line="2" w:lineRule="exact"/>
        <w:rPr>
          <w:sz w:val="20"/>
          <w:szCs w:val="20"/>
          <w:color w:val="auto"/>
        </w:rPr>
      </w:pPr>
    </w:p>
    <w:p>
      <w:pPr>
        <w:jc w:val="both"/>
        <w:ind w:firstLine="8"/>
        <w:spacing w:after="0" w:line="214" w:lineRule="auto"/>
        <w:tabs>
          <w:tab w:leader="none" w:pos="3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Revolving Credit Facility only, for purposes of determining the U.S. Dollar Equivalent of Australian dollars and the Australian Dollar Equivalent, the Australian Administrative Agent’s spot rate of exchange at which Australian dollars may be exchanged into U.S. dollars or at which U.S. dollars may be exchanged into Australian dollars, respectively, as at 12:00 p.m. (London time) on such day, and (c) (i) for purposes of determining the U.S. Dollar</w:t>
      </w: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33" w:name="page34"/>
    <w:bookmarkEnd w:id="33"/>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Equivalent, the rate at which Canadian dollars, Australian dollars or the applicable Alternative Currency may be exchanged into U.S. dollars, (ii) for purposes of determining the Canadian Dollar Equivalent, the rate at which U.S. dollars may be exchanged into Canadian dollars as set forth at approximately 12:00 p.m. (Standard Time) on such day on the applicable Bloomberg Currency Page and (iii) for purposes of determining the Australian Dollar Equivalent, the Australian Administrative Agent’s spot rate of exchange at which U.S. dollars may be exchanged into Australian dollars as at 12:00 p.m. (London time) on such day. In the event that the rate at which U.S. dollars may be exchanged into Canadian dollars does not appear on such Bloomberg Currency Page, such Exchange Rate shall be determined by reference to such other publicly available service for displaying exchange rates as may be agreed upon by the Administrative Agent and the Parent Borrower, or, in the absence of such agreement, such Exchange Rate shall instead be the arithmetic average of the spot rates of exchange of the Administrative Agent in the market where its foreign currency exchange operations in respect of Canadian dollars or U.S. dollars, as applicable, are then being conducted, at or about 12:00 p.m. (Standard Time) on such day for the purchase of U.S. dollars or Canadian dollars or Alternative Currencies, as the case may be, for delivery two Business Days later;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at the time of any such determination, for any reason, no such spot rate is being quoted, the Administrative Agent may use any method it deems commercially reasonable and appropriate to determine such rate, and such determination shall be presumed correct absent manifest error.</w:t>
      </w:r>
    </w:p>
    <w:p>
      <w:pPr>
        <w:spacing w:after="0" w:line="14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Excluded Collateral</w:t>
      </w:r>
      <w:r>
        <w:rPr>
          <w:rFonts w:ascii="Times New Roman" w:cs="Times New Roman" w:eastAsia="Times New Roman" w:hAnsi="Times New Roman"/>
          <w:sz w:val="21"/>
          <w:szCs w:val="21"/>
          <w:color w:val="auto"/>
        </w:rPr>
        <w:t xml:space="preserve">” shall mean (a) any lease, license, contract, property rights or agreement to which any Guarantor is a party or any of its rights or interests thereunder if and for so long as the grant of such security interest shall constitute or result in (i) the abandonment, invalidation or unenforceability of any right, title or interest of any Guarantor therein or (ii) a breach or termination pursuant to the terms of, or a default under, any such lease, license, contract property rights or agreement (other than to the extent that any such term would be rendered ineffective pursuant to Sections 9-406, 9-407, 9-408 or 9-409 of the UCC (or any successor provision or provisions) of any relevant jurisdiction or any other applicable law (including any Insolvency Law) or principles of equity),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Collateral shall include and such security interest shall attach immediately at such time as the condition causing such abandonment, invalidation or unenforceability shall be remedied and to the extent severable, shall attach immediately to any portion of such lease, license, contract, property rights or agreement that does not result in any of the consequences specified in (i) or (ii) above; (b) those assets of a Guarantor with respect to which, in the sole discretion of (i) the U.S. Collateral Agent with respect to U.S. Collateral, (ii) the Canadian Collateral Agent with respect to Canadian Collateral or</w:t>
      </w:r>
    </w:p>
    <w:p>
      <w:pPr>
        <w:spacing w:after="0" w:line="2" w:lineRule="exact"/>
        <w:rPr>
          <w:sz w:val="20"/>
          <w:szCs w:val="20"/>
          <w:color w:val="auto"/>
        </w:rPr>
      </w:pPr>
    </w:p>
    <w:p>
      <w:pPr>
        <w:jc w:val="both"/>
        <w:ind w:firstLine="8"/>
        <w:spacing w:after="0" w:line="208" w:lineRule="auto"/>
        <w:tabs>
          <w:tab w:leader="none" w:pos="38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Australian Collateral Agent with respect to Australian Collateral, the burdens, costs or consequences of obtaining a Lien on such assets are excessive in view of the benefits to be obtained by the Secured Parties (including, for the avoidance of doubt, adverse tax consequences to the Parent Borrower and its Subsidiaries); (c) with respect to any U.S. Collateral, any “intent to use” Trademark (as defined in the U.S. Security Agreement) applications prior to the filing and acceptance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(d) any Equipment that is covered by a certificate of title under a statute of any jurisdiction under the law of which an indication of a security interest on such certificate is required as a condition of perfection of a security interest in such Equipment, (e) “consumer goods” as that term is defined in the PPSA (Alberta) (f) any real property (including all buildings, fixtures or other improvements located thereon) now, hereafter or heretofore owned, leased, operated or used by a Borrower of any of the Subsidiaries or (g) any asset over which the granting of a security interest in such asset would be prohibited by contract (including Permitted Liens, leases and licenses), applicable law or regulation (in each case, except to the extent such prohibition is unenforceable after giving effect</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to applicable provisions of the UCC, other than proceeds thereof, the assignment of which is expressly deemed effective under the UCC notwithstanding such prohibitions) or to the extent that such security interest would require obtaining the consent of any governmental or regulatory authority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the Collateral shall include and such security interest shall attach immediately at such time as such prohibition no longer exists or such consent is no longer required;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the foregoing clauses</w:t>
      </w:r>
    </w:p>
    <w:p>
      <w:pPr>
        <w:spacing w:after="0" w:line="3" w:lineRule="exact"/>
        <w:rPr>
          <w:sz w:val="20"/>
          <w:szCs w:val="20"/>
          <w:color w:val="auto"/>
        </w:rPr>
      </w:pPr>
    </w:p>
    <w:p>
      <w:pPr>
        <w:jc w:val="both"/>
        <w:ind w:firstLine="8"/>
        <w:spacing w:after="0" w:line="212" w:lineRule="auto"/>
        <w:tabs>
          <w:tab w:leader="none" w:pos="30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(g) shall not exclude from the Collateral or the security interest granted under the Security Documents any right to receive Proceeds from a disposition, conveyance, transfer, exchange, lease or similar transaction in respect of the foregoing or any other Proceeds, products, accessions, substitutions or replacements of the foregoing unless they independently are covered by such </w:t>
      </w:r>
      <w:r>
        <w:rPr>
          <w:rFonts w:ascii="Times New Roman" w:cs="Times New Roman" w:eastAsia="Times New Roman" w:hAnsi="Times New Roman"/>
          <w:sz w:val="22"/>
          <w:szCs w:val="22"/>
          <w:u w:val="single" w:color="auto"/>
          <w:color w:val="auto"/>
        </w:rPr>
        <w:t>clauses (a) - (g)</w:t>
      </w:r>
      <w:r>
        <w:rPr>
          <w:rFonts w:ascii="Times New Roman" w:cs="Times New Roman" w:eastAsia="Times New Roman" w:hAnsi="Times New Roman"/>
          <w:sz w:val="22"/>
          <w:szCs w:val="22"/>
          <w:color w:val="auto"/>
        </w:rPr>
        <w:t>. Capitalized terms used but not defined in this paragraph shall have the meanings assigned to such terms in the UCC.</w:t>
      </w:r>
    </w:p>
    <w:p>
      <w:pPr>
        <w:spacing w:after="0" w:line="151"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Subsidiary</w:t>
      </w:r>
      <w:r>
        <w:rPr>
          <w:rFonts w:ascii="Times New Roman" w:cs="Times New Roman" w:eastAsia="Times New Roman" w:hAnsi="Times New Roman"/>
          <w:sz w:val="22"/>
          <w:szCs w:val="22"/>
          <w:color w:val="auto"/>
        </w:rPr>
        <w:t>” shall mean each of (i) Fort McMurray Lodge Services GP Ltd. and (ii) any Subsidiary having no material assets other than Equity Interests of a Special Purpose Business Entity.</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Swap Obligation</w:t>
      </w:r>
      <w:r>
        <w:rPr>
          <w:rFonts w:ascii="Times New Roman" w:cs="Times New Roman" w:eastAsia="Times New Roman" w:hAnsi="Times New Roman"/>
          <w:sz w:val="22"/>
          <w:szCs w:val="22"/>
          <w:color w:val="auto"/>
        </w:rPr>
        <w:t>” shall mean, with respect to any Loan Party, any Swap Obligation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4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Taxes</w:t>
      </w:r>
      <w:r>
        <w:rPr>
          <w:rFonts w:ascii="Times New Roman" w:cs="Times New Roman" w:eastAsia="Times New Roman" w:hAnsi="Times New Roman"/>
          <w:sz w:val="22"/>
          <w:szCs w:val="22"/>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if different, the jurisdiction (or jurisdictions) in which that Recipient is treated as resident for tax purposes, or (ii) that are Other Connection Taxes, (b) in the case of a Lender, any withholding tax imposed by the jurisdiction of the Applicable Borrower with respect to such Lender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a Borrower under Section 2.20(a))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Section 2.19(g) or Section 2.19(h), (d) any U.S. federal withholding Taxes imposed under FATCA, (e) in respect of any Australian Revolving Borrowing, Taxes that are a result of any representation or warranty given by the Lead Arranger or a Lender under Section 9.22 being untrue or that are a result of the Lead Arranger or a Lender breaching an undertaking contained in Section 9.22, (f) in respect of any Australian Revolving Borrowing, any Australian Withholding Taxes which arise in respect of interest paid or payable</w:t>
      </w: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35" w:name="page36"/>
    <w:bookmarkEnd w:id="35"/>
    <w:p>
      <w:pPr>
        <w:jc w:val="both"/>
        <w:spacing w:after="0" w:line="222" w:lineRule="auto"/>
        <w:rPr>
          <w:sz w:val="20"/>
          <w:szCs w:val="20"/>
          <w:color w:val="auto"/>
        </w:rPr>
      </w:pPr>
      <w:r>
        <w:rPr>
          <w:rFonts w:ascii="Times New Roman" w:cs="Times New Roman" w:eastAsia="Times New Roman" w:hAnsi="Times New Roman"/>
          <w:sz w:val="21"/>
          <w:szCs w:val="21"/>
          <w:color w:val="auto"/>
        </w:rPr>
        <w:t>to a Lender that is an Offshore Associate of the Australian Borrower, or as a result of there being less than two Lenders under this Agreement, (g) in respect of any Australian Revolving Borrowing, Taxes which arise from the failure of (1) a Lender whose lending office is located in Australia, or (2) a party that is making or proposes to make, a supply under a Loan Document to a Borrower in the course or furtherance of an enterprise carried on in Australia by that party, to provide such Borrower with its Australian tax file number or Australian business number or exemption details such Borrower may reasonably require to establish that the relevant Tax is not payable, and (h) in respect of any Australian Revolving Borrowing, Taxes which arise in respect of any withholding or deduction on account of such Borrower receiving a direction under section 255 of the Australian Tax Act or section 260-5 of Schedule 1 to the Taxation Administration Act 1953 (Commonwealth of Australia) or any similar law.</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Credit Agreement</w:t>
      </w:r>
      <w:r>
        <w:rPr>
          <w:rFonts w:ascii="Times New Roman" w:cs="Times New Roman" w:eastAsia="Times New Roman" w:hAnsi="Times New Roman"/>
          <w:sz w:val="22"/>
          <w:szCs w:val="22"/>
          <w:color w:val="auto"/>
        </w:rPr>
        <w:t>” shall have the meaning assigned to such term in the recitals hereto.</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w:t>
      </w:r>
      <w:r>
        <w:rPr>
          <w:rFonts w:ascii="Times New Roman" w:cs="Times New Roman" w:eastAsia="Times New Roman" w:hAnsi="Times New Roman"/>
          <w:sz w:val="22"/>
          <w:szCs w:val="22"/>
          <w:color w:val="auto"/>
        </w:rPr>
        <w:t>” shall mean the U.S. Revolving Credit Facility, the Canadian Revolving Credit Facility or the Australian Revolving Credit Facility, in each case as the context may require.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 Letter</w:t>
      </w:r>
      <w:r>
        <w:rPr>
          <w:rFonts w:ascii="Times New Roman" w:cs="Times New Roman" w:eastAsia="Times New Roman" w:hAnsi="Times New Roman"/>
          <w:sz w:val="22"/>
          <w:szCs w:val="22"/>
          <w:color w:val="auto"/>
        </w:rPr>
        <w:t>” shall have the meaning assigned to such term in the definition of Bilateral Agreement.</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implementing the foregoing.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FCPA</w:t>
      </w:r>
      <w:r>
        <w:rPr>
          <w:rFonts w:ascii="Times New Roman" w:cs="Times New Roman" w:eastAsia="Times New Roman" w:hAnsi="Times New Roman"/>
          <w:sz w:val="22"/>
          <w:szCs w:val="22"/>
          <w:color w:val="auto"/>
        </w:rPr>
        <w:t>” shall mean the United States Foreign Corrupt Practices Act of 1977.</w:t>
      </w:r>
    </w:p>
    <w:p>
      <w:pPr>
        <w:spacing w:after="0" w:line="193"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Funds Effective Rate</w:t>
      </w:r>
      <w:r>
        <w:rPr>
          <w:rFonts w:ascii="Times New Roman" w:cs="Times New Roman" w:eastAsia="Times New Roman" w:hAnsi="Times New Roman"/>
          <w:sz w:val="22"/>
          <w:szCs w:val="22"/>
          <w:color w:val="auto"/>
        </w:rPr>
        <w:t>” shall mean,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Fee Letter</w:t>
      </w:r>
      <w:r>
        <w:rPr>
          <w:rFonts w:ascii="Times New Roman" w:cs="Times New Roman" w:eastAsia="Times New Roman" w:hAnsi="Times New Roman"/>
          <w:sz w:val="21"/>
          <w:szCs w:val="21"/>
          <w:color w:val="auto"/>
        </w:rPr>
        <w:t>” shall mean, collectively, the letter agreements dated as of March 19, 2026 between the Parent Borrower 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RBC.</w:t>
      </w:r>
    </w:p>
    <w:p>
      <w:pPr>
        <w:spacing w:after="0" w:line="17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Fees</w:t>
      </w:r>
      <w:r>
        <w:rPr>
          <w:rFonts w:ascii="Times New Roman" w:cs="Times New Roman" w:eastAsia="Times New Roman" w:hAnsi="Times New Roman"/>
          <w:sz w:val="22"/>
          <w:szCs w:val="22"/>
          <w:color w:val="auto"/>
        </w:rPr>
        <w:t>” shall mean, collectively, the Commitment Fees, the L/C Participation Fees, the Issuing Bank Fees and all fees set forth in the Fee Letter.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Covenants</w:t>
      </w:r>
      <w:r>
        <w:rPr>
          <w:rFonts w:ascii="Times New Roman" w:cs="Times New Roman" w:eastAsia="Times New Roman" w:hAnsi="Times New Roman"/>
          <w:sz w:val="22"/>
          <w:szCs w:val="22"/>
          <w:color w:val="auto"/>
        </w:rPr>
        <w:t>” shall mean the financial covenants set forth in Sections 6.10 and 6.11.</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Officer</w:t>
      </w:r>
      <w:r>
        <w:rPr>
          <w:rFonts w:ascii="Times New Roman" w:cs="Times New Roman" w:eastAsia="Times New Roman" w:hAnsi="Times New Roman"/>
          <w:sz w:val="22"/>
          <w:szCs w:val="22"/>
          <w:color w:val="auto"/>
        </w:rPr>
        <w:t>” of any person shall mean the chief financial officer, principal accounting officer, treasurer or controller of such person.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“Floor” </w:t>
      </w:r>
      <w:r>
        <w:rPr>
          <w:rFonts w:ascii="Times New Roman" w:cs="Times New Roman" w:eastAsia="Times New Roman" w:hAnsi="Times New Roman"/>
          <w:sz w:val="22"/>
          <w:szCs w:val="22"/>
          <w:color w:val="auto"/>
        </w:rPr>
        <w:t>means a rate of interest equal to 0.00%.</w:t>
      </w: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Government Scheme or Arrangement</w:t>
      </w:r>
      <w:r>
        <w:rPr>
          <w:rFonts w:ascii="Times New Roman" w:cs="Times New Roman" w:eastAsia="Times New Roman" w:hAnsi="Times New Roman"/>
          <w:sz w:val="22"/>
          <w:szCs w:val="22"/>
          <w:color w:val="auto"/>
        </w:rPr>
        <w:t>” shall have the meaning assigned to such term in Section 3.16(c).</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Lender</w:t>
      </w:r>
      <w:r>
        <w:rPr>
          <w:rFonts w:ascii="Times New Roman" w:cs="Times New Roman" w:eastAsia="Times New Roman" w:hAnsi="Times New Roman"/>
          <w:sz w:val="22"/>
          <w:szCs w:val="22"/>
          <w:color w:val="auto"/>
        </w:rPr>
        <w:t>” shall mean, with respect to a Borrower, any Lender that is organized under the laws of a jurisdiction other than that in which such Borrower is resident for tax purposes. For purposes of this definition, the United States of America, each State thereof and the District of Columbia shall be deemed to constitute a single jurisdiction, Canada and each province and territory thereof shall be deemed to constitute a single jurisdiction and Australia and each state and territory thereof shall be deemed to constitute a single jurisdiction.</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“Foreign Plan</w:t>
      </w:r>
      <w:r>
        <w:rPr>
          <w:rFonts w:ascii="Times New Roman" w:cs="Times New Roman" w:eastAsia="Times New Roman" w:hAnsi="Times New Roman"/>
          <w:sz w:val="22"/>
          <w:szCs w:val="22"/>
          <w:color w:val="auto"/>
        </w:rPr>
        <w:t>” shall have the meaning assigned to such term in Section 3.16(c).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Subsidiary</w:t>
      </w:r>
      <w:r>
        <w:rPr>
          <w:rFonts w:ascii="Times New Roman" w:cs="Times New Roman" w:eastAsia="Times New Roman" w:hAnsi="Times New Roman"/>
          <w:sz w:val="22"/>
          <w:szCs w:val="22"/>
          <w:color w:val="auto"/>
        </w:rPr>
        <w:t>” shall mean any Subsidiary that is not (a) a Domestic Subsidiary or (b) a U.S. Borrower.</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Fronting Exposure</w:t>
      </w:r>
      <w:r>
        <w:rPr>
          <w:rFonts w:ascii="Times New Roman" w:cs="Times New Roman" w:eastAsia="Times New Roman" w:hAnsi="Times New Roman"/>
          <w:sz w:val="22"/>
          <w:szCs w:val="22"/>
          <w:color w:val="auto"/>
        </w:rPr>
        <w:t>” shall mean, at any time there is a Defaulting Lender, with respect to an Issuing Bank, (a) such Defaulting Lender’s U.S. Revolving Pro Rata Percentage, Canadian Revolving Pro Rata Percentage or Australian Revolving Pro Rata Percentage, as applicable (determined, for the avoidance of doubt, without giving effect to any adjustment provided for in Section 2.24(c) or Section 2.25(a)) of the outstanding U.S. L/C Exposure, Canadian L/C Exposure or Australian L/C Exposure, as applicable, less (b) any portion of the amount calculated under clause (a) above the risk participation with respect to which has been reallocated to other Applicable Lenders or Cash Collateralized in accordance with the terms hereof.</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FSHCO</w:t>
      </w:r>
      <w:r>
        <w:rPr>
          <w:rFonts w:ascii="Times New Roman" w:cs="Times New Roman" w:eastAsia="Times New Roman" w:hAnsi="Times New Roman"/>
          <w:sz w:val="22"/>
          <w:szCs w:val="22"/>
          <w:color w:val="auto"/>
        </w:rPr>
        <w:t>” shall mean any Domestic Subsidiary that is a disregarded entity for U.S. federal income tax purposes substantially all of the assets of which consist of, directly or indirectly, Equity Interests in or Indebtedness of Foreign Subsidiaries that are U.S. Owned Subsidiaries.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Fund</w:t>
      </w:r>
      <w:r>
        <w:rPr>
          <w:rFonts w:ascii="Times New Roman" w:cs="Times New Roman" w:eastAsia="Times New Roman" w:hAnsi="Times New Roman"/>
          <w:sz w:val="22"/>
          <w:szCs w:val="22"/>
          <w:color w:val="auto"/>
        </w:rPr>
        <w:t>” shall mean any person (other than a natural person) that is (or will be) engaged in making, purchasing, holding or otherwise investing in commercial loans and similar extensions of credit in the ordinary course of its business.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shall mean United States generally accepted accounting principles applied on a consistent basis.</w:t>
      </w:r>
    </w:p>
    <w:p>
      <w:pPr>
        <w:spacing w:after="0" w:line="17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Governmental Authority</w:t>
      </w:r>
      <w:r>
        <w:rPr>
          <w:rFonts w:ascii="Times New Roman" w:cs="Times New Roman" w:eastAsia="Times New Roman" w:hAnsi="Times New Roman"/>
          <w:sz w:val="21"/>
          <w:szCs w:val="21"/>
          <w:color w:val="auto"/>
        </w:rPr>
        <w:t>”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Granting Lender</w:t>
      </w:r>
      <w:r>
        <w:rPr>
          <w:rFonts w:ascii="Times New Roman" w:cs="Times New Roman" w:eastAsia="Times New Roman" w:hAnsi="Times New Roman"/>
          <w:sz w:val="22"/>
          <w:szCs w:val="22"/>
          <w:color w:val="auto"/>
        </w:rPr>
        <w:t>” shall have the meaning assigned to such term in Section 9.04(g).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GST Act</w:t>
      </w:r>
      <w:r>
        <w:rPr>
          <w:rFonts w:ascii="Times New Roman" w:cs="Times New Roman" w:eastAsia="Times New Roman" w:hAnsi="Times New Roman"/>
          <w:sz w:val="22"/>
          <w:szCs w:val="22"/>
          <w:color w:val="auto"/>
        </w:rPr>
        <w:t xml:space="preserve">” shall mean </w:t>
      </w:r>
      <w:r>
        <w:rPr>
          <w:rFonts w:ascii="Times New Roman" w:cs="Times New Roman" w:eastAsia="Times New Roman" w:hAnsi="Times New Roman"/>
          <w:sz w:val="22"/>
          <w:szCs w:val="22"/>
          <w:i w:val="1"/>
          <w:iCs w:val="1"/>
          <w:color w:val="auto"/>
        </w:rPr>
        <w:t>A New Tax System (Goods and Services Tax) Act 1999 (Cth)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GST Law</w:t>
      </w:r>
      <w:r>
        <w:rPr>
          <w:rFonts w:ascii="Times New Roman" w:cs="Times New Roman" w:eastAsia="Times New Roman" w:hAnsi="Times New Roman"/>
          <w:sz w:val="22"/>
          <w:szCs w:val="22"/>
          <w:color w:val="auto"/>
        </w:rPr>
        <w:t>” shall have the meaning it has in the GST Act.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of or by any person shall mean (a) any obligation, contingent or otherwise, of such person guaranteeing or having the economic effect of guaranteeing any Indebtedness of</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37" w:name="page38"/>
    <w:bookmarkEnd w:id="37"/>
    <w:p>
      <w:pPr>
        <w:jc w:val="both"/>
        <w:spacing w:after="0" w:line="210" w:lineRule="auto"/>
        <w:rPr>
          <w:sz w:val="20"/>
          <w:szCs w:val="20"/>
          <w:color w:val="auto"/>
        </w:rPr>
      </w:pPr>
      <w:r>
        <w:rPr>
          <w:rFonts w:ascii="Times New Roman" w:cs="Times New Roman" w:eastAsia="Times New Roman" w:hAnsi="Times New Roman"/>
          <w:sz w:val="22"/>
          <w:szCs w:val="22"/>
          <w:color w:val="auto"/>
        </w:rPr>
        <w:t>any other person (the “</w:t>
      </w:r>
      <w:r>
        <w:rPr>
          <w:rFonts w:ascii="Times New Roman" w:cs="Times New Roman" w:eastAsia="Times New Roman" w:hAnsi="Times New Roman"/>
          <w:sz w:val="22"/>
          <w:szCs w:val="22"/>
          <w:i w:val="1"/>
          <w:iCs w:val="1"/>
          <w:color w:val="auto"/>
        </w:rPr>
        <w:t>primary obligor</w:t>
      </w:r>
      <w:r>
        <w:rPr>
          <w:rFonts w:ascii="Times New Roman" w:cs="Times New Roman" w:eastAsia="Times New Roman" w:hAnsi="Times New Roman"/>
          <w:sz w:val="22"/>
          <w:szCs w:val="22"/>
          <w:color w:val="auto"/>
        </w:rPr>
        <w:t xml:space="preserve">”) in any manner, whether directly or indirectly, and including any obligation of such person, direct or indirect, (i) to purchase or pay (or advance or supply funds for the purchase or payment of) such Indebtedness or to purchase (or to advance or supply funds for the purchase of) any security for the payment of such Indebtedness, (ii) to purchase or lease property, securities or services for the purpose of assuring the owner of such Indebtedness of the payment of such Indebtedness or, (iii) to maintain working capital, equity capital or any other financial statement condition or liquidity of the primary obligor so as to enable the primary obligor to pay such Indebtedness,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term “Guarantee” shall not include endorsements for collection or deposit in the ordinary course of business.</w:t>
      </w:r>
    </w:p>
    <w:p>
      <w:pPr>
        <w:spacing w:after="0" w:line="15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 Agreements</w:t>
      </w:r>
      <w:r>
        <w:rPr>
          <w:rFonts w:ascii="Times New Roman" w:cs="Times New Roman" w:eastAsia="Times New Roman" w:hAnsi="Times New Roman"/>
          <w:sz w:val="22"/>
          <w:szCs w:val="22"/>
          <w:color w:val="auto"/>
        </w:rPr>
        <w:t>” shall mean, collectively, the U.S. Guarantee Agreement, the Australian Guarantee Agreement and the Canadian Guarantee Agreement.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Guarantors</w:t>
      </w:r>
      <w:r>
        <w:rPr>
          <w:rFonts w:ascii="Times New Roman" w:cs="Times New Roman" w:eastAsia="Times New Roman" w:hAnsi="Times New Roman"/>
          <w:sz w:val="22"/>
          <w:szCs w:val="22"/>
          <w:color w:val="auto"/>
        </w:rPr>
        <w:t>” shall mean, collectively, the Borrowers and the Subsidiary Guarantors.</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Hazardous Materials</w:t>
      </w:r>
      <w:r>
        <w:rPr>
          <w:rFonts w:ascii="Times New Roman" w:cs="Times New Roman" w:eastAsia="Times New Roman" w:hAnsi="Times New Roman"/>
          <w:sz w:val="22"/>
          <w:szCs w:val="22"/>
          <w:color w:val="auto"/>
        </w:rPr>
        <w:t>” shall mean (a) any petroleum products or byproducts and all other hydrocarbons, coal ash, radon gas, asbestos, urea formaldehyde foam insulation, polychlorinated biphenyls, chlorofluorocarbons and all other ozone-depleting substances and (b) any chemical, material, substance or waste that is prohibited, limited or regulated by or pursuant to any Environmental Law.</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Hedging Agreement</w:t>
      </w:r>
      <w:r>
        <w:rPr>
          <w:rFonts w:ascii="Times New Roman" w:cs="Times New Roman" w:eastAsia="Times New Roman" w:hAnsi="Times New Roman"/>
          <w:sz w:val="22"/>
          <w:szCs w:val="22"/>
          <w:color w:val="auto"/>
        </w:rPr>
        <w:t>” shall mean any interest rate protection agreement, foreign currency exchange agreement, commodity price protection agreement or other interest or currency exchange rate or commodity price hedging arrangement.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Illegality Notice</w:t>
      </w:r>
      <w:r>
        <w:rPr>
          <w:rFonts w:ascii="Times New Roman" w:cs="Times New Roman" w:eastAsia="Times New Roman" w:hAnsi="Times New Roman"/>
          <w:sz w:val="22"/>
          <w:szCs w:val="22"/>
          <w:color w:val="auto"/>
        </w:rPr>
        <w:t>” shall have the meaning set forth in Section 2.14.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Increased Amount Date</w:t>
      </w:r>
      <w:r>
        <w:rPr>
          <w:rFonts w:ascii="Times New Roman" w:cs="Times New Roman" w:eastAsia="Times New Roman" w:hAnsi="Times New Roman"/>
          <w:sz w:val="22"/>
          <w:szCs w:val="22"/>
          <w:color w:val="auto"/>
        </w:rPr>
        <w:t>” shall have the meaning assigned to such term in Section 2.25.</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Lender</w:t>
      </w:r>
      <w:r>
        <w:rPr>
          <w:rFonts w:ascii="Times New Roman" w:cs="Times New Roman" w:eastAsia="Times New Roman" w:hAnsi="Times New Roman"/>
          <w:sz w:val="22"/>
          <w:szCs w:val="22"/>
          <w:color w:val="auto"/>
        </w:rPr>
        <w:t>” shall have the meaning assigned to such term in Section 2.25.</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Commitment</w:t>
      </w:r>
      <w:r>
        <w:rPr>
          <w:rFonts w:ascii="Times New Roman" w:cs="Times New Roman" w:eastAsia="Times New Roman" w:hAnsi="Times New Roman"/>
          <w:sz w:val="22"/>
          <w:szCs w:val="22"/>
          <w:color w:val="auto"/>
        </w:rPr>
        <w:t>” shall have the meaning assigned to such term in Section 2.25.</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Incremental Revolving Credit Increase</w:t>
      </w:r>
      <w:r>
        <w:rPr>
          <w:rFonts w:ascii="Times New Roman" w:cs="Times New Roman" w:eastAsia="Times New Roman" w:hAnsi="Times New Roman"/>
          <w:sz w:val="22"/>
          <w:szCs w:val="22"/>
          <w:color w:val="auto"/>
        </w:rPr>
        <w:t>” shall have the meaning assigned to such term in Section 2.25.</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of any person shall mean, without duplication, (a) all obligations of such person for borrowed money,</w:t>
      </w:r>
    </w:p>
    <w:p>
      <w:pPr>
        <w:jc w:val="both"/>
        <w:ind w:firstLine="8"/>
        <w:spacing w:after="0" w:line="214" w:lineRule="auto"/>
        <w:tabs>
          <w:tab w:leader="none" w:pos="31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evidenced by bonds, debentures, notes or similar instruments, (c) all obligations of such person upon which interest charges are customarily paid (excluding trade accounts payable and accrued obligations incurred in the ordinary course of business), (d) all obligations of such person under conditional sale or other title retention agreements relating to property or assets purchased by such person, (e) all obligations of such person issued or assumed as the deferred purchase price of property or services (excluding trade accounts payable and accrued obligations incurred in the ordinary course of business),</w:t>
      </w:r>
    </w:p>
    <w:p>
      <w:pPr>
        <w:spacing w:after="0" w:line="3"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others secured by (or for which the holder of such</w:t>
      </w: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38" w:name="page39"/>
    <w:bookmarkEnd w:id="38"/>
    <w:p>
      <w:pPr>
        <w:jc w:val="both"/>
        <w:spacing w:after="0" w:line="212" w:lineRule="auto"/>
        <w:rPr>
          <w:sz w:val="20"/>
          <w:szCs w:val="20"/>
          <w:color w:val="auto"/>
        </w:rPr>
      </w:pPr>
      <w:r>
        <w:rPr>
          <w:rFonts w:ascii="Times New Roman" w:cs="Times New Roman" w:eastAsia="Times New Roman" w:hAnsi="Times New Roman"/>
          <w:sz w:val="22"/>
          <w:szCs w:val="22"/>
          <w:color w:val="auto"/>
        </w:rPr>
        <w:t>Indebtedness has an existing right, contingent or otherwise, to be secured by) any Lien on property owned or acquired by such person, whether or not the obligations secured thereby have been assumed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hereof, the amount thereof shall be limited to the lesser of (i) the amount of such Indebtedness and (ii) the fair market value of such property), (g) all Guarantees by such person of Indebtedness of others, (h) all Capital Lease Obligations of such person, (i) all obligations of such person as an account party in respect of letters of credit and (j) all obligations of such person in respect of bankers’ acceptances. The Indebtedness of any person shall include the Indebtedness of any partnership in which such person is a general partner, except to the extent that, by its terms, such Indebtedness is nonrecourse to such person. For the avoidance of doubt, the obligations of the Parent Borrower under any Permitted Warrant Transaction shall not constitute Indebtedness.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Liabilities</w:t>
      </w:r>
      <w:r>
        <w:rPr>
          <w:rFonts w:ascii="Times New Roman" w:cs="Times New Roman" w:eastAsia="Times New Roman" w:hAnsi="Times New Roman"/>
          <w:sz w:val="22"/>
          <w:szCs w:val="22"/>
          <w:color w:val="auto"/>
        </w:rPr>
        <w:t>” shall have the meaning assigned to such term in Section 9.05(b).</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Taxes</w:t>
      </w:r>
      <w:r>
        <w:rPr>
          <w:rFonts w:ascii="Times New Roman" w:cs="Times New Roman" w:eastAsia="Times New Roman" w:hAnsi="Times New Roman"/>
          <w:sz w:val="22"/>
          <w:szCs w:val="22"/>
          <w:color w:val="auto"/>
        </w:rPr>
        <w:t>” shall mean (a) Taxes, other than Excluded Taxes, imposed on or with respect to any payment made by or on account of any obligation of a Loan Party under any Loan Document and (b) to the extent not otherwise described in (a), Other Taxes.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shall have the meaning assigned to such term in Section 9.05(b).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Closing Date</w:t>
      </w:r>
      <w:r>
        <w:rPr>
          <w:rFonts w:ascii="Times New Roman" w:cs="Times New Roman" w:eastAsia="Times New Roman" w:hAnsi="Times New Roman"/>
          <w:sz w:val="22"/>
          <w:szCs w:val="22"/>
          <w:color w:val="auto"/>
        </w:rPr>
        <w:t>” shall have the meaning assigned to such term in the recitals hereto.</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Insolvency Law</w:t>
      </w:r>
      <w:r>
        <w:rPr>
          <w:rFonts w:ascii="Times New Roman" w:cs="Times New Roman" w:eastAsia="Times New Roman" w:hAnsi="Times New Roman"/>
          <w:sz w:val="22"/>
          <w:szCs w:val="22"/>
          <w:color w:val="auto"/>
        </w:rPr>
        <w:t xml:space="preserve">” shall mean, to the extent applicable, (a) Title 11 of the United States Code, (b) the </w:t>
      </w:r>
      <w:r>
        <w:rPr>
          <w:rFonts w:ascii="Times New Roman" w:cs="Times New Roman" w:eastAsia="Times New Roman" w:hAnsi="Times New Roman"/>
          <w:sz w:val="22"/>
          <w:szCs w:val="22"/>
          <w:i w:val="1"/>
          <w:iCs w:val="1"/>
          <w:color w:val="auto"/>
        </w:rPr>
        <w:t>Bankruptcy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Insolvency Act </w:t>
      </w:r>
      <w:r>
        <w:rPr>
          <w:rFonts w:ascii="Times New Roman" w:cs="Times New Roman" w:eastAsia="Times New Roman" w:hAnsi="Times New Roman"/>
          <w:sz w:val="22"/>
          <w:szCs w:val="22"/>
          <w:color w:val="auto"/>
        </w:rPr>
        <w:t>(Canada), (c) the</w:t>
      </w:r>
      <w:r>
        <w:rPr>
          <w:rFonts w:ascii="Times New Roman" w:cs="Times New Roman" w:eastAsia="Times New Roman" w:hAnsi="Times New Roman"/>
          <w:sz w:val="22"/>
          <w:szCs w:val="22"/>
          <w:i w:val="1"/>
          <w:iCs w:val="1"/>
          <w:color w:val="auto"/>
        </w:rPr>
        <w:t xml:space="preserve"> Companies’ Creditors Arrangement Act </w:t>
      </w:r>
      <w:r>
        <w:rPr>
          <w:rFonts w:ascii="Times New Roman" w:cs="Times New Roman" w:eastAsia="Times New Roman" w:hAnsi="Times New Roman"/>
          <w:sz w:val="22"/>
          <w:szCs w:val="22"/>
          <w:color w:val="auto"/>
        </w:rPr>
        <w:t>(Canada), (d) Chapter 5 of the Australian Corporations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 (e) any similar federal, provincial, state, local or foreign bankruptcy or insolvency law applicable to the Parent Borrower or any of its Subsidiaries and (f) any other law relating to insolvency, sequestration, administration, liquidation, winding up or bankruptcy (including any law relating to the avoidance of conveyances in fraud of creditors or of preferences and any law under which a liquidator or trustee may set aside or avoid transactions), in each case as now constituted or hereafter amended or enacted.</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Coverage Ratio</w:t>
      </w:r>
      <w:r>
        <w:rPr>
          <w:rFonts w:ascii="Times New Roman" w:cs="Times New Roman" w:eastAsia="Times New Roman" w:hAnsi="Times New Roman"/>
          <w:sz w:val="22"/>
          <w:szCs w:val="22"/>
          <w:color w:val="auto"/>
        </w:rPr>
        <w:t xml:space="preserve">” for any period shall mean the ratio of (a) Consolidated EBITDA for such period to (b) Consolidated Interest Expense for the Parent Borrower and the Subsidiaries for such period. Solely for purposes of this definition, if, at any time the Interest Coverage Ratio is being determined, the Parent Borrower or any Subsidiary shall have completed a Permitted Acquisition or Asset Sale the consideration of which is greater than $15,000,000 since the beginning of the relevant four fiscal quarter period, the Interest Coverage Ratio shall be determined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Payment Date</w:t>
      </w:r>
      <w:r>
        <w:rPr>
          <w:rFonts w:ascii="Times New Roman" w:cs="Times New Roman" w:eastAsia="Times New Roman" w:hAnsi="Times New Roman"/>
          <w:sz w:val="22"/>
          <w:szCs w:val="22"/>
          <w:color w:val="auto"/>
        </w:rPr>
        <w:t>” shall mean (a) with respect to any ABR Loan, Canadian Prime Rate Loan, U.S. Base Rate Loan or Swing Line Loan, the last Business Day of each March, June, September and December, and the earlier of the Maturity Date and the date on which the applicable Commitment shall expire or be terminated as provided herein, and (b) with respect to any SOFR Loan, Term CORRA Loan or BBSY Rate Loan, the last day of the Interest Period applicable to the Borrowing of which such Loan is a part and the earlier of the Maturity Date and the date on which the applicable Commitment shall expire or be terminated as provided herein, and in the case of a SOFR Borrowing, Term CORRA Borrowing or BBSY Rate Borrowing with an Interest Period of more than three months’ duration, each day that would have been an Interest</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Payment Date had successive Interest Periods of three months’ duration been applicable to such Borrowing.</w:t>
      </w:r>
    </w:p>
    <w:p>
      <w:pPr>
        <w:spacing w:after="0" w:line="175"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Period</w:t>
      </w:r>
      <w:r>
        <w:rPr>
          <w:rFonts w:ascii="Times New Roman" w:cs="Times New Roman" w:eastAsia="Times New Roman" w:hAnsi="Times New Roman"/>
          <w:sz w:val="22"/>
          <w:szCs w:val="22"/>
          <w:color w:val="auto"/>
        </w:rPr>
        <w:t xml:space="preserve">” shall mean, (i) with respect to any SOFR Loan or BBSY Rate Borrowing, the period commencing on the date of such Borrowing and ending on the numerically corresponding day (or, if there is no numerically corresponding day, on the last day) in the calendar month that is 1, 3 or 6 months thereafter (or a shorter period, in each case if requested by the Applicable Borrower and consented to by all Applicable Lenders (including consent by verbal or electronic communication (e-mail)),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Lender that has not responded to such request within three Business Days shall be deemed to have consented), as a Borrower may elect and (ii) with respect to each Term CORRA Loan, the initial period (subject to availability) of one (1) month, three (3) months or such other period as the Canadian Administrative Agent and the Canadian Revolving Lenders permit commencing on and including the date specified in the Borrowing Request or Conversion/Continuation Notice is made, as the case may be, applicable to such Term CORRA Loan and ending on the last day of such initial period, and thereafter, each successive period (subject to availability) of approximately one (1) month or three (3) months or such other permitted period as selected by the Applicable Borrower and notified to the Canadian Administrative Agent in writing commencing on and including the last day of the prior Interest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and no tenor that has been removed from this definition pursuant to Section 2.26 shall be available for specification in a Borrowing Request or interest election.</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Interpolated Term SOFR</w:t>
      </w:r>
      <w:r>
        <w:rPr>
          <w:rFonts w:ascii="Times New Roman" w:cs="Times New Roman" w:eastAsia="Times New Roman" w:hAnsi="Times New Roman"/>
          <w:sz w:val="22"/>
          <w:szCs w:val="22"/>
          <w:color w:val="auto"/>
        </w:rPr>
        <w:t>” means, for purposes of any calculation of Term SOFR for a SOFR Loan, the rate which results from interpolating on a linear basis between:</w:t>
      </w:r>
    </w:p>
    <w:p>
      <w:pPr>
        <w:spacing w:after="0" w:line="150" w:lineRule="exact"/>
        <w:rPr>
          <w:sz w:val="20"/>
          <w:szCs w:val="20"/>
          <w:color w:val="auto"/>
        </w:rPr>
      </w:pPr>
    </w:p>
    <w:p>
      <w:pPr>
        <w:jc w:val="both"/>
        <w:ind w:firstLine="656"/>
        <w:spacing w:after="0" w:line="220" w:lineRule="auto"/>
        <w:tabs>
          <w:tab w:leader="none" w:pos="97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for any Interest Period for a duration longer than one-month (other than three-months, sixth-months or twelve-months), the most recent applicable Term SOFR (determined pursuant to clause (a) of the definition thereof) for the longest period (for which Term SOFR is available) which is less than the Interest Period of that Loan and (ii) for any Interest Period of for a duration of less than one-month, SOFR as of such date of determination; and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97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most recent applicable Term SOFR (determined pursuant to clause (a) of the definition thereof) for the shortest period (for which Term SOFR is available) which is greater than the Interest Period of that Loan.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w:t>
      </w:r>
      <w:r>
        <w:rPr>
          <w:rFonts w:ascii="Times New Roman" w:cs="Times New Roman" w:eastAsia="Times New Roman" w:hAnsi="Times New Roman"/>
          <w:sz w:val="22"/>
          <w:szCs w:val="22"/>
          <w:color w:val="auto"/>
        </w:rPr>
        <w:t>” shall have the meaning assigned to such term in Section 6.04.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IRS</w:t>
      </w:r>
      <w:r>
        <w:rPr>
          <w:rFonts w:ascii="Times New Roman" w:cs="Times New Roman" w:eastAsia="Times New Roman" w:hAnsi="Times New Roman"/>
          <w:sz w:val="22"/>
          <w:szCs w:val="22"/>
          <w:color w:val="auto"/>
        </w:rPr>
        <w:t>” shall mean the United States Internal Revenue Service.</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Bank</w:t>
      </w:r>
      <w:r>
        <w:rPr>
          <w:rFonts w:ascii="Times New Roman" w:cs="Times New Roman" w:eastAsia="Times New Roman" w:hAnsi="Times New Roman"/>
          <w:sz w:val="22"/>
          <w:szCs w:val="22"/>
          <w:color w:val="auto"/>
        </w:rPr>
        <w:t>” shall mean, as the context may require, (a) RBC, with respect to Letters of Credit issued by it, (b) [reserved], (c) with respect to each Rolled Letter of Credit, the Lender that issued such Rolled Letter of Credit and (d) any other Lender that may become an Issuing Bank pursuant to Section 2.21(j) or (l) with respect to Letters of Credit issued by such Lender, or (e) collectively, all the foregoing. Any Issuing Bank may, in its discretion, arrange for one or more Letters of Credit to be issued by Affiliates of such Issuing Bank, in which case the term</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“Issuing Bank” shall include any such Affiliate with respect to Letters of Credit issued by such Affiliate.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Bank Fees</w:t>
      </w:r>
      <w:r>
        <w:rPr>
          <w:rFonts w:ascii="Times New Roman" w:cs="Times New Roman" w:eastAsia="Times New Roman" w:hAnsi="Times New Roman"/>
          <w:sz w:val="22"/>
          <w:szCs w:val="22"/>
          <w:color w:val="auto"/>
        </w:rPr>
        <w:t>” shall have the meaning assigned to such term in Section 2.05(c).</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ITA</w:t>
      </w:r>
      <w:r>
        <w:rPr>
          <w:rFonts w:ascii="Times New Roman" w:cs="Times New Roman" w:eastAsia="Times New Roman" w:hAnsi="Times New Roman"/>
          <w:sz w:val="22"/>
          <w:szCs w:val="22"/>
          <w:color w:val="auto"/>
        </w:rPr>
        <w:t xml:space="preserve">” shall mean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as amended, and any successor thereto, and any regulations promulgated thereunder.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Judgment Currency</w:t>
      </w:r>
      <w:r>
        <w:rPr>
          <w:rFonts w:ascii="Times New Roman" w:cs="Times New Roman" w:eastAsia="Times New Roman" w:hAnsi="Times New Roman"/>
          <w:sz w:val="22"/>
          <w:szCs w:val="22"/>
          <w:color w:val="auto"/>
        </w:rPr>
        <w:t>” shall have the meaning assigned to such term in Section 9.17.</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Judgment Currency Conversion Date</w:t>
      </w:r>
      <w:r>
        <w:rPr>
          <w:rFonts w:ascii="Times New Roman" w:cs="Times New Roman" w:eastAsia="Times New Roman" w:hAnsi="Times New Roman"/>
          <w:sz w:val="22"/>
          <w:szCs w:val="22"/>
          <w:color w:val="auto"/>
        </w:rPr>
        <w:t>” shall have the meaning assigned to such term in Section 9.17.</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Cash Collateral Account</w:t>
      </w:r>
      <w:r>
        <w:rPr>
          <w:rFonts w:ascii="Times New Roman" w:cs="Times New Roman" w:eastAsia="Times New Roman" w:hAnsi="Times New Roman"/>
          <w:sz w:val="22"/>
          <w:szCs w:val="22"/>
          <w:color w:val="auto"/>
        </w:rPr>
        <w:t>” shall have the meaning assigned to such term in Section 2.21(k).</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Commitment</w:t>
      </w:r>
      <w:r>
        <w:rPr>
          <w:rFonts w:ascii="Times New Roman" w:cs="Times New Roman" w:eastAsia="Times New Roman" w:hAnsi="Times New Roman"/>
          <w:sz w:val="21"/>
          <w:szCs w:val="21"/>
          <w:color w:val="auto"/>
        </w:rPr>
        <w:t>” shall mean the commitment of each Issuing Bank to issue Letters of Credit pursuant to Section 2.21.</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Disbursement</w:t>
      </w:r>
      <w:r>
        <w:rPr>
          <w:rFonts w:ascii="Times New Roman" w:cs="Times New Roman" w:eastAsia="Times New Roman" w:hAnsi="Times New Roman"/>
          <w:sz w:val="22"/>
          <w:szCs w:val="22"/>
          <w:color w:val="auto"/>
        </w:rPr>
        <w:t>” shall mean a payment or disbursement made by an Issuing Bank pursuant to a Letter of Credit.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Exposure</w:t>
      </w:r>
      <w:r>
        <w:rPr>
          <w:rFonts w:ascii="Times New Roman" w:cs="Times New Roman" w:eastAsia="Times New Roman" w:hAnsi="Times New Roman"/>
          <w:sz w:val="22"/>
          <w:szCs w:val="22"/>
          <w:color w:val="auto"/>
        </w:rPr>
        <w:t>” shall mean Australian L/C Exposure, Canadian L/C Exposure or U.S. L/C Exposure, as applicable.</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Issuance Limit</w:t>
      </w:r>
      <w:r>
        <w:rPr>
          <w:rFonts w:ascii="Times New Roman" w:cs="Times New Roman" w:eastAsia="Times New Roman" w:hAnsi="Times New Roman"/>
          <w:sz w:val="22"/>
          <w:szCs w:val="22"/>
          <w:color w:val="auto"/>
        </w:rPr>
        <w:t xml:space="preserve">” shall mean, with respect to each Applicable Issuing Bank, the amount set forth on </w:t>
      </w:r>
      <w:r>
        <w:rPr>
          <w:rFonts w:ascii="Times New Roman" w:cs="Times New Roman" w:eastAsia="Times New Roman" w:hAnsi="Times New Roman"/>
          <w:sz w:val="22"/>
          <w:szCs w:val="22"/>
          <w:u w:val="single" w:color="auto"/>
          <w:color w:val="auto"/>
        </w:rPr>
        <w:t>Schedule 2.21</w:t>
      </w:r>
      <w:r>
        <w:rPr>
          <w:rFonts w:ascii="Times New Roman" w:cs="Times New Roman" w:eastAsia="Times New Roman" w:hAnsi="Times New Roman"/>
          <w:sz w:val="22"/>
          <w:szCs w:val="22"/>
          <w:color w:val="auto"/>
        </w:rPr>
        <w:t xml:space="preserve"> opposite such Applicable Issuing Bank’s name, or in the case of any Lender that becomes an Applicable Issuing Bank after the Closing Date the amount set forth in the agreement executed by such Lender as contemplated by Section 2.21(l).</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Participation Fee</w:t>
      </w:r>
      <w:r>
        <w:rPr>
          <w:rFonts w:ascii="Times New Roman" w:cs="Times New Roman" w:eastAsia="Times New Roman" w:hAnsi="Times New Roman"/>
          <w:sz w:val="22"/>
          <w:szCs w:val="22"/>
          <w:color w:val="auto"/>
        </w:rPr>
        <w:t>” shall have the meaning assigned to such term in Section 2.05(c).</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Lead Arranger</w:t>
      </w:r>
      <w:r>
        <w:rPr>
          <w:rFonts w:ascii="Times New Roman" w:cs="Times New Roman" w:eastAsia="Times New Roman" w:hAnsi="Times New Roman"/>
          <w:sz w:val="22"/>
          <w:szCs w:val="22"/>
          <w:color w:val="auto"/>
        </w:rPr>
        <w:t>” shall, collectively, mean RBC Capital Markets, The Toronto-Dominion Bank, Bank of Montreal and National Bank of Canada.</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 Joinder Agreement</w:t>
      </w:r>
      <w:r>
        <w:rPr>
          <w:rFonts w:ascii="Times New Roman" w:cs="Times New Roman" w:eastAsia="Times New Roman" w:hAnsi="Times New Roman"/>
          <w:sz w:val="22"/>
          <w:szCs w:val="22"/>
          <w:color w:val="auto"/>
        </w:rPr>
        <w:t>” shall mean a joinder agreement in form and substance reasonably satisfactory to the Applicable Administrative Agent delivered in connection with Section 2.25.</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xml:space="preserve">” shall mean (a) the persons listed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(other than any such person that has ceased to be a party hereto pursuant to an Assignment and Acceptance or pursuant to Section 2.24), (b) any person that has become a party hereto pursuant to an Assignment and Acceptance or a Lender Joinder Agreement and (c) the Swing Line Lenders.</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w:t>
      </w:r>
      <w:r>
        <w:rPr>
          <w:rFonts w:ascii="Times New Roman" w:cs="Times New Roman" w:eastAsia="Times New Roman" w:hAnsi="Times New Roman"/>
          <w:sz w:val="22"/>
          <w:szCs w:val="22"/>
          <w:color w:val="auto"/>
        </w:rPr>
        <w:t>” shall mean any standby or commercial letter of credit issued (or, in the case of a Rolled Letter of Credit, deemed issued) pursuant to Section 2.21. A Letter of Credit shall be a “U.S. Letter of Credit” if issued under the U.S. Revolving Credit Facility, a “Canadian Letter of Credit” if issued under the Canadian Revolving Credit Facility and an “Australian Letter of Credit” issued under the Australian Revolving Credit Facility; provided that no commercial letter of credit shall be issued under the Australian Revolving Credit Facility.</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41" w:name="page42"/>
    <w:bookmarkEnd w:id="41"/>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Application</w:t>
      </w:r>
      <w:r>
        <w:rPr>
          <w:rFonts w:ascii="Times New Roman" w:cs="Times New Roman" w:eastAsia="Times New Roman" w:hAnsi="Times New Roman"/>
          <w:sz w:val="22"/>
          <w:szCs w:val="22"/>
          <w:color w:val="auto"/>
        </w:rPr>
        <w:t>” shall mean an application and agreement for the issuance, amendment or extension of a Letter of Credit in the form from time to time in use by an Issuing Bank.</w:t>
      </w:r>
    </w:p>
    <w:p>
      <w:pPr>
        <w:spacing w:after="0" w:line="146"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 Documents</w:t>
      </w:r>
      <w:r>
        <w:rPr>
          <w:rFonts w:ascii="Times New Roman" w:cs="Times New Roman" w:eastAsia="Times New Roman" w:hAnsi="Times New Roman"/>
          <w:sz w:val="22"/>
          <w:szCs w:val="22"/>
          <w:color w:val="auto"/>
        </w:rPr>
        <w:t>” shall mean, with respect to any Letter of Credit, such Letter of Credit, the related Letter of Credit Application and any agreements, documents, and instruments entered into in connection with or relating to such Letter of Credit.</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shall mean, with respect to any asset, (a) any mortgage, deed of trust, lien, pledge, encumbrance, charge, hypothec or security interest in or on such asset and (b) the interest of a vendor or a lessor under any conditional sale agreement, capital lease or title retention agreement (or any financing lease having substantially the same economic effect as any of the foregoing) relating to such asset and (c) any security interest (as that term is defined in either the PPSA (Alberta) or the PPSA (Australia)) but excluding any transfer of an “account” or “chattel paper”, any “commercial consignment” or any “PPS lease” which, in any case, does not secure the payment of money or performance of obligations. The words in quotes have the same meaning in this definition as the PPSA (Australia).</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Documents</w:t>
      </w:r>
      <w:r>
        <w:rPr>
          <w:rFonts w:ascii="Times New Roman" w:cs="Times New Roman" w:eastAsia="Times New Roman" w:hAnsi="Times New Roman"/>
          <w:sz w:val="22"/>
          <w:szCs w:val="22"/>
          <w:color w:val="auto"/>
        </w:rPr>
        <w:t xml:space="preserve">” shall mean, collectively, this Agreement, any Notes, if any, issued pursuant to Section 2.04(h), the Guarantee Agreements, the Security Documents, the Reaffirmation and Security Amendment Agreement, the Letter of Credit Documents, the Fee Letter, a Customary Junior Lien Intercreditor Agreement, if any, and each other certificate, agreement, instrument or other document executed and delivered, in each case, by or on behalf of any Loan Party pursuant to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for purposes of Section 9.08, “Loan Documents” shall mean this Agreement, the Guarantee Agreements,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Security Documents and a Customary Junior Lien Intercreditor Agreement, if any.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 Parties</w:t>
      </w:r>
      <w:r>
        <w:rPr>
          <w:rFonts w:ascii="Times New Roman" w:cs="Times New Roman" w:eastAsia="Times New Roman" w:hAnsi="Times New Roman"/>
          <w:sz w:val="22"/>
          <w:szCs w:val="22"/>
          <w:color w:val="auto"/>
        </w:rPr>
        <w:t>” shall mean the Borrowers and the Guarantors.</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shall mean, collectively, the U.S. Loans, the Canadian Revolving Credit Loans, the Australian Revolving Credit Loans and the Swing Line Loans.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Margin Stock</w:t>
      </w:r>
      <w:r>
        <w:rPr>
          <w:rFonts w:ascii="Times New Roman" w:cs="Times New Roman" w:eastAsia="Times New Roman" w:hAnsi="Times New Roman"/>
          <w:sz w:val="22"/>
          <w:szCs w:val="22"/>
          <w:color w:val="auto"/>
        </w:rPr>
        <w:t>” shall have the meaning assigned to such term in Regulation U.</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Effect</w:t>
      </w:r>
      <w:r>
        <w:rPr>
          <w:rFonts w:ascii="Times New Roman" w:cs="Times New Roman" w:eastAsia="Times New Roman" w:hAnsi="Times New Roman"/>
          <w:sz w:val="22"/>
          <w:szCs w:val="22"/>
          <w:color w:val="auto"/>
        </w:rPr>
        <w:t>” shall mean (a) a materially adverse effect on the business, assets, operations or condition (financial or otherwise) of the Parent Borrower and its subsidiaries, taken as a whole, (b) material impairment of the ability of any Borrower or any other Loan Party to perform any of its obligations under any Loan Document to which it is or will be a party or (c) material impairment of the rights of or benefits available to the Lenders and the Agents under any Loan Document.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Indebtedness</w:t>
      </w:r>
      <w:r>
        <w:rPr>
          <w:rFonts w:ascii="Times New Roman" w:cs="Times New Roman" w:eastAsia="Times New Roman" w:hAnsi="Times New Roman"/>
          <w:sz w:val="22"/>
          <w:szCs w:val="22"/>
          <w:color w:val="auto"/>
        </w:rPr>
        <w:t>” shall mean Indebtedness (other than the Loans and Letters of Credit), or obligations in respect of one or more Hedging Agreements, of any one or more of the Borrowers and the Subsidiaries in an aggregate principal amount exceeding U.S.$25,000,000. For purposes of determining Material Indebtedness, the “principal amount” of the obligations of a Borrower or any Subsidiary in respect of any Hedging Agreement at any time shall be the maximum aggregate amount (giving effect to any netting agreements) that such Borrower or Subsidiary would be required to pay if such Hedging Agreement were terminated at such time.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Subsidiary</w:t>
      </w:r>
      <w:r>
        <w:rPr>
          <w:rFonts w:ascii="Times New Roman" w:cs="Times New Roman" w:eastAsia="Times New Roman" w:hAnsi="Times New Roman"/>
          <w:sz w:val="22"/>
          <w:szCs w:val="22"/>
          <w:color w:val="auto"/>
        </w:rPr>
        <w:t>” shall mean any Subsidiary (other than an Excluded Subsidiary) of the Parent Borrower that, as of the most recent date for which financial statements required to be delivered pursuant to Sections 5.04(a) or (b) are available, has either (a) net tangible assets</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42" w:name="page43"/>
    <w:bookmarkEnd w:id="42"/>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(excluding assets that are eliminated in the calculation of consolidated net tangible assets of the Parent Borrower and its subsidiaries) that constitute more than 5% of the consolidated net tangible assets of the Parent Borrower and its subsidiaries or (b) EBITDA greater than 5% of the total EBITDA of the Parent Borrower and its subsidiaries on consolidated basis;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w:t>
      </w:r>
    </w:p>
    <w:p>
      <w:pPr>
        <w:spacing w:after="0" w:line="2" w:lineRule="exact"/>
        <w:rPr>
          <w:sz w:val="20"/>
          <w:szCs w:val="20"/>
          <w:color w:val="auto"/>
        </w:rPr>
      </w:pPr>
    </w:p>
    <w:p>
      <w:pPr>
        <w:jc w:val="both"/>
        <w:ind w:firstLine="8"/>
        <w:spacing w:after="0" w:line="210" w:lineRule="auto"/>
        <w:tabs>
          <w:tab w:leader="none" w:pos="27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combined net tangible assets of the Subsidiaries that are not considered to be Material Subsidiaries (referred to herein as the “</w:t>
      </w:r>
      <w:r>
        <w:rPr>
          <w:rFonts w:ascii="Times New Roman" w:cs="Times New Roman" w:eastAsia="Times New Roman" w:hAnsi="Times New Roman"/>
          <w:sz w:val="22"/>
          <w:szCs w:val="22"/>
          <w:i w:val="1"/>
          <w:iCs w:val="1"/>
          <w:color w:val="auto"/>
        </w:rPr>
        <w:t>Immaterial Subsidiaries</w:t>
      </w:r>
      <w:r>
        <w:rPr>
          <w:rFonts w:ascii="Times New Roman" w:cs="Times New Roman" w:eastAsia="Times New Roman" w:hAnsi="Times New Roman"/>
          <w:sz w:val="22"/>
          <w:szCs w:val="22"/>
          <w:color w:val="auto"/>
        </w:rPr>
        <w:t xml:space="preserve">”) exceeds 15% of consolidated net tangible assets of the Parent Borrower and its subsidiaries, or (ii) the combined EBITDA of the Immaterial Subsidiaries exceeds 15% of the total EBITDA of the Parent Borrower and its subsidiaries on consolidated basis, then one or more of such Immaterial Subsidiaries shall be deemed to be Material Subsidiaries in descending order based on the respective percentage of consolidated net tangible assets or percentage of the total EBITDA of the Parent Borrower and its subsidiaries on consolidated basis until such excess shall have been eliminated. Each Material Subsidiary listed on </w:t>
      </w:r>
      <w:r>
        <w:rPr>
          <w:rFonts w:ascii="Times New Roman" w:cs="Times New Roman" w:eastAsia="Times New Roman" w:hAnsi="Times New Roman"/>
          <w:sz w:val="22"/>
          <w:szCs w:val="22"/>
          <w:u w:val="single" w:color="auto"/>
          <w:color w:val="auto"/>
        </w:rPr>
        <w:t>Schedules 1.01(b)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1.01(d)</w:t>
      </w:r>
      <w:r>
        <w:rPr>
          <w:rFonts w:ascii="Times New Roman" w:cs="Times New Roman" w:eastAsia="Times New Roman" w:hAnsi="Times New Roman"/>
          <w:sz w:val="22"/>
          <w:szCs w:val="22"/>
          <w:color w:val="auto"/>
        </w:rPr>
        <w:t xml:space="preserve"> is a Guarantor as of the Closing Date.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Maturity Date</w:t>
      </w:r>
      <w:r>
        <w:rPr>
          <w:rFonts w:ascii="Times New Roman" w:cs="Times New Roman" w:eastAsia="Times New Roman" w:hAnsi="Times New Roman"/>
          <w:sz w:val="22"/>
          <w:szCs w:val="22"/>
          <w:color w:val="auto"/>
        </w:rPr>
        <w:t>” shall mean April 23, 2030.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Maximum Rate</w:t>
      </w:r>
      <w:r>
        <w:rPr>
          <w:rFonts w:ascii="Times New Roman" w:cs="Times New Roman" w:eastAsia="Times New Roman" w:hAnsi="Times New Roman"/>
          <w:sz w:val="22"/>
          <w:szCs w:val="22"/>
          <w:color w:val="auto"/>
        </w:rPr>
        <w:t>” shall have the meaning assigned to such term in Section 9.09.</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shall mean Moody’s Investors Service, Inc. and any successor thereto which is a nationally recognized statistical rating organization.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Multiemployer Plan</w:t>
      </w:r>
      <w:r>
        <w:rPr>
          <w:rFonts w:ascii="Times New Roman" w:cs="Times New Roman" w:eastAsia="Times New Roman" w:hAnsi="Times New Roman"/>
          <w:sz w:val="22"/>
          <w:szCs w:val="22"/>
          <w:color w:val="auto"/>
        </w:rPr>
        <w:t>” shall mean a multiemployer plan as defined in Section 4001(a)(3) of ERISA.</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Non-Consenting Lender</w:t>
      </w:r>
      <w:r>
        <w:rPr>
          <w:rFonts w:ascii="Times New Roman" w:cs="Times New Roman" w:eastAsia="Times New Roman" w:hAnsi="Times New Roman"/>
          <w:sz w:val="22"/>
          <w:szCs w:val="22"/>
          <w:color w:val="auto"/>
        </w:rPr>
        <w:t>” shall mean any Lender that does not approve any proposed consent, waiver, amendment, modification or termination with respect to any provision hereof or any other Loan Document that (i) requires the approval of all Lenders or all affected Lenders in accordance with the terms of Section 9.08 and (ii) has been approved by the Applicable Required Lenders.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Non-Defaulting Lender</w:t>
      </w:r>
      <w:r>
        <w:rPr>
          <w:rFonts w:ascii="Times New Roman" w:cs="Times New Roman" w:eastAsia="Times New Roman" w:hAnsi="Times New Roman"/>
          <w:sz w:val="22"/>
          <w:szCs w:val="22"/>
          <w:color w:val="auto"/>
        </w:rPr>
        <w:t>” shall mean, at any time, each Lender that is not a Defaulting Lender at such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w:t>
      </w:r>
      <w:r>
        <w:rPr>
          <w:rFonts w:ascii="Times New Roman" w:cs="Times New Roman" w:eastAsia="Times New Roman" w:hAnsi="Times New Roman"/>
          <w:sz w:val="22"/>
          <w:szCs w:val="22"/>
          <w:color w:val="auto"/>
        </w:rPr>
        <w:t>” shall have the meaning assigned to such term in Section 2.04(h).</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 shall mean (a) the due and punctual payment by each of the Loan Parties of (i)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Loan Parties under this Agreement or any other Loan Document in respect of any Letter of Credit, when and as due, including payments in respect of reimbursement of disbursements, interest thereon and obligations to provide cash collateral and (iii) 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Loan Parties to the Secured Parties under this Agreement and the other Loan Documents, (b) the due and punctual performance of all covenants, agreements, obligations and liabilities of the Loan Parties under or pursuant to this Agreement and the other Loan Documents, (c) the due and punctual payment and performance of all obligations of the Loan Parties, monetary or otherwise, under each Hedging Agreement entered into with a counterparty that was a Lender (or an affiliate of a</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43" w:name="page44"/>
    <w:bookmarkEnd w:id="43"/>
    <w:p>
      <w:pPr>
        <w:jc w:val="both"/>
        <w:spacing w:after="0" w:line="220" w:lineRule="auto"/>
        <w:rPr>
          <w:sz w:val="20"/>
          <w:szCs w:val="20"/>
          <w:color w:val="auto"/>
        </w:rPr>
      </w:pPr>
      <w:r>
        <w:rPr>
          <w:rFonts w:ascii="Times New Roman" w:cs="Times New Roman" w:eastAsia="Times New Roman" w:hAnsi="Times New Roman"/>
          <w:sz w:val="22"/>
          <w:szCs w:val="22"/>
          <w:color w:val="auto"/>
        </w:rPr>
        <w:t>Lender) at the time such Hedging Agreement was entered into, (d) the due and punctual performance of all Banking Services Obligations provided to the Borrowers or any Subsidiary by any Lender or any Affiliate of a Lender and (e) the due and punctual payment and performance of all Bilateral Obligations. Notwithstanding anything to the contrary contained herein, “Obligations” shall not include the Excluded Swap Obligations.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shall mean the Office of Foreign Assets Control of the U.S. Department of the Treasury.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Offshore Associate</w:t>
      </w:r>
      <w:r>
        <w:rPr>
          <w:rFonts w:ascii="Times New Roman" w:cs="Times New Roman" w:eastAsia="Times New Roman" w:hAnsi="Times New Roman"/>
          <w:sz w:val="22"/>
          <w:szCs w:val="22"/>
          <w:color w:val="auto"/>
        </w:rPr>
        <w:t>” shall mean an Associate:</w:t>
      </w:r>
    </w:p>
    <w:p>
      <w:pPr>
        <w:spacing w:after="0" w:line="183" w:lineRule="exact"/>
        <w:rPr>
          <w:sz w:val="20"/>
          <w:szCs w:val="20"/>
          <w:color w:val="auto"/>
        </w:rPr>
      </w:pPr>
    </w:p>
    <w:p>
      <w:pPr>
        <w:ind w:right="20" w:firstLine="1628"/>
        <w:spacing w:after="0" w:line="236" w:lineRule="auto"/>
        <w:tabs>
          <w:tab w:leader="none" w:pos="192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 non-resident of Australia and does not become a Lender or receive a payment in carrying on a business in Australia at or through a permanent establishment of the Associate in Australia; or</w:t>
      </w:r>
    </w:p>
    <w:p>
      <w:pPr>
        <w:spacing w:after="0" w:line="150" w:lineRule="exact"/>
        <w:rPr>
          <w:rFonts w:ascii="Times New Roman" w:cs="Times New Roman" w:eastAsia="Times New Roman" w:hAnsi="Times New Roman"/>
          <w:sz w:val="22"/>
          <w:szCs w:val="22"/>
          <w:color w:val="auto"/>
        </w:rPr>
      </w:pPr>
    </w:p>
    <w:p>
      <w:pPr>
        <w:ind w:firstLine="1628"/>
        <w:spacing w:after="0" w:line="236" w:lineRule="auto"/>
        <w:tabs>
          <w:tab w:leader="none" w:pos="196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 resident of Australia and which becomes a Lender or receives a payment in carrying on a business in a country outside Australia at or through a permanent establishment of the Associate in that country,</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and, in either case, which does not become a Lender and receive payment in the capacity of a clearing house, custodian, funds manager or responsible entity of a registered scheme (with each such term having the meaning given for the purposes of section 128F of the Australian Tax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Indebtedness</w:t>
      </w:r>
      <w:r>
        <w:rPr>
          <w:rFonts w:ascii="Times New Roman" w:cs="Times New Roman" w:eastAsia="Times New Roman" w:hAnsi="Times New Roman"/>
          <w:sz w:val="22"/>
          <w:szCs w:val="22"/>
          <w:color w:val="auto"/>
        </w:rPr>
        <w:t>” shall have the meaning set forth in the definition of Permitted Refinancing Indebtedness.</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Connection Taxes</w:t>
      </w:r>
      <w:r>
        <w:rPr>
          <w:rFonts w:ascii="Times New Roman" w:cs="Times New Roman" w:eastAsia="Times New Roman" w:hAnsi="Times New Roman"/>
          <w:sz w:val="22"/>
          <w:szCs w:val="22"/>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Taxes</w:t>
      </w:r>
      <w:r>
        <w:rPr>
          <w:rFonts w:ascii="Times New Roman" w:cs="Times New Roman" w:eastAsia="Times New Roman" w:hAnsi="Times New Roman"/>
          <w:sz w:val="22"/>
          <w:szCs w:val="22"/>
          <w:color w:val="auto"/>
        </w:rPr>
        <w:t>” shall mean any and all present or future stamp, court or documentary, intangible, recording, filing or similar Taxes that arise from any payment made under any Loan Document or from the execution, delivery or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2.20).</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Borrower</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shall have the meaning assigned to such term in Section 9.04(d).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shall have the meaning assigned to such term in Section 9.04(d).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shall have the meaning assigned to such term in Section 9.21.</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Notice</w:t>
      </w:r>
      <w:r>
        <w:rPr>
          <w:rFonts w:ascii="Times New Roman" w:cs="Times New Roman" w:eastAsia="Times New Roman" w:hAnsi="Times New Roman"/>
          <w:sz w:val="22"/>
          <w:szCs w:val="22"/>
          <w:color w:val="auto"/>
        </w:rPr>
        <w:t>” has the meaning assigned to it in Section 8.13(a).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Recipient</w:t>
      </w:r>
      <w:r>
        <w:rPr>
          <w:rFonts w:ascii="Times New Roman" w:cs="Times New Roman" w:eastAsia="Times New Roman" w:hAnsi="Times New Roman"/>
          <w:sz w:val="22"/>
          <w:szCs w:val="22"/>
          <w:color w:val="auto"/>
        </w:rPr>
        <w:t>” has the meaning assigned to it in Section 8.13(a).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PBGC</w:t>
      </w:r>
      <w:r>
        <w:rPr>
          <w:rFonts w:ascii="Times New Roman" w:cs="Times New Roman" w:eastAsia="Times New Roman" w:hAnsi="Times New Roman"/>
          <w:sz w:val="22"/>
          <w:szCs w:val="22"/>
          <w:color w:val="auto"/>
        </w:rPr>
        <w:t>” shall mean the Pension Benefit Guaranty Corporation referred to and defined in ERISA.</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Pension Funding Rules</w:t>
      </w:r>
      <w:r>
        <w:rPr>
          <w:rFonts w:ascii="Times New Roman" w:cs="Times New Roman" w:eastAsia="Times New Roman" w:hAnsi="Times New Roman"/>
          <w:sz w:val="22"/>
          <w:szCs w:val="22"/>
          <w:color w:val="auto"/>
        </w:rPr>
        <w:t>” shall mean the rules of the Code and ERISA regarding minimum required contributions (including any installment payment thereof) to Plans and set forth in Section 412, 430, 431, 432 and 436 of the Code and Sections 302, 303, 304 and 305 of ERISA.</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Periodic Term CORRA Determination Day</w:t>
      </w:r>
      <w:r>
        <w:rPr>
          <w:rFonts w:ascii="Times New Roman" w:cs="Times New Roman" w:eastAsia="Times New Roman" w:hAnsi="Times New Roman"/>
          <w:sz w:val="22"/>
          <w:szCs w:val="22"/>
          <w:color w:val="auto"/>
        </w:rPr>
        <w:t>” shall have the meaning assigned to it under the definition of “</w:t>
      </w: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CORRA</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Acquisition</w:t>
      </w:r>
      <w:r>
        <w:rPr>
          <w:rFonts w:ascii="Times New Roman" w:cs="Times New Roman" w:eastAsia="Times New Roman" w:hAnsi="Times New Roman"/>
          <w:sz w:val="22"/>
          <w:szCs w:val="22"/>
          <w:color w:val="auto"/>
        </w:rPr>
        <w:t>” shall mean any acquisition meeting all the criteria of either Section 6.04(i) or Section 6.04(m).</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Bond Hedge Transaction</w:t>
      </w:r>
      <w:r>
        <w:rPr>
          <w:rFonts w:ascii="Times New Roman" w:cs="Times New Roman" w:eastAsia="Times New Roman" w:hAnsi="Times New Roman"/>
          <w:sz w:val="22"/>
          <w:szCs w:val="22"/>
          <w:color w:val="auto"/>
        </w:rPr>
        <w:t xml:space="preserve">” means any call or capped call option (or substantively equivalent derivative transaction) relating to the Parent Borrower’s common shares (or other securities or property following a merger event, reclassification or other change of the common shares of the Parent Borrower) purchased by the Parent Borrower in connection with the issuance of any Permitted Convertible Indebtedness and settled in common shares of the Parent Borrower (or such other securities or property), cash or a combination thereof (such amount of cash or such combination determined by reference to the market price of the Parent Borrower’s common shares or such other securities or property), and cash in lieu of any fractional common share of the Parent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purchase price for such Permitted Bond Hedge Transaction, less the proceeds received by the Parent Borrower from the sale of any related Permitted Warrant Transaction, does not exceed the net proceeds received by the Parent Borrower from the sale of such Permitted Convertible Indebtedness issued in connection with the Permitted Bond Hedge Transaction and (ii) the terms, conditions and covenants of each such transaction shall be such as are reasonable and customary for transactions of such type (as determined by the Parent Borrower in good faith and in its reasonable discretion).</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Convertible Indebtedness</w:t>
      </w:r>
      <w:r>
        <w:rPr>
          <w:rFonts w:ascii="Times New Roman" w:cs="Times New Roman" w:eastAsia="Times New Roman" w:hAnsi="Times New Roman"/>
          <w:sz w:val="22"/>
          <w:szCs w:val="22"/>
          <w:color w:val="auto"/>
        </w:rPr>
        <w:t>” means unsecured Indebtedness of the Parent Borrower that is convertible into common shares of the Parent Borrower (or other securities or property following a merger event, reclassification or other change of the common shares of the Parent Borrower), cash or a combination thereof (such amount of cash or such combination determined by reference to the market price of the Parent Borrower’s common shares or such other securities or property), and cash in lieu of fractional common shares of the Parent Borrower.</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Investments</w:t>
      </w:r>
      <w:r>
        <w:rPr>
          <w:rFonts w:ascii="Times New Roman" w:cs="Times New Roman" w:eastAsia="Times New Roman" w:hAnsi="Times New Roman"/>
          <w:sz w:val="22"/>
          <w:szCs w:val="22"/>
          <w:color w:val="auto"/>
        </w:rPr>
        <w:t>” shall mean:</w:t>
      </w:r>
    </w:p>
    <w:p>
      <w:pPr>
        <w:spacing w:after="0" w:line="183" w:lineRule="exact"/>
        <w:rPr>
          <w:sz w:val="20"/>
          <w:szCs w:val="20"/>
          <w:color w:val="auto"/>
        </w:rPr>
      </w:pPr>
    </w:p>
    <w:p>
      <w:pPr>
        <w:jc w:val="both"/>
        <w:ind w:firstLine="1304"/>
        <w:spacing w:after="0" w:line="227" w:lineRule="auto"/>
        <w:tabs>
          <w:tab w:leader="none" w:pos="1941"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w:t>
      </w:r>
      <w:r>
        <w:rPr>
          <w:rFonts w:ascii="Arial" w:cs="Arial" w:eastAsia="Arial" w:hAnsi="Arial"/>
          <w:sz w:val="21"/>
          <w:szCs w:val="21"/>
          <w:color w:val="auto"/>
        </w:rPr>
        <w:t>irect obligations of, or obligations the principal of and interest on which are unconditionally</w:t>
      </w: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guaranteed by, United States of America, Canada, the United Kingdom, Australia or any other country that is a signatory to the Convention on the Organization for Economic Co-operation and Development (or by any agency, state, province or territory thereof to the extent such obligations are backed by the full faith and credit of such country or applicable state, province or territory), in each case maturing within one year from the date of acquisition thereof;</w:t>
      </w:r>
    </w:p>
    <w:p>
      <w:pPr>
        <w:spacing w:after="0" w:line="152"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the highest credit rating obtainable from S&amp;P, Moody’s, Canadian Bond Rating Service or Dominion Bond Rating Service Limited;</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45" w:name="page46"/>
    <w:bookmarkEnd w:id="45"/>
    <w:p>
      <w:pPr>
        <w:jc w:val="both"/>
        <w:ind w:firstLine="1304"/>
        <w:spacing w:after="0" w:line="227" w:lineRule="auto"/>
        <w:tabs>
          <w:tab w:leader="none" w:pos="194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certificates of deposit, banker’s acceptances and time deposits maturing within one year from the date of acquisition thereof issued or guaranteed by or placed with, and money market and other deposit accounts issued or offered by, any domestic office of any Lender or any commercial bank organized under the laws of the United States of America, Canada, the United Kingdom or Australia or any state, province of territory thereof, that has a combined capital and surplus and undivided profits of not less than U.S.$500,000,000 (or, in the case of any bank that is a Lender, U.S.$200,000,000);</w:t>
      </w:r>
    </w:p>
    <w:p>
      <w:pPr>
        <w:spacing w:after="0" w:line="153"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of clause (c) above;</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short-term investments utilized by Foreign Subsidiaries in accordance with normal investment practices for cash management in investments of a type analogous to the foregoing; and</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Bond Hedge Transactions and Permitted Warrant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shall mean Liens permitted by Section 6.02.</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Permitted Refinancing Indebtedness</w:t>
      </w:r>
      <w:r>
        <w:rPr>
          <w:rFonts w:ascii="Times New Roman" w:cs="Times New Roman" w:eastAsia="Times New Roman" w:hAnsi="Times New Roman"/>
          <w:sz w:val="21"/>
          <w:szCs w:val="21"/>
          <w:color w:val="auto"/>
        </w:rPr>
        <w:t>” shall mean with respect to any Indebtedness of any Person (the “</w:t>
      </w:r>
      <w:r>
        <w:rPr>
          <w:rFonts w:ascii="Times New Roman" w:cs="Times New Roman" w:eastAsia="Times New Roman" w:hAnsi="Times New Roman"/>
          <w:sz w:val="21"/>
          <w:szCs w:val="21"/>
          <w:i w:val="1"/>
          <w:iCs w:val="1"/>
          <w:color w:val="auto"/>
        </w:rPr>
        <w:t>Original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Indebtedness</w:t>
      </w:r>
      <w:r>
        <w:rPr>
          <w:rFonts w:ascii="Times New Roman" w:cs="Times New Roman" w:eastAsia="Times New Roman" w:hAnsi="Times New Roman"/>
          <w:sz w:val="21"/>
          <w:szCs w:val="21"/>
          <w:color w:val="auto"/>
        </w:rPr>
        <w:t>”), any modification, refinancing, refunding, replacement, renewal or extension of such Original Indebtedness,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whole or in part;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no Person that is not an obligor or guarantor with respect to the Original Indebtedness shall be an obligor or guarantor with respect to such Permitted Refinancing Indebtedness, (ii) the final maturity and Weighted Average Life to Maturity of such Permitted Refinancing Indebtedness shall be no shorter than the Original Indebtedness as a result of such modification, refinancing, refunding, replacement, renewal or extension, (iii) the mandatory prepayment and redemption terms, covenants and events of default of such Permitted Refinancing Indebtedness are either (x) not materially more favorable (taken as a whole, as conclusively determined by the Borrower in good faith) to the lenders providing such Permitted Refinancing Indebtedness than those terms (taken as a whole) applicable to the Original Indebtedness (except to the extent such terms apply solely to any period after the Maturity Date or applied for the benefit of the Loans then outstanding) or (y) reflect market terms and conditions at the time of incurrence or issuance, as conclusively determined by the Borrower in good faith, (iv) (x) in the case of any Original Indebtedness consisting of a revolving credit facility, the principal amount does not exceed the committed amount in respect of the Original Indebtedness or (y) in each other case, the principal amount (or accreted value, if applicable) thereof does not exceed the principal amount (or accreted value, if applicable) of the Original Indebtedness, except in each case by an amount (such amount, the “</w:t>
      </w:r>
      <w:r>
        <w:rPr>
          <w:rFonts w:ascii="Times New Roman" w:cs="Times New Roman" w:eastAsia="Times New Roman" w:hAnsi="Times New Roman"/>
          <w:sz w:val="21"/>
          <w:szCs w:val="21"/>
          <w:i w:val="1"/>
          <w:iCs w:val="1"/>
          <w:color w:val="auto"/>
        </w:rPr>
        <w:t>Additional Permitted Amount</w:t>
      </w:r>
      <w:r>
        <w:rPr>
          <w:rFonts w:ascii="Times New Roman" w:cs="Times New Roman" w:eastAsia="Times New Roman" w:hAnsi="Times New Roman"/>
          <w:sz w:val="21"/>
          <w:szCs w:val="21"/>
          <w:color w:val="auto"/>
        </w:rPr>
        <w:t xml:space="preserve">”) equal to unpaid accrued interest, fees, and premium (including make-whole premiums, prepayment premiums and amounts required to be paid in connection with defeasance and satisfaction and discharge) thereon at such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reasonable fees and expenses incurred in connection with such modification, refinancing, refunding, replacement, renewal or extension (including upfront fees and original issue discount), (v) for the avoidance of doubt, the Original Indebtedness is paid down (or, with respect to revolving credit facilities, commitments in respect thereof are reduced (together with, if applicable, payments of principal)) on a dollar-for-dollar basis by such Permitted Refinancing Indebtedness (other than by the Additional Permitted Amount), (vi) if the Original Indebtedness shall have been subordinated to the Obligations, such Permitted Refinancing Indebtedness shall also be subordinated to the Obligations on terms not less favorable in any material respect (taken as a whole) to the Lenders, (vii) such Permitted Refinancing Indebtedness shall not be secured by any Lien on any asset other than the assets that secured such Original Indebtedness (or would</w:t>
      </w: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46" w:name="page47"/>
    <w:bookmarkEnd w:id="46"/>
    <w:p>
      <w:pPr>
        <w:jc w:val="both"/>
        <w:spacing w:after="0" w:line="212" w:lineRule="auto"/>
        <w:rPr>
          <w:sz w:val="20"/>
          <w:szCs w:val="20"/>
          <w:color w:val="auto"/>
        </w:rPr>
      </w:pPr>
      <w:r>
        <w:rPr>
          <w:rFonts w:ascii="Times New Roman" w:cs="Times New Roman" w:eastAsia="Times New Roman" w:hAnsi="Times New Roman"/>
          <w:sz w:val="22"/>
          <w:szCs w:val="22"/>
          <w:color w:val="auto"/>
        </w:rPr>
        <w:t>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(viii) at the time thereof, no Default or Event of Default shall have occurred and be continuing and (ix) if the Original Indebtedness is subject to a Customary Junior Lien Intercreditor Agreement, the trustee, administrative agent, collateral agent, security agent or similar agent under the indenture or agreement pursuant to which such Permitted Refinancing Indebtedness is issued, incurred or otherwise obtained, as the case may be, and each of their successors in such capacities, shall become a party to such Customary Junior Lien Intercreditor Agreement or other Customary Junior Lien Intercreditor Agreement.</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Warrant Transaction</w:t>
      </w:r>
      <w:r>
        <w:rPr>
          <w:rFonts w:ascii="Times New Roman" w:cs="Times New Roman" w:eastAsia="Times New Roman" w:hAnsi="Times New Roman"/>
          <w:sz w:val="22"/>
          <w:szCs w:val="22"/>
          <w:color w:val="auto"/>
        </w:rPr>
        <w:t xml:space="preserve">” means any call option, warrant or right to purchase (or substantively equivalent derivative transaction) relating to the Parent Borrower’s common shares (or other securities or property following a merger event, reclassification or other change of the common shares of the Parent) sold by the Parent Borrower substantially concurrently with any purchase by the Parent Borrower of a Permitted Bond Hedge Transaction and settled in common shares of the Parent Borrower (or such other securities or property), cash or a combination thereof (such amount of cash or such combination determined by reference to the market price of the Parent Borrower’s common shares or such other securities or property), and cash in lieu of any fractional common share of the Parent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terms, conditions and covenants of each such transaction shall be such as are reasonable and customary for transactions of such type (as determined by the Parent Borrower in good faith and in its reasonable discretion).</w:t>
      </w:r>
    </w:p>
    <w:p>
      <w:pPr>
        <w:spacing w:after="0" w:line="14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mean any natural person, corporation, business trust, joint venture, association, company, limited liability company, partnership, Governmental Authority or other entity.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shall mean any employee pension benefit plan (other than a Multiemployer Plan) subject to the provisions of Title IV of ERISA or Section 412 of the Code, and in respect of which a U.S. Borrower or any ERISA Affiliate is (or, if such plan were terminated, would under Section 4069 of ERISA be deemed to be) an “employer” as defined in Section 3(5) of ERISA.</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 Asset Regulations</w:t>
      </w:r>
      <w:r>
        <w:rPr>
          <w:rFonts w:ascii="Times New Roman" w:cs="Times New Roman" w:eastAsia="Times New Roman" w:hAnsi="Times New Roman"/>
          <w:sz w:val="22"/>
          <w:szCs w:val="22"/>
          <w:color w:val="auto"/>
        </w:rPr>
        <w:t xml:space="preserve">” shall mean 29 CFR § 2510.3-101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modified by Section 3(42) of ERISA, as amended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Platform</w:t>
      </w:r>
      <w:r>
        <w:rPr>
          <w:rFonts w:ascii="Times New Roman" w:cs="Times New Roman" w:eastAsia="Times New Roman" w:hAnsi="Times New Roman"/>
          <w:sz w:val="22"/>
          <w:szCs w:val="22"/>
          <w:color w:val="auto"/>
        </w:rPr>
        <w:t>” shall have the meaning assigned to such term in Section 5.04.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Pledge Agreements</w:t>
      </w:r>
      <w:r>
        <w:rPr>
          <w:rFonts w:ascii="Times New Roman" w:cs="Times New Roman" w:eastAsia="Times New Roman" w:hAnsi="Times New Roman"/>
          <w:sz w:val="22"/>
          <w:szCs w:val="22"/>
          <w:color w:val="auto"/>
        </w:rPr>
        <w:t>” shall mean, collectively, the U.S. Pledge Agreement and the Canadian Pledge Agreement.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Potential Defaulting Lender</w:t>
      </w:r>
      <w:r>
        <w:rPr>
          <w:rFonts w:ascii="Times New Roman" w:cs="Times New Roman" w:eastAsia="Times New Roman" w:hAnsi="Times New Roman"/>
          <w:sz w:val="22"/>
          <w:szCs w:val="22"/>
          <w:color w:val="auto"/>
        </w:rPr>
        <w:t>” shall mean, at any time, a Lender that has, or whose parent company has, a non-investment grade rating from Moody’s or S&amp;P or another nationally recognized rating agency. Any determination that a Lender is a Potential Defaulting Lender will be made by an Administrative Agent in its sole discretion acting in good faith.</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 Law</w:t>
      </w:r>
      <w:r>
        <w:rPr>
          <w:rFonts w:ascii="Times New Roman" w:cs="Times New Roman" w:eastAsia="Times New Roman" w:hAnsi="Times New Roman"/>
          <w:sz w:val="22"/>
          <w:szCs w:val="22"/>
          <w:color w:val="auto"/>
        </w:rPr>
        <w:t>” shall mean (a) the PPSA (Australia) and any regulation made at any time under the PPSA (Australia), including the PPS Regulations (each as amended from time to time) and (b) any amendment made at any time to any other legislation as a consequence of a law or regulation referred to in paragraph (a).</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 Register</w:t>
      </w:r>
      <w:r>
        <w:rPr>
          <w:rFonts w:ascii="Times New Roman" w:cs="Times New Roman" w:eastAsia="Times New Roman" w:hAnsi="Times New Roman"/>
          <w:sz w:val="22"/>
          <w:szCs w:val="22"/>
          <w:color w:val="auto"/>
        </w:rPr>
        <w:t>” shall mean the Personal Property Securities Register established pursuant to the PPSA (Australia).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 Regulations</w:t>
      </w:r>
      <w:r>
        <w:rPr>
          <w:rFonts w:ascii="Times New Roman" w:cs="Times New Roman" w:eastAsia="Times New Roman" w:hAnsi="Times New Roman"/>
          <w:sz w:val="22"/>
          <w:szCs w:val="22"/>
          <w:color w:val="auto"/>
        </w:rPr>
        <w:t xml:space="preserve">” shall mean the </w:t>
      </w:r>
      <w:r>
        <w:rPr>
          <w:rFonts w:ascii="Times New Roman" w:cs="Times New Roman" w:eastAsia="Times New Roman" w:hAnsi="Times New Roman"/>
          <w:sz w:val="22"/>
          <w:szCs w:val="22"/>
          <w:i w:val="1"/>
          <w:iCs w:val="1"/>
          <w:color w:val="auto"/>
        </w:rPr>
        <w:t>Personal Property Securities Regulations 2010</w:t>
      </w:r>
      <w:r>
        <w:rPr>
          <w:rFonts w:ascii="Times New Roman" w:cs="Times New Roman" w:eastAsia="Times New Roman" w:hAnsi="Times New Roman"/>
          <w:sz w:val="22"/>
          <w:szCs w:val="22"/>
          <w:color w:val="auto"/>
        </w:rPr>
        <w:t xml:space="preserve"> (Cth).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PPSA (Alberta)</w:t>
      </w:r>
      <w:r>
        <w:rPr>
          <w:rFonts w:ascii="Times New Roman" w:cs="Times New Roman" w:eastAsia="Times New Roman" w:hAnsi="Times New Roman"/>
          <w:sz w:val="22"/>
          <w:szCs w:val="22"/>
          <w:color w:val="auto"/>
        </w:rPr>
        <w:t>” shall mean the Personal Property Security Act, RSA 2000, c. P-7 (Alberta).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PPSA (Australia)</w:t>
      </w:r>
      <w:r>
        <w:rPr>
          <w:rFonts w:ascii="Times New Roman" w:cs="Times New Roman" w:eastAsia="Times New Roman" w:hAnsi="Times New Roman"/>
          <w:sz w:val="22"/>
          <w:szCs w:val="22"/>
          <w:color w:val="auto"/>
        </w:rPr>
        <w:t xml:space="preserve">” shall mean the Australian </w:t>
      </w:r>
      <w:r>
        <w:rPr>
          <w:rFonts w:ascii="Times New Roman" w:cs="Times New Roman" w:eastAsia="Times New Roman" w:hAnsi="Times New Roman"/>
          <w:sz w:val="22"/>
          <w:szCs w:val="22"/>
          <w:i w:val="1"/>
          <w:iCs w:val="1"/>
          <w:color w:val="auto"/>
        </w:rPr>
        <w:t>Personal Property Securities Act 2009</w:t>
      </w:r>
      <w:r>
        <w:rPr>
          <w:rFonts w:ascii="Times New Roman" w:cs="Times New Roman" w:eastAsia="Times New Roman" w:hAnsi="Times New Roman"/>
          <w:sz w:val="22"/>
          <w:szCs w:val="22"/>
          <w:color w:val="auto"/>
        </w:rPr>
        <w:t xml:space="preserve"> (Cth).</w:t>
      </w:r>
    </w:p>
    <w:p>
      <w:pPr>
        <w:spacing w:after="0" w:line="179"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Prime Rate</w:t>
      </w:r>
      <w:r>
        <w:rPr>
          <w:rFonts w:ascii="Times New Roman" w:cs="Times New Roman" w:eastAsia="Times New Roman" w:hAnsi="Times New Roman"/>
          <w:sz w:val="21"/>
          <w:szCs w:val="21"/>
          <w:color w:val="auto"/>
        </w:rPr>
        <w:t>” shall mean, at any time, the rate of interest per annum publicly announced from time to time by the Person acting as the Administrative Agent as its prime rate in effect at its principal office. The Prime Rate is a reference rate and does not necessarily represent the lowest or best rate actually charged to any customer. The Administrative Agent or any Issuing Bank or Lender may make commercial loans or other loans at rates of interest at, above or below the Prime Rate. Any change in the Prime Rate shall take effect at the opening of business on the day specified in the public announcement of such change.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Proceeding</w:t>
      </w:r>
      <w:r>
        <w:rPr>
          <w:rFonts w:ascii="Times New Roman" w:cs="Times New Roman" w:eastAsia="Times New Roman" w:hAnsi="Times New Roman"/>
          <w:sz w:val="22"/>
          <w:szCs w:val="22"/>
          <w:color w:val="auto"/>
        </w:rPr>
        <w:t>” shall have the meaning assigned to such term in Section 9.05(b).</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PTE</w:t>
      </w:r>
      <w:r>
        <w:rPr>
          <w:rFonts w:ascii="Times New Roman" w:cs="Times New Roman" w:eastAsia="Times New Roman" w:hAnsi="Times New Roman"/>
          <w:sz w:val="22"/>
          <w:szCs w:val="22"/>
          <w:color w:val="auto"/>
        </w:rPr>
        <w:t>” shall mean a prohibited transaction class exemption issued by the U.S. Department of Labor, as any such exemption may be amended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Public Lender</w:t>
      </w:r>
      <w:r>
        <w:rPr>
          <w:rFonts w:ascii="Times New Roman" w:cs="Times New Roman" w:eastAsia="Times New Roman" w:hAnsi="Times New Roman"/>
          <w:sz w:val="22"/>
          <w:szCs w:val="22"/>
          <w:color w:val="auto"/>
        </w:rPr>
        <w:t>” shall have the meaning assigned to such term in Section 5.04.</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QFC</w:t>
      </w:r>
      <w:r>
        <w:rPr>
          <w:rFonts w:ascii="Times New Roman" w:cs="Times New Roman" w:eastAsia="Times New Roman" w:hAnsi="Times New Roman"/>
          <w:sz w:val="22"/>
          <w:szCs w:val="22"/>
          <w:color w:val="auto"/>
        </w:rPr>
        <w:t>” shall have the meaning assigned to the term “qualified financial contract” in, and shall be interpreted in accordance with, 12 U.S.C. 5390(c)(8)(D).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QFC Credit Support</w:t>
      </w:r>
      <w:r>
        <w:rPr>
          <w:rFonts w:ascii="Times New Roman" w:cs="Times New Roman" w:eastAsia="Times New Roman" w:hAnsi="Times New Roman"/>
          <w:sz w:val="22"/>
          <w:szCs w:val="22"/>
          <w:color w:val="auto"/>
        </w:rPr>
        <w:t>” shall have the meaning provided in Section 9.25.</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ECP Guarantor</w:t>
      </w:r>
      <w:r>
        <w:rPr>
          <w:rFonts w:ascii="Times New Roman" w:cs="Times New Roman" w:eastAsia="Times New Roman" w:hAnsi="Times New Roman"/>
          <w:sz w:val="22"/>
          <w:szCs w:val="22"/>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47"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Qualified Offering</w:t>
      </w:r>
      <w:r>
        <w:rPr>
          <w:rFonts w:ascii="Times New Roman" w:cs="Times New Roman" w:eastAsia="Times New Roman" w:hAnsi="Times New Roman"/>
          <w:sz w:val="22"/>
          <w:szCs w:val="22"/>
          <w:color w:val="auto"/>
        </w:rPr>
        <w:t xml:space="preserve">” shall mean Indebtedness issued by the Parent Borrower and guarantees thereof by any other Loan Party;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as of the date of issuance, (i) such Indebtedness (a) is unsecured or (b) is secured by a Lien on the Collateral that is junior in priority to the Lien securing the Obligations hereunder and is subject to a Customary Junior Lien Intercreditor Agreement and is not secured by any property or assets other than the Collateral, (ii) the Parent Borrower would be in compliance with the Financial Covenants as of the most recently completed period of four consecutive fiscal quarters ending prior to such transaction for which the financial statements required by Section 5.04(a) or Section 5.04(b) have been delivered or for which comparable financial statements have been filed with the SEC,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(using the criteria therefor described in Section 6.04(i)) to any incurrence or contemporaneous discharge of Indebtedness and all related transactions, as if such incurrence, discharge or other transaction had occurred as of the first day of such period, (iii) such Indebtedness matures no earlier than 180 days after the Maturity Date at the time such</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48" w:name="page49"/>
    <w:bookmarkEnd w:id="48"/>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Indebtedness is incurred, (iv) such Indebtedness does not require any scheduled amortization, mandatory prepayments, redemptions, sinking fund payments or purchase offers prior to the final maturity date thereof (other than pursuant to customary asset sale and change of control offers)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after giving effect to the incurrence of such Indebtedness (and any Borrowings on the date such Indebtedness is incurred), there must be at least U.S.$40,000,000 of the Revolving Commitments unused and available, of which at least U.S.$30,000,000 must be comprised of Canadian Revolving Commitments and U.S. Revolving Commitments unused and available, in the aggregate, such Qualified Offering may require (1) scheduled amortization not to exceed 1% of the principal amount of such Indebtedness annually and (2) excess cash flow mandatory prepayments, (v) such Indebtedness is not guaranteed by any person other than the Guarantors, (vi) the terms and conditions (other than pricing, rate floors, discounts, fees, premiums and optional prepayment or redemption provisions) of such Indebtedness are in the good faith determination of the Parent Borrower, not materially less favorable (when taken as a whole) to the Parent Borrower than the terms and conditions of the Loan Documents (when taken as a whole), and (vii) no Default or Event of Default shall have occurred and be continuing at the time of incurrence or would result therefrom.</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RBC</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RBC Europe</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Reaffirmation and Security Amendment Agreement</w:t>
      </w:r>
      <w:r>
        <w:rPr>
          <w:rFonts w:ascii="Times New Roman" w:cs="Times New Roman" w:eastAsia="Times New Roman" w:hAnsi="Times New Roman"/>
          <w:sz w:val="22"/>
          <w:szCs w:val="22"/>
          <w:color w:val="auto"/>
        </w:rPr>
        <w:t>” shall mean that certain Reaffirmation and Security Amendment Agreement dated as of the Closing Date, by and among the Loan Parties and the Agents.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Recipient</w:t>
      </w:r>
      <w:r>
        <w:rPr>
          <w:rFonts w:ascii="Times New Roman" w:cs="Times New Roman" w:eastAsia="Times New Roman" w:hAnsi="Times New Roman"/>
          <w:sz w:val="21"/>
          <w:szCs w:val="21"/>
          <w:color w:val="auto"/>
        </w:rPr>
        <w:t>” shall mean (a) any Agent, (b) any Lender (c) any Issuing Bank, and (d) any Swing Line Lender, as applicable.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Recipient Party</w:t>
      </w:r>
      <w:r>
        <w:rPr>
          <w:rFonts w:ascii="Times New Roman" w:cs="Times New Roman" w:eastAsia="Times New Roman" w:hAnsi="Times New Roman"/>
          <w:sz w:val="22"/>
          <w:szCs w:val="22"/>
          <w:color w:val="auto"/>
        </w:rPr>
        <w:t>” shall have the meaning assigned to such term in Section 2.19(j).</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Reference Banks</w:t>
      </w:r>
      <w:r>
        <w:rPr>
          <w:rFonts w:ascii="Times New Roman" w:cs="Times New Roman" w:eastAsia="Times New Roman" w:hAnsi="Times New Roman"/>
          <w:sz w:val="22"/>
          <w:szCs w:val="22"/>
          <w:color w:val="auto"/>
        </w:rPr>
        <w:t>” shall mean Australia and New Zealand Banking Group Limited (ACN 005 357 522), Commonwealth Bank of Australia (ACN 123 123 124), Westpac Banking Corporation (ACN 007 457 141) and National Australia Bank Limited (ACN 004 044 937), or such other banks as may be selected by the Australian Administrative Agent in consultation with the Australian Borrower.</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“Relevant Governmental Body” </w:t>
      </w:r>
      <w:r>
        <w:rPr>
          <w:rFonts w:ascii="Times New Roman" w:cs="Times New Roman" w:eastAsia="Times New Roman" w:hAnsi="Times New Roman"/>
          <w:sz w:val="22"/>
          <w:szCs w:val="22"/>
          <w:color w:val="auto"/>
        </w:rPr>
        <w:t>means the Board of Governors of the Federal Reserve System or the Federal Reserve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Bank of New York, or a committee officially endorsed or convened by the Board of Governors of the Federal Reserve System or the Federal Reserve Bank of New York, or any successor thereto.</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shall have the meaning assigned to such term in Section 9.04(c).</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Regulation T</w:t>
      </w:r>
      <w:r>
        <w:rPr>
          <w:rFonts w:ascii="Times New Roman" w:cs="Times New Roman" w:eastAsia="Times New Roman" w:hAnsi="Times New Roman"/>
          <w:sz w:val="22"/>
          <w:szCs w:val="22"/>
          <w:color w:val="auto"/>
        </w:rPr>
        <w:t>” shall mean Regulation T of the Board as from time to time in effect and all official rulings and interpretations thereunder or thereof.</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Regulation U</w:t>
      </w:r>
      <w:r>
        <w:rPr>
          <w:rFonts w:ascii="Times New Roman" w:cs="Times New Roman" w:eastAsia="Times New Roman" w:hAnsi="Times New Roman"/>
          <w:sz w:val="22"/>
          <w:szCs w:val="22"/>
          <w:color w:val="auto"/>
        </w:rPr>
        <w:t>” shall mean Regulation U of the Board as from time to time in effect and all official rulings and interpretations thereunder or thereof.</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Regulation X</w:t>
      </w:r>
      <w:r>
        <w:rPr>
          <w:rFonts w:ascii="Times New Roman" w:cs="Times New Roman" w:eastAsia="Times New Roman" w:hAnsi="Times New Roman"/>
          <w:sz w:val="22"/>
          <w:szCs w:val="22"/>
          <w:color w:val="auto"/>
        </w:rPr>
        <w:t>” shall mean Regulation X of the Board as from time to time in effect and all official rulings and interpretations thereunder or thereof.</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49" w:name="page50"/>
    <w:bookmarkEnd w:id="49"/>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shall mean, with respect to any specified person, such person’s Affiliates and the respective partners, directors, officers, employees, agents and advisors of such person and such person’s Affiliates.</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shall mean any release, spill, emission, leaking, dumping, injection, pouring, deposit, disposal, discharge, dispersal, leaching or migration into or through the environment or within or upon any building, structure, facility or fixture.</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Australian Lenders</w:t>
      </w:r>
      <w:r>
        <w:rPr>
          <w:rFonts w:ascii="Times New Roman" w:cs="Times New Roman" w:eastAsia="Times New Roman" w:hAnsi="Times New Roman"/>
          <w:sz w:val="22"/>
          <w:szCs w:val="22"/>
          <w:color w:val="auto"/>
        </w:rPr>
        <w:t xml:space="preserve">” shall mean, at any time, Australian Lenders having Australian Revolving Credit Loans, a share of the Australian L/C Exposure and unused Australian Revolving Commitments representing at least a majority of the sum of all Australian Revolving Credit Loans outstanding, the Australian L/C Exposure and unused Australian Revolving Commitments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Australian Revolving Credit Loans outstanding, share of Australian L/C Exposure and unused Australian Revolving Commitments of any Defaulting Lender shall be disregarded in determining Required Australian Lenders at any time. For purposes of determining the Required Australian Lenders at any time, the amount of any Australian Revolving Credit Loans denominated in Australian dollars and the Australian L/C Exposure shall be the U.S. Dollar Equivalent thereof at such time, as determined by the Administrative Agent using the then-applicable Exchange Rate.</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Canadian Revolving Lenders</w:t>
      </w:r>
      <w:r>
        <w:rPr>
          <w:rFonts w:ascii="Times New Roman" w:cs="Times New Roman" w:eastAsia="Times New Roman" w:hAnsi="Times New Roman"/>
          <w:sz w:val="22"/>
          <w:szCs w:val="22"/>
          <w:color w:val="auto"/>
        </w:rPr>
        <w:t>” shall mean, at any time, Canadian Revolving Lenders having Canadian Revolving Credit Loans, a share of the Canadian L/C Exposure and unused Canadian Revolving Commitments representing at least a majority of the sum of all Canadian Revolving Credit Loans outstanding, the Canadian L/C Exposure and unused Canadian Revolving Commitments at such time; provided that the Canadian Revolving Credit Loans outstanding, share of Canadian L/C Exposure and unused Canadian Revolving Commitments of any Defaulting Lender shall be disregarded in determining Required Canadian Revolving Lenders at any time. For purposes of determining the Required Canadian Revolving Lenders at any time, the amount of any Canadian Revolving Credit Loans denominated in Canadian dollars and the Canadian L/C Exposure shall be the U.S. Dollar Equivalent thereof at such time, as determined by the Administrative Agent using the then-applicable Exchange Rate.</w:t>
      </w:r>
    </w:p>
    <w:p>
      <w:pPr>
        <w:spacing w:after="0" w:line="14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Lenders</w:t>
      </w:r>
      <w:r>
        <w:rPr>
          <w:rFonts w:ascii="Times New Roman" w:cs="Times New Roman" w:eastAsia="Times New Roman" w:hAnsi="Times New Roman"/>
          <w:sz w:val="22"/>
          <w:szCs w:val="22"/>
          <w:color w:val="auto"/>
        </w:rPr>
        <w:t xml:space="preserve">” shall mean, at any time, Lenders having Loans, a share of the Aggregate L/C Exposure and unused Revolving Commitments representing at least a majority of the sum of all Loans outstanding, the Aggregate L/C Exposure and unused Revolving Commitments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Loans outstanding, share of Aggregate L/C Exposure and unused Revolving Commitments of any Defaulting Lender shall be disregarded in determining Required Lenders at any time. For purposes of determining the Required Lenders at any time, (i) the amount of any Canadian Revolving Credit Loans denominated in Canadian dollars and Canadian L/C Exposure shall be the U.S. Dollar Equivalent thereof at such time, as determined by the Administrative Agent using the then-applicable Exchange Rate and (ii) the amount of any Australian Revolving Credit Loans denominated in Australian dollars and Australian L/C Exposure shall be the U.S. Dollar Equivalent thereof at such time, as determined by the Administrative Agent using the then-applicable Exchange Rate.</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“Required Revolving Lenders</w:t>
      </w:r>
      <w:r>
        <w:rPr>
          <w:rFonts w:ascii="Times New Roman" w:cs="Times New Roman" w:eastAsia="Times New Roman" w:hAnsi="Times New Roman"/>
          <w:sz w:val="22"/>
          <w:szCs w:val="22"/>
          <w:color w:val="auto"/>
        </w:rPr>
        <w:t>” shall mean the Required Australian Lenders, the Required Canadian Revolving Lenders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Required U.S. Lenders, as applicable.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Required U.S. Lenders</w:t>
      </w:r>
      <w:r>
        <w:rPr>
          <w:rFonts w:ascii="Times New Roman" w:cs="Times New Roman" w:eastAsia="Times New Roman" w:hAnsi="Times New Roman"/>
          <w:sz w:val="22"/>
          <w:szCs w:val="22"/>
          <w:color w:val="auto"/>
        </w:rPr>
        <w:t>” shall mean, at any time, U.S. Revolving Lenders having U.S. Revolving Credit Loans, a share of the U.S. L/C Exposure and unused U.S. Revolving Commitments representing at least a majority of the sum of all U.S. Revolving Credit Loans outstanding, the U.S. L/C Exposure and unused U.S. Revolving Commitments at such time;</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50" w:name="page51"/>
    <w:bookmarkEnd w:id="50"/>
    <w:p>
      <w:pPr>
        <w:jc w:val="both"/>
        <w:ind w:right="2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U.S. Revolving Credit Loans outstanding, share of U.S. L/C Exposure and unused U.S. Revolving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Commitments of any Defaulting Lender shall be disregarded in determining Required U.S. Lenders at any time.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Resolution Authority</w:t>
      </w:r>
      <w:r>
        <w:rPr>
          <w:rFonts w:ascii="Times New Roman" w:cs="Times New Roman" w:eastAsia="Times New Roman" w:hAnsi="Times New Roman"/>
          <w:sz w:val="22"/>
          <w:szCs w:val="22"/>
          <w:color w:val="auto"/>
        </w:rPr>
        <w:t>” shall mean, with respect to an EEA Financial Institution, an EEA Resolution Authority or, with respect to any UK Financial Institution, a UK Resolution Authority.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Responsible Officer</w:t>
      </w:r>
      <w:r>
        <w:rPr>
          <w:rFonts w:ascii="Times New Roman" w:cs="Times New Roman" w:eastAsia="Times New Roman" w:hAnsi="Times New Roman"/>
          <w:sz w:val="22"/>
          <w:szCs w:val="22"/>
          <w:color w:val="auto"/>
        </w:rPr>
        <w:t>” of any person shall mean any executive officer or Financial Officer of such person and any other officer or similar official thereof responsible for the administration of the obligations of such person in respect of this Agreement or any other Loan Document.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Indebtedness</w:t>
      </w:r>
      <w:r>
        <w:rPr>
          <w:rFonts w:ascii="Times New Roman" w:cs="Times New Roman" w:eastAsia="Times New Roman" w:hAnsi="Times New Roman"/>
          <w:sz w:val="22"/>
          <w:szCs w:val="22"/>
          <w:color w:val="auto"/>
        </w:rPr>
        <w:t>” shall mean Subordinated Indebtedness of the Parent Borrower or any Subsidiary, the payment, prepayment, repurchase or defeasance of which is restricted under Section 6.09(b).</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Payment</w:t>
      </w:r>
      <w:r>
        <w:rPr>
          <w:rFonts w:ascii="Times New Roman" w:cs="Times New Roman" w:eastAsia="Times New Roman" w:hAnsi="Times New Roman"/>
          <w:sz w:val="22"/>
          <w:szCs w:val="22"/>
          <w:color w:val="auto"/>
        </w:rPr>
        <w:t>” shall mean any dividend or other distribution (whether in cash, securities or other property) with respect to any Equity Interests in the Parent Borrower or any Subsidiary, or any payment (whether in cash, securities or other property), including any sinking fund or similar deposit, on account of the purchase, redemption, retirement, acquisition, cancellation or termination of any Equity Interests in the Parent Borrower or any Subsidiary or any option, warrant or other right to acquire any such Equity Interests in the Parent Borrower or any Subsidiary.</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Commitments</w:t>
      </w:r>
      <w:r>
        <w:rPr>
          <w:rFonts w:ascii="Times New Roman" w:cs="Times New Roman" w:eastAsia="Times New Roman" w:hAnsi="Times New Roman"/>
          <w:sz w:val="22"/>
          <w:szCs w:val="22"/>
          <w:color w:val="auto"/>
        </w:rPr>
        <w:t>” shall mean the Canadian Revolving Commitments, the U.S. Revolving Commitments and the Australian Revolving Commitments.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Credit Loans</w:t>
      </w:r>
      <w:r>
        <w:rPr>
          <w:rFonts w:ascii="Times New Roman" w:cs="Times New Roman" w:eastAsia="Times New Roman" w:hAnsi="Times New Roman"/>
          <w:sz w:val="22"/>
          <w:szCs w:val="22"/>
          <w:color w:val="auto"/>
        </w:rPr>
        <w:t>” shall mean U.S. Revolving Credit Loans, Canadian Revolving Credit Loans or Australian Revolving Credit Loans, as the context may require.</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Lenders</w:t>
      </w:r>
      <w:r>
        <w:rPr>
          <w:rFonts w:ascii="Times New Roman" w:cs="Times New Roman" w:eastAsia="Times New Roman" w:hAnsi="Times New Roman"/>
          <w:sz w:val="22"/>
          <w:szCs w:val="22"/>
          <w:color w:val="auto"/>
        </w:rPr>
        <w:t>” shall mean U.S. Revolving Lenders, Canadian Revolving Lenders or Australian Lenders, as the context may require.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Rolled Letter of Credit</w:t>
      </w:r>
      <w:r>
        <w:rPr>
          <w:rFonts w:ascii="Times New Roman" w:cs="Times New Roman" w:eastAsia="Times New Roman" w:hAnsi="Times New Roman"/>
          <w:sz w:val="22"/>
          <w:szCs w:val="22"/>
          <w:color w:val="auto"/>
        </w:rPr>
        <w:t xml:space="preserve">” shall mean each Letter of Credit previously issued for the account of a Borrower that (a) is outstanding on the Closing Date and (b) is listed on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Sanctioned Country</w:t>
      </w:r>
      <w:r>
        <w:rPr>
          <w:rFonts w:ascii="Times New Roman" w:cs="Times New Roman" w:eastAsia="Times New Roman" w:hAnsi="Times New Roman"/>
          <w:sz w:val="22"/>
          <w:szCs w:val="22"/>
          <w:color w:val="auto"/>
        </w:rPr>
        <w:t>” shall mean, a country, region, or territory which is itself the subject of comprehensive sanctions under Sanctions Laws and Regulations (currently, the Crimea, so-called Donetsk People’s Republic, Kherson, so-called Luhansk People’s Republic, and Zaporizhzhia regions of Ukraine, Cuba, Iran, and North Korea).</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Sanctions Laws and Regulations</w:t>
      </w:r>
      <w:r>
        <w:rPr>
          <w:rFonts w:ascii="Times New Roman" w:cs="Times New Roman" w:eastAsia="Times New Roman" w:hAnsi="Times New Roman"/>
          <w:sz w:val="22"/>
          <w:szCs w:val="22"/>
          <w:color w:val="auto"/>
        </w:rPr>
        <w:t>” shall mean (a) any economic, trade or financial sanctions, prohibitions or requirements imposed, administered or enforced by any executive order of the President of the United States (an “</w:t>
      </w:r>
      <w:r>
        <w:rPr>
          <w:rFonts w:ascii="Times New Roman" w:cs="Times New Roman" w:eastAsia="Times New Roman" w:hAnsi="Times New Roman"/>
          <w:sz w:val="22"/>
          <w:szCs w:val="22"/>
          <w:i w:val="1"/>
          <w:iCs w:val="1"/>
          <w:color w:val="auto"/>
        </w:rPr>
        <w:t>Executive Order</w:t>
      </w:r>
      <w:r>
        <w:rPr>
          <w:rFonts w:ascii="Times New Roman" w:cs="Times New Roman" w:eastAsia="Times New Roman" w:hAnsi="Times New Roman"/>
          <w:sz w:val="22"/>
          <w:szCs w:val="22"/>
          <w:color w:val="auto"/>
        </w:rPr>
        <w:t>”) or by any economic sanctions program administered by OFAC or the U.S. Department of State; and (b) any sanctions measures or programs administered, enforced or imposed by the United Nations Security Council, European Union, the United Kingdom, Canada, Singapore or Australia.</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shall mean the Securities and Exchange Commission, and any successor entity.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39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51" w:name="page52"/>
    <w:bookmarkEnd w:id="51"/>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Secured Parties</w:t>
      </w:r>
      <w:r>
        <w:rPr>
          <w:rFonts w:ascii="Times New Roman" w:cs="Times New Roman" w:eastAsia="Times New Roman" w:hAnsi="Times New Roman"/>
          <w:sz w:val="22"/>
          <w:szCs w:val="22"/>
          <w:color w:val="auto"/>
        </w:rPr>
        <w:t>” shall mean (a) the Lenders, (b) the Administrative Agents, (c) the Collateral Agents, (d) the Issuing Banks, (e) each counterparty to a Hedging Agreement entered into with a Loan Party if such counterparty was a Lender (or an Affiliate of a Lender) at the time the Hedging Agreement was entered into, (f) any Lender (or any Affiliate of a Lender) providing Banking Services to any Loan Party, (g) the Bilateral Lender, (h) the beneficiaries of each indemnification obligation undertaken by any Grantor under any Loan Document and (i) the successors and assigns of each of the foregoing.</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Security Agreements</w:t>
      </w:r>
      <w:r>
        <w:rPr>
          <w:rFonts w:ascii="Times New Roman" w:cs="Times New Roman" w:eastAsia="Times New Roman" w:hAnsi="Times New Roman"/>
          <w:sz w:val="22"/>
          <w:szCs w:val="22"/>
          <w:color w:val="auto"/>
        </w:rPr>
        <w:t>” shall mean, collectively, the U.S. Security Agreement, the Canadian Security Agreement and the Australian Security Deed.</w:t>
      </w:r>
    </w:p>
    <w:p>
      <w:pPr>
        <w:spacing w:after="0" w:line="14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Security Documents</w:t>
      </w:r>
      <w:r>
        <w:rPr>
          <w:rFonts w:ascii="Times New Roman" w:cs="Times New Roman" w:eastAsia="Times New Roman" w:hAnsi="Times New Roman"/>
          <w:sz w:val="21"/>
          <w:szCs w:val="21"/>
          <w:color w:val="auto"/>
        </w:rPr>
        <w:t>” shall mean the Security Agreements, the Pledge Agreements, and each of the security agreements, and other instruments and documents executed and delivered pursuant to any of the foregoing or pursuant to Section 5.09.</w:t>
      </w:r>
    </w:p>
    <w:p>
      <w:pPr>
        <w:spacing w:after="0" w:line="12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Secured Net Debt</w:t>
      </w:r>
      <w:r>
        <w:rPr>
          <w:rFonts w:ascii="Times New Roman" w:cs="Times New Roman" w:eastAsia="Times New Roman" w:hAnsi="Times New Roman"/>
          <w:sz w:val="22"/>
          <w:szCs w:val="22"/>
          <w:color w:val="auto"/>
        </w:rPr>
        <w:t xml:space="preserve">” at any time shall mean (a) the Indebtedness of the Parent Borrower and its Subsidiaries (excluding Indebtedness of the type described in clause (i) of the definition of such term, except to the extent of any unreimbursed drawings thereunder) that is secured by a first priority Lien on any property or assets of the Parent Borrower or any Subsidiary,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aggregate amount of Unrestricted Cash of the Parent Borrower and its Subsidiaries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there are (1) any Loans then outstanding or (2) any drawn and unreimbursed Letters of Credit with a face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not less than U.S.$1,000,000 individually, and U.S.$3,000,000 in the aggregate for all such Letters of Credit, that have not been reimbursed in accordance with Section 2.21(e), the amount of this clause (b) shall not exceed $30,000,000.</w:t>
      </w:r>
    </w:p>
    <w:p>
      <w:pPr>
        <w:spacing w:after="0" w:line="14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Secured Net Leverage Ratio</w:t>
      </w:r>
      <w:r>
        <w:rPr>
          <w:rFonts w:ascii="Times New Roman" w:cs="Times New Roman" w:eastAsia="Times New Roman" w:hAnsi="Times New Roman"/>
          <w:sz w:val="22"/>
          <w:szCs w:val="22"/>
          <w:color w:val="auto"/>
        </w:rPr>
        <w:t xml:space="preserve">” shall mean, on any date, the ratio of Senior Secured Net Debt on such date to Consolidated EBITDA for the period of four consecutive fiscal quarters most recently ended on or prior to such date for which financial statements have been delivered pursuant to Section 5.04(a) or Section 5.04(b) or for which comparable financial statements have been filed with the SEC. Solely for purposes of this definition, if, at any time the Senior Secured Net Leverage Ratio is being determined, the Parent Borrower or any Subsidiary shall have completed a Permitted Acquisition or Asset Sale the consideration of which is greater than U.S.$15,000,000 since the beginning of the relevant four fiscal quarter period, the Senior Secured Net Leverage Ratio shall be determined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“SOFR” </w:t>
      </w:r>
      <w:r>
        <w:rPr>
          <w:rFonts w:ascii="Times New Roman" w:cs="Times New Roman" w:eastAsia="Times New Roman" w:hAnsi="Times New Roman"/>
          <w:sz w:val="22"/>
          <w:szCs w:val="22"/>
          <w:color w:val="auto"/>
        </w:rPr>
        <w:t>means a rate per annum equal to the secured overnight financing rate as administered by the SOFR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“SOFR Administrator” </w:t>
      </w:r>
      <w:r>
        <w:rPr>
          <w:rFonts w:ascii="Times New Roman" w:cs="Times New Roman" w:eastAsia="Times New Roman" w:hAnsi="Times New Roman"/>
          <w:sz w:val="22"/>
          <w:szCs w:val="22"/>
          <w:color w:val="auto"/>
        </w:rPr>
        <w:t>means the Federal Reserve Bank of New York (or a successor administrator of the secured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overnight financing rate).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“SOFR Loan” means a Loan that bears interest at a rate based on Adjusted Term SOFR, other than pursuant to (a) clause (iii) of the definition of “Alternate Base Rate” or (b) clause (iii) of the definition of “U.S. Base Rate”.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Solvent</w:t>
      </w:r>
      <w:r>
        <w:rPr>
          <w:rFonts w:ascii="Times New Roman" w:cs="Times New Roman" w:eastAsia="Times New Roman" w:hAnsi="Times New Roman"/>
          <w:sz w:val="22"/>
          <w:szCs w:val="22"/>
          <w:color w:val="auto"/>
        </w:rPr>
        <w:t>” shall mean, with respect to any person, (a) the fair value of the assets of such person exceeds its debts and liabilities, contingent or otherwise; (b) the present fair saleable value of the property of such person are greater than the amount that will be required to pay the probable liability associated with its debts and other liabilities, contingent or otherwise, as such</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52" w:name="page53"/>
    <w:bookmarkEnd w:id="52"/>
    <w:p>
      <w:pPr>
        <w:jc w:val="both"/>
        <w:spacing w:after="0" w:line="220" w:lineRule="auto"/>
        <w:rPr>
          <w:sz w:val="20"/>
          <w:szCs w:val="20"/>
          <w:color w:val="auto"/>
        </w:rPr>
      </w:pPr>
      <w:r>
        <w:rPr>
          <w:rFonts w:ascii="Times New Roman" w:cs="Times New Roman" w:eastAsia="Times New Roman" w:hAnsi="Times New Roman"/>
          <w:sz w:val="22"/>
          <w:szCs w:val="22"/>
          <w:color w:val="auto"/>
        </w:rPr>
        <w:t>debts and other liabilities become absolute and matured; (c) such person is able to pay its debts and liabilities, contingent or otherwise, as such debts and liabilities become absolute and matured; and (d) such person does not have unreasonably small capital with which to conduct its business in which it is engaged as such business is now conducted and is proposed to be conducted following the Closing Date.</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w:t>
      </w:r>
      <w:r>
        <w:rPr>
          <w:rFonts w:ascii="Times New Roman" w:cs="Times New Roman" w:eastAsia="Times New Roman" w:hAnsi="Times New Roman"/>
          <w:sz w:val="22"/>
          <w:szCs w:val="22"/>
          <w:color w:val="auto"/>
        </w:rPr>
        <w:t>” shall mean S&amp;P Global Ratings, a division of S&amp;P Global Inc., or any successor to the ratings agency business thereof.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SPC</w:t>
      </w:r>
      <w:r>
        <w:rPr>
          <w:rFonts w:ascii="Times New Roman" w:cs="Times New Roman" w:eastAsia="Times New Roman" w:hAnsi="Times New Roman"/>
          <w:sz w:val="22"/>
          <w:szCs w:val="22"/>
          <w:color w:val="auto"/>
        </w:rPr>
        <w:t>” shall have the meaning assigned to such term in Section 9.04(g).</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Special Purpose Business Entity</w:t>
      </w:r>
      <w:r>
        <w:rPr>
          <w:rFonts w:ascii="Times New Roman" w:cs="Times New Roman" w:eastAsia="Times New Roman" w:hAnsi="Times New Roman"/>
          <w:sz w:val="22"/>
          <w:szCs w:val="22"/>
          <w:color w:val="auto"/>
        </w:rPr>
        <w:t xml:space="preserve">” shall mean each entity listed on </w:t>
      </w:r>
      <w:r>
        <w:rPr>
          <w:rFonts w:ascii="Times New Roman" w:cs="Times New Roman" w:eastAsia="Times New Roman" w:hAnsi="Times New Roman"/>
          <w:sz w:val="22"/>
          <w:szCs w:val="22"/>
          <w:u w:val="single" w:color="auto"/>
          <w:color w:val="auto"/>
        </w:rPr>
        <w:t>Schedule 3.08</w:t>
      </w:r>
      <w:r>
        <w:rPr>
          <w:rFonts w:ascii="Times New Roman" w:cs="Times New Roman" w:eastAsia="Times New Roman" w:hAnsi="Times New Roman"/>
          <w:sz w:val="22"/>
          <w:szCs w:val="22"/>
          <w:color w:val="auto"/>
        </w:rPr>
        <w:t xml:space="preserve"> as being a Special Purpose Business Entity and any other entity formed by the Parent Borrower or any of its Subsidiaries, or in which the Parent Borrower or any of its Subsidiaries acquires an Equity Interest, in each case so long as (i) such entity is, or proposes to engage in, a joint venture with persons that are, or are owned or controlled by, aboriginal peoples in Alaska, Australia or Canada, (ii) any loans or advances to, or investments in such Special Purpose Business Entity is permitted by Section 6.04, and (iii) the Parent Borrower delivers a certificate of a Responsible Officer to the Administrative Agents designating such Special Purpose Business Entity as such and certifying compliance with the foregoing requirements of this definition.</w:t>
      </w:r>
    </w:p>
    <w:p>
      <w:pPr>
        <w:spacing w:after="0" w:line="14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Dispositions</w:t>
      </w:r>
      <w:r>
        <w:rPr>
          <w:rFonts w:ascii="Times New Roman" w:cs="Times New Roman" w:eastAsia="Times New Roman" w:hAnsi="Times New Roman"/>
          <w:sz w:val="22"/>
          <w:szCs w:val="22"/>
          <w:color w:val="auto"/>
        </w:rPr>
        <w:t>” shall mean those sales or other dispositions identified in writing to the Administrative Agent by the Parent Borrower on or prior to the Closing Date.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Standard Time</w:t>
      </w:r>
      <w:r>
        <w:rPr>
          <w:rFonts w:ascii="Times New Roman" w:cs="Times New Roman" w:eastAsia="Times New Roman" w:hAnsi="Times New Roman"/>
          <w:sz w:val="22"/>
          <w:szCs w:val="22"/>
          <w:color w:val="auto"/>
        </w:rPr>
        <w:t>” shall mean eastern standard time or eastern daylight savings time, as applicable on the relevant date.</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Subordinated Indebtedness</w:t>
      </w:r>
      <w:r>
        <w:rPr>
          <w:rFonts w:ascii="Times New Roman" w:cs="Times New Roman" w:eastAsia="Times New Roman" w:hAnsi="Times New Roman"/>
          <w:sz w:val="22"/>
          <w:szCs w:val="22"/>
          <w:color w:val="auto"/>
        </w:rPr>
        <w:t>” shall mean (a) Indebtedness incurred under Section 6.01(e) and any Permitted Refinancing Indebtedness in respect thereof and (b) Indebtedness of a Loan Party that is subordinated to the prior payment in full of the Obligations on terms reasonably satisfactory to the Administrative Agent.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shall mean, with respect to any person (herein referred to as the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any corporation, partnership, association or other business entity of which securities or other ownership interests representing more than 50% of the equity or more than 50% of the ordinary voting power are, at the time any determination is being made, owned, controlled or held by the parent or one or more subsidiaries of the parent or by the parent and one or more subsidiaries of the parent.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shall mean any subsidiary of a Borrower, other than a Special Purpose Business Entity.</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 Guarantors</w:t>
      </w:r>
      <w:r>
        <w:rPr>
          <w:rFonts w:ascii="Times New Roman" w:cs="Times New Roman" w:eastAsia="Times New Roman" w:hAnsi="Times New Roman"/>
          <w:sz w:val="22"/>
          <w:szCs w:val="22"/>
          <w:color w:val="auto"/>
        </w:rPr>
        <w:t>” shall mean, collectively, the U.S. Subsidiary Guarantors, the Canadian Subsidiary Guarantors, and the Australian Subsidiary Guarantors.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Supplier</w:t>
      </w:r>
      <w:r>
        <w:rPr>
          <w:rFonts w:ascii="Times New Roman" w:cs="Times New Roman" w:eastAsia="Times New Roman" w:hAnsi="Times New Roman"/>
          <w:sz w:val="22"/>
          <w:szCs w:val="22"/>
          <w:color w:val="auto"/>
        </w:rPr>
        <w:t>” shall have the meaning assigned to such term in Section 2.19(j).</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Supported QFC</w:t>
      </w:r>
      <w:r>
        <w:rPr>
          <w:rFonts w:ascii="Times New Roman" w:cs="Times New Roman" w:eastAsia="Times New Roman" w:hAnsi="Times New Roman"/>
          <w:sz w:val="22"/>
          <w:szCs w:val="22"/>
          <w:color w:val="auto"/>
        </w:rPr>
        <w:t>” shall have the meaning provided in Section 9.25.</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Swap Obligation</w:t>
      </w:r>
      <w:r>
        <w:rPr>
          <w:rFonts w:ascii="Times New Roman" w:cs="Times New Roman" w:eastAsia="Times New Roman" w:hAnsi="Times New Roman"/>
          <w:sz w:val="22"/>
          <w:szCs w:val="22"/>
          <w:color w:val="auto"/>
        </w:rPr>
        <w:t>” shall mean, with respect to any Loan Party, any obligation to pay or perform under any agreement, contract or transaction that constitutes a “swap” within the meaning of Section 1a(47) of the Commodity Exchange Act. For the avoidance of doubt, the</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53" w:name="page54"/>
    <w:bookmarkEnd w:id="53"/>
    <w:p>
      <w:pPr>
        <w:jc w:val="both"/>
        <w:spacing w:after="0" w:line="236" w:lineRule="auto"/>
        <w:rPr>
          <w:sz w:val="20"/>
          <w:szCs w:val="20"/>
          <w:color w:val="auto"/>
        </w:rPr>
      </w:pPr>
      <w:r>
        <w:rPr>
          <w:rFonts w:ascii="Times New Roman" w:cs="Times New Roman" w:eastAsia="Times New Roman" w:hAnsi="Times New Roman"/>
          <w:sz w:val="22"/>
          <w:szCs w:val="22"/>
          <w:color w:val="auto"/>
        </w:rPr>
        <w:t>obligations of the Parent Borrower under any Permitted Bond Hedge Transaction and/or any Permitted Warrant Transaction shall not constitute Swap Obligations.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Borrowing</w:t>
      </w:r>
      <w:r>
        <w:rPr>
          <w:rFonts w:ascii="Times New Roman" w:cs="Times New Roman" w:eastAsia="Times New Roman" w:hAnsi="Times New Roman"/>
          <w:sz w:val="22"/>
          <w:szCs w:val="22"/>
          <w:color w:val="auto"/>
        </w:rPr>
        <w:t>” shall mean a U.S. Swing Line Borrowing or a Canadian Swing Line Borrowing, as the context may require.</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Lender</w:t>
      </w:r>
      <w:r>
        <w:rPr>
          <w:rFonts w:ascii="Times New Roman" w:cs="Times New Roman" w:eastAsia="Times New Roman" w:hAnsi="Times New Roman"/>
          <w:sz w:val="22"/>
          <w:szCs w:val="22"/>
          <w:color w:val="auto"/>
        </w:rPr>
        <w:t>” shall mean the U.S. Swing Line Lender or the Canadian Swing Line Lender, as the context may require.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Loan</w:t>
      </w:r>
      <w:r>
        <w:rPr>
          <w:rFonts w:ascii="Times New Roman" w:cs="Times New Roman" w:eastAsia="Times New Roman" w:hAnsi="Times New Roman"/>
          <w:sz w:val="22"/>
          <w:szCs w:val="22"/>
          <w:color w:val="auto"/>
        </w:rPr>
        <w:t>” shall mean a U.S. Swing Line Loan or a Canadian Swing Line Loan, as the context may require.</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Payment Date</w:t>
      </w:r>
      <w:r>
        <w:rPr>
          <w:rFonts w:ascii="Times New Roman" w:cs="Times New Roman" w:eastAsia="Times New Roman" w:hAnsi="Times New Roman"/>
          <w:sz w:val="22"/>
          <w:szCs w:val="22"/>
          <w:color w:val="auto"/>
        </w:rPr>
        <w:t>” shall mean (a) if an AutoBorrow Agreement is in effect, the earliest to occur of (i) the date required by such AutoBorrow Agreement, (ii) demand is made by the Applicable Swing Line Lender and (iii) the Maturity Date, or (b) if an AutoBorrow Agreement is not in effect, the earlier to occur of (i) five (5) Business Days after the date of the applicable Swing Line Borrowing if no Default or Event of Default exists, and otherwise upon demand by the Applicable Swing Line Lender and (ii) the Maturity Date.</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Swing Line Sublimit</w:t>
      </w:r>
      <w:r>
        <w:rPr>
          <w:rFonts w:ascii="Times New Roman" w:cs="Times New Roman" w:eastAsia="Times New Roman" w:hAnsi="Times New Roman"/>
          <w:sz w:val="22"/>
          <w:szCs w:val="22"/>
          <w:color w:val="auto"/>
        </w:rPr>
        <w:t>” shall mean the U.S. Swing Line Sublimit or the Canadian Swing Line Sublimit, as the context may require.</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Synthetic Purchase Agreement</w:t>
      </w:r>
      <w:r>
        <w:rPr>
          <w:rFonts w:ascii="Times New Roman" w:cs="Times New Roman" w:eastAsia="Times New Roman" w:hAnsi="Times New Roman"/>
          <w:sz w:val="22"/>
          <w:szCs w:val="22"/>
          <w:color w:val="auto"/>
        </w:rPr>
        <w:t xml:space="preserve">” shall mean any swap, derivative or other agreement or combination of agreements pursuant to which the Parent Borrower or any Subsidiary is or may become obligated to make (a) any payment in connection with a purchase by any third party from a person other than the Parent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phantom stock or similar plan providing for payments only to current or former directors, officers or employees of the Parent Borrower or the Subsidiaries (or to their heirs or estates) shall be deemed to be a Synthetic Purchase Agreement. For the avoidance of doubt, no Permitted Convertible Indebtedness, Permitted Bond Hedge Transaction or Permitted Warrant Transaction will be deemed to be a Synthetic Purchase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shall mean any and all present or future taxes, levies, imposts, duties, deductions, assessments, charges, liabilities or withholdings imposed by any Governmental Authority, including any interest, additions to tax or penalties applicable thereto.</w:t>
      </w:r>
    </w:p>
    <w:p>
      <w:pPr>
        <w:spacing w:after="0" w:line="127"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w:t>
      </w:r>
      <w:r>
        <w:rPr>
          <w:rFonts w:ascii="Times New Roman" w:cs="Times New Roman" w:eastAsia="Times New Roman" w:hAnsi="Times New Roman"/>
          <w:sz w:val="22"/>
          <w:szCs w:val="22"/>
          <w:color w:val="auto"/>
        </w:rPr>
        <w:t>” means, for any calculation with respect to a Term CORRA Loan, the Term CORRA Reference Rate for a tenor comparable to the applicable Interest Period on the day (such day, the “</w:t>
      </w:r>
      <w:r>
        <w:rPr>
          <w:rFonts w:ascii="Times New Roman" w:cs="Times New Roman" w:eastAsia="Times New Roman" w:hAnsi="Times New Roman"/>
          <w:sz w:val="22"/>
          <w:szCs w:val="22"/>
          <w:i w:val="1"/>
          <w:iCs w:val="1"/>
          <w:color w:val="auto"/>
        </w:rPr>
        <w:t>Periodic Term CORRA Determination Day</w:t>
      </w:r>
      <w:r>
        <w:rPr>
          <w:rFonts w:ascii="Times New Roman" w:cs="Times New Roman" w:eastAsia="Times New Roman" w:hAnsi="Times New Roman"/>
          <w:sz w:val="22"/>
          <w:szCs w:val="22"/>
          <w:color w:val="auto"/>
        </w:rPr>
        <w:t>”)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Canadian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provided, however, if the Term CORRA Reference Rate for such tenor was</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54" w:name="page55"/>
    <w:bookmarkEnd w:id="54"/>
    <w:p>
      <w:pPr>
        <w:jc w:val="both"/>
        <w:spacing w:after="0" w:line="236" w:lineRule="auto"/>
        <w:rPr>
          <w:sz w:val="20"/>
          <w:szCs w:val="20"/>
          <w:color w:val="auto"/>
        </w:rPr>
      </w:pPr>
      <w:r>
        <w:rPr>
          <w:rFonts w:ascii="Times New Roman" w:cs="Times New Roman" w:eastAsia="Times New Roman" w:hAnsi="Times New Roman"/>
          <w:sz w:val="21"/>
          <w:szCs w:val="21"/>
          <w:color w:val="auto"/>
        </w:rPr>
        <w:t>published by the Term CORRA Administrator more than three (3) Business Days prior to such Periodic Term CORRA Determination Day, then Term CORRA will be the interest rate (expressed as a rate per annum on the basis of a year of 365 days) for a comparable tenor quoted by the Canadian Administrative Agent as of such Periodic Term CORRA Determination Day.</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Adjustment</w:t>
      </w:r>
      <w:r>
        <w:rPr>
          <w:rFonts w:ascii="Times New Roman" w:cs="Times New Roman" w:eastAsia="Times New Roman" w:hAnsi="Times New Roman"/>
          <w:sz w:val="22"/>
          <w:szCs w:val="22"/>
          <w:color w:val="auto"/>
        </w:rPr>
        <w:t>” means, with respect to Term CORRA, for an Interest Period of a duration of (a) one-month, a percentage equal to 0.29547% per annum (29.547 basis points), and (b) three-months, a percentage equal to 0.32138% per annum (32.138 basis points).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Administrator</w:t>
      </w:r>
      <w:r>
        <w:rPr>
          <w:rFonts w:ascii="Times New Roman" w:cs="Times New Roman" w:eastAsia="Times New Roman" w:hAnsi="Times New Roman"/>
          <w:sz w:val="22"/>
          <w:szCs w:val="22"/>
          <w:color w:val="auto"/>
        </w:rPr>
        <w:t>” means CanDeal Benchmark Administration Services Inc., TSX Inc., or any successor administrator.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Borrowing</w:t>
      </w:r>
      <w:r>
        <w:rPr>
          <w:rFonts w:ascii="Times New Roman" w:cs="Times New Roman" w:eastAsia="Times New Roman" w:hAnsi="Times New Roman"/>
          <w:sz w:val="22"/>
          <w:szCs w:val="22"/>
          <w:color w:val="auto"/>
        </w:rPr>
        <w:t>” means a Borrowing comprised of Term CORRA Loans.</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Loan</w:t>
      </w:r>
      <w:r>
        <w:rPr>
          <w:rFonts w:ascii="Times New Roman" w:cs="Times New Roman" w:eastAsia="Times New Roman" w:hAnsi="Times New Roman"/>
          <w:sz w:val="22"/>
          <w:szCs w:val="22"/>
          <w:color w:val="auto"/>
        </w:rPr>
        <w:t>” means a Loan that bears interest at a rate based on Adjusted Term CORRA other than pursuant to clause (ii) of the definition of “Canadian Prime Rate”.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CORRA Reference Rate</w:t>
      </w:r>
      <w:r>
        <w:rPr>
          <w:rFonts w:ascii="Times New Roman" w:cs="Times New Roman" w:eastAsia="Times New Roman" w:hAnsi="Times New Roman"/>
          <w:sz w:val="22"/>
          <w:szCs w:val="22"/>
          <w:color w:val="auto"/>
        </w:rPr>
        <w:t>” means the forward-looking term rate based on CORRA.</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w:t>
      </w:r>
      <w:r>
        <w:rPr>
          <w:rFonts w:ascii="Times New Roman" w:cs="Times New Roman" w:eastAsia="Times New Roman" w:hAnsi="Times New Roman"/>
          <w:sz w:val="21"/>
          <w:szCs w:val="21"/>
          <w:color w:val="auto"/>
        </w:rPr>
        <w:t>” means (a) for any Interest Period for a duration of one-month, three-months, or six-months (in each case, subject to the availability thereof) for a SOFR Loan, the greater of (i) the Term SOFR Reference Rate for a tenor comparable to the applicable Interest Period on the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xml:space="preserve">”) that is two (2) U.S. Government Securities Business Days prior to the first day of such Interest Period, as such rate is published by the Term SOFR Administrator and (ii) the Floor;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two (2) U.S. Government Securities Business Days prior to such Term SOFR Determination Day; or (b) for an Interest Period of any duration other than those specified in clause (a) of this definition of “Term SOFR”, for a SOFR Loan, Interpolated Term SOFR.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Adjustment</w:t>
      </w:r>
      <w:r>
        <w:rPr>
          <w:rFonts w:ascii="Times New Roman" w:cs="Times New Roman" w:eastAsia="Times New Roman" w:hAnsi="Times New Roman"/>
          <w:sz w:val="22"/>
          <w:szCs w:val="22"/>
          <w:color w:val="auto"/>
        </w:rPr>
        <w:t>” means, with respect to Term SOFR, 0.10% (10 basis points).</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Agent in its reasonable discretion).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Determination Day</w:t>
      </w:r>
      <w:r>
        <w:rPr>
          <w:rFonts w:ascii="Times New Roman" w:cs="Times New Roman" w:eastAsia="Times New Roman" w:hAnsi="Times New Roman"/>
          <w:sz w:val="22"/>
          <w:szCs w:val="22"/>
          <w:color w:val="auto"/>
        </w:rPr>
        <w:t>” has the meaning assigned to it under the definition of Term SOFR.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Australian Revolving Commitment</w:t>
      </w:r>
      <w:r>
        <w:rPr>
          <w:rFonts w:ascii="Times New Roman" w:cs="Times New Roman" w:eastAsia="Times New Roman" w:hAnsi="Times New Roman"/>
          <w:sz w:val="22"/>
          <w:szCs w:val="22"/>
          <w:color w:val="auto"/>
        </w:rPr>
        <w:t>” shall mean, at any time, the aggregate amount of the Australian Revolving Commitments, as in effect at such time.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Canadian Revolving Commitment</w:t>
      </w:r>
      <w:r>
        <w:rPr>
          <w:rFonts w:ascii="Times New Roman" w:cs="Times New Roman" w:eastAsia="Times New Roman" w:hAnsi="Times New Roman"/>
          <w:sz w:val="22"/>
          <w:szCs w:val="22"/>
          <w:color w:val="auto"/>
        </w:rPr>
        <w:t>” shall mean, at any time, the aggregate amount of the Canadian Revolving Commitments, as in effect at such time.</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55" w:name="page56"/>
    <w:bookmarkEnd w:id="55"/>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Net Debt</w:t>
      </w:r>
      <w:r>
        <w:rPr>
          <w:rFonts w:ascii="Times New Roman" w:cs="Times New Roman" w:eastAsia="Times New Roman" w:hAnsi="Times New Roman"/>
          <w:sz w:val="22"/>
          <w:szCs w:val="22"/>
          <w:color w:val="auto"/>
        </w:rPr>
        <w:t xml:space="preserve">” at any time shall mean (a) the Indebtedness of the Parent Borrower and its Subsidiaries at such time (excluding Indebtedness of the type described in clause (i) of the definition of such term, except to the extent of any unreimbursed drawings thereunder),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aggregate amount of Unrestricted Cash of the Parent Borrower and its Subsidiaries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there are (1) any Loans then outstanding or (2) any drawn and unreimbursed Letters of Credit with a face amount of not less than U.S.$1,000,000 individually, and U.S.$3,000,000 in the aggregate for all such Letters of Credit, that have not been reimbursed in accordance with Section 2.21(e), the amount of this clause (b) shall not exceed $30,000,000.</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Net Leverage Ratio</w:t>
      </w:r>
      <w:r>
        <w:rPr>
          <w:rFonts w:ascii="Times New Roman" w:cs="Times New Roman" w:eastAsia="Times New Roman" w:hAnsi="Times New Roman"/>
          <w:sz w:val="22"/>
          <w:szCs w:val="22"/>
          <w:color w:val="auto"/>
        </w:rPr>
        <w:t xml:space="preserve">” shall mean, on any date, the ratio of Total Net Debt on such date to Consolidated EBITDA for the period of four consecutive fiscal quarters most recently ended on or prior to such date for which financial statements have been delivered pursuant to Section 5.04(a) or Section 5.04(b) or for which comparable financial statements have been filed with the SEC. Solely for purposes of this definition, if, at any time the Total Net Leverage Ratio is being determined, the Parent Borrower or any Subsidiary shall have completed a Permitted Acquisition or Asset Sale the consideration of which is greater than U.S.$15,000,000 since the beginning of the relevant four fiscal quarter period, the Total Net Leverage Ratio shall be determined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(using the criteria therefor described in Section 6.04(i)) as if such Permitted Acquisition or Asset Sale, and any related incurrence or repayment of Indebtedness, had occurred at the beginning of such period.</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U.S. Revolving Commitment</w:t>
      </w:r>
      <w:r>
        <w:rPr>
          <w:rFonts w:ascii="Times New Roman" w:cs="Times New Roman" w:eastAsia="Times New Roman" w:hAnsi="Times New Roman"/>
          <w:sz w:val="22"/>
          <w:szCs w:val="22"/>
          <w:color w:val="auto"/>
        </w:rPr>
        <w:t>” shall mean, at any time, the aggregate amount of the U.S. Revolving Commitments, as in effect at such time.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shall mean, collectively, (a) the entering by the Loan Parties into Loan Documents to which they are to be a party and (b) the payment of the fees and expenses incurred in connection with the consummation of the foregoing.</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when used in respect of any Loan or Borrowing, shall refer to the Rate by reference to which interest on such Loan or on the Loans comprising such Borrowing is determined. For purposes hereof, the term “</w:t>
      </w:r>
      <w:r>
        <w:rPr>
          <w:rFonts w:ascii="Times New Roman" w:cs="Times New Roman" w:eastAsia="Times New Roman" w:hAnsi="Times New Roman"/>
          <w:sz w:val="22"/>
          <w:szCs w:val="22"/>
          <w:i w:val="1"/>
          <w:iCs w:val="1"/>
          <w:color w:val="auto"/>
        </w:rPr>
        <w:t>Rate</w:t>
      </w:r>
      <w:r>
        <w:rPr>
          <w:rFonts w:ascii="Times New Roman" w:cs="Times New Roman" w:eastAsia="Times New Roman" w:hAnsi="Times New Roman"/>
          <w:sz w:val="22"/>
          <w:szCs w:val="22"/>
          <w:color w:val="auto"/>
        </w:rPr>
        <w:t>” shall include Adjusted Term SOFR, the Alternate Base Rate, the Canadian Prime Rate, the U.S. Base Rate, the BBSY Rate, Adjusted Term CORRA and any Benchmark that may become applicable from time to time.</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UCC</w:t>
      </w:r>
      <w:r>
        <w:rPr>
          <w:rFonts w:ascii="Times New Roman" w:cs="Times New Roman" w:eastAsia="Times New Roman" w:hAnsi="Times New Roman"/>
          <w:sz w:val="22"/>
          <w:szCs w:val="22"/>
          <w:color w:val="auto"/>
        </w:rPr>
        <w:t>” shall mean the Uniform Commercial Code as the same may, from time to time, be in effect in the State of New York; provided, however, in the event that, by reason of mandatory provisions of law, any or all of the attachment, perfection or priority of the security interest in any Collateral is governed by the Uniform Commercial Code as in effect in a jurisdiction other than the State of New York,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UKBA</w:t>
      </w:r>
      <w:r>
        <w:rPr>
          <w:rFonts w:ascii="Times New Roman" w:cs="Times New Roman" w:eastAsia="Times New Roman" w:hAnsi="Times New Roman"/>
          <w:sz w:val="22"/>
          <w:szCs w:val="22"/>
          <w:color w:val="auto"/>
        </w:rPr>
        <w:t>” shall mean the U.K. Bribery Act 2010.</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Financial Institution</w:t>
      </w:r>
      <w:r>
        <w:rPr>
          <w:rFonts w:ascii="Times New Roman" w:cs="Times New Roman" w:eastAsia="Times New Roman" w:hAnsi="Times New Roman"/>
          <w:sz w:val="22"/>
          <w:szCs w:val="22"/>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56" w:name="page57"/>
    <w:bookmarkEnd w:id="56"/>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“Unadjusted Benchmark Replacement” </w:t>
      </w:r>
      <w:r>
        <w:rPr>
          <w:rFonts w:ascii="Times New Roman" w:cs="Times New Roman" w:eastAsia="Times New Roman" w:hAnsi="Times New Roman"/>
          <w:sz w:val="22"/>
          <w:szCs w:val="22"/>
          <w:color w:val="auto"/>
        </w:rPr>
        <w:t>means the applicable Benchmark Replacement excluding the related Benchmark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Replacement Adjustment.</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Unrestricted Cash</w:t>
      </w:r>
      <w:r>
        <w:rPr>
          <w:rFonts w:ascii="Times New Roman" w:cs="Times New Roman" w:eastAsia="Times New Roman" w:hAnsi="Times New Roman"/>
          <w:sz w:val="22"/>
          <w:szCs w:val="22"/>
          <w:color w:val="auto"/>
        </w:rPr>
        <w:t xml:space="preserve">” shall mean, as of any date of determination, the aggregate amount of all cash and Permitted Investments on the consolidated balance sheet of the Parent Borrower and its Subsidiaries that are not “restricted” for purposes of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aggregate amount of Unrestricted Cash shall not (i) include any cash or Permitted Investments that are subject to a Lien (other than any Lien in favor of any Collateral Agent and Permitted Liens (excluding those Permitted Liens arising under Sections 6.02(e), 6.02(f) and 6.02(i))) or (ii) include any cash or Permitted Investments that are restricted by contract, law or material adverse tax consequences from being applied to repay any Obligations as determined by the Borrower in good faith.</w:t>
      </w:r>
    </w:p>
    <w:p>
      <w:pPr>
        <w:spacing w:after="0" w:line="149"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Base Rate</w:t>
      </w:r>
      <w:r>
        <w:rPr>
          <w:rFonts w:ascii="Times New Roman" w:cs="Times New Roman" w:eastAsia="Times New Roman" w:hAnsi="Times New Roman"/>
          <w:sz w:val="21"/>
          <w:szCs w:val="21"/>
          <w:color w:val="auto"/>
        </w:rPr>
        <w:t>” means, for any day, a rate per annum equal to the greatest of (i) the rate of interest per annum which is determined by the Canadian Administrative Agent from time to time as the reference rate of interest for loans in U.S. dollars to its Canadian borrowers; (ii) the rate of interest per annum equal to the sum of the Federal Funds Effective Rate on such day plus</w:t>
      </w:r>
    </w:p>
    <w:p>
      <w:pPr>
        <w:spacing w:after="0" w:line="3" w:lineRule="exact"/>
        <w:rPr>
          <w:sz w:val="20"/>
          <w:szCs w:val="20"/>
          <w:color w:val="auto"/>
        </w:rPr>
      </w:pPr>
    </w:p>
    <w:p>
      <w:pPr>
        <w:jc w:val="both"/>
        <w:ind w:firstLine="8"/>
        <w:spacing w:after="0" w:line="211" w:lineRule="auto"/>
        <w:tabs>
          <w:tab w:leader="none" w:pos="22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1.00%; and (iii) Adjusted Term SOFR for a one-month tenor in effect for such day plus 1.00%, adjusted automatically with each change in such rates all without the necessity of any notice to the Borrower or any other Person; provided that if such rates are equal or if such Federal Funds Effective Rate or Adjusted Term SOFR is unavailable for any reason on any date of determination, then the “U.S. Base Rate” shall be the rate specified in paragraph (i) above; provided further that to the extent such highest rate as calculated above shall, at any time, be less than the Floor, such rate shall be deemed to be the Floor for all purposes herein.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Borrowers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U.S. Borrower</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Collateral</w:t>
      </w:r>
      <w:r>
        <w:rPr>
          <w:rFonts w:ascii="Times New Roman" w:cs="Times New Roman" w:eastAsia="Times New Roman" w:hAnsi="Times New Roman"/>
          <w:sz w:val="22"/>
          <w:szCs w:val="22"/>
          <w:color w:val="auto"/>
        </w:rPr>
        <w:t>” shall mean all “Collateral” as defined in any U.S. Security Document.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Collateral Agent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Commitment Fee</w:t>
      </w:r>
      <w:r>
        <w:rPr>
          <w:rFonts w:ascii="Times New Roman" w:cs="Times New Roman" w:eastAsia="Times New Roman" w:hAnsi="Times New Roman"/>
          <w:sz w:val="22"/>
          <w:szCs w:val="22"/>
          <w:color w:val="auto"/>
        </w:rPr>
        <w:t>” shall have the meaning assigned to such term in Section 2.05(a)(i).</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Dollar Equivalent</w:t>
      </w:r>
      <w:r>
        <w:rPr>
          <w:rFonts w:ascii="Times New Roman" w:cs="Times New Roman" w:eastAsia="Times New Roman" w:hAnsi="Times New Roman"/>
          <w:sz w:val="22"/>
          <w:szCs w:val="22"/>
          <w:color w:val="auto"/>
        </w:rPr>
        <w:t>” shall mean, on any date of determination, with respect to any amount in Canadian dollars, Australian dollars or an Alternative Currency, the equivalent in U.S. dollars of such amount, determined by the Administrative Agent using the Exchange Rate then in effect.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Guarantee Agreement</w:t>
      </w:r>
      <w:r>
        <w:rPr>
          <w:rFonts w:ascii="Times New Roman" w:cs="Times New Roman" w:eastAsia="Times New Roman" w:hAnsi="Times New Roman"/>
          <w:sz w:val="22"/>
          <w:szCs w:val="22"/>
          <w:color w:val="auto"/>
        </w:rPr>
        <w:t xml:space="preserve">” shall mean the U.S. Guarantee Agreement, substantially in the form of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among the U.S. Borrowers, the U.S. Subsidiary Guarantors and the U.S. Collateral Agent for the benefit of the Secured Parties.</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57" w:name="page58"/>
    <w:bookmarkEnd w:id="57"/>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L/C Exposure</w:t>
      </w:r>
      <w:r>
        <w:rPr>
          <w:rFonts w:ascii="Times New Roman" w:cs="Times New Roman" w:eastAsia="Times New Roman" w:hAnsi="Times New Roman"/>
          <w:sz w:val="22"/>
          <w:szCs w:val="22"/>
          <w:color w:val="auto"/>
        </w:rPr>
        <w:t xml:space="preserve">” shall mean at any time the sum of (a) the U.S. Dollar Equivalent of the aggregate undrawn amount of all outstanding U.S. Letters of Credit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U.S. Dollar Equivalent of the aggregate principal amount of all L/C Disbursements in respect of U.S. Letters of Credit that have not yet been reimbursed at such time. The U.S. L/C Exposure of any U.S. Revolving Lender at any time shall mean its U.S. Revolving Pro Rata Percentage of the aggregate U.S. L/C Exposure at such time.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L/C Participation Fee</w:t>
      </w:r>
      <w:r>
        <w:rPr>
          <w:rFonts w:ascii="Times New Roman" w:cs="Times New Roman" w:eastAsia="Times New Roman" w:hAnsi="Times New Roman"/>
          <w:sz w:val="22"/>
          <w:szCs w:val="22"/>
          <w:color w:val="auto"/>
        </w:rPr>
        <w:t>” shall have the meaning assigned to such term in Section 2.05(c).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Lenders</w:t>
      </w:r>
      <w:r>
        <w:rPr>
          <w:rFonts w:ascii="Times New Roman" w:cs="Times New Roman" w:eastAsia="Times New Roman" w:hAnsi="Times New Roman"/>
          <w:sz w:val="22"/>
          <w:szCs w:val="22"/>
          <w:color w:val="auto"/>
        </w:rPr>
        <w:t>” shall mean the Lenders having U.S. Revolving Commitments or outstanding U.S. Loans.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Loan</w:t>
      </w:r>
      <w:r>
        <w:rPr>
          <w:rFonts w:ascii="Times New Roman" w:cs="Times New Roman" w:eastAsia="Times New Roman" w:hAnsi="Times New Roman"/>
          <w:sz w:val="22"/>
          <w:szCs w:val="22"/>
          <w:color w:val="auto"/>
        </w:rPr>
        <w:t>” shall mean a U.S. Revolving Credit Loan. Each U.S. Loan shall be an ABR Loan or a SOFR Loan.</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Owned Subsidiary</w:t>
      </w:r>
      <w:r>
        <w:rPr>
          <w:rFonts w:ascii="Times New Roman" w:cs="Times New Roman" w:eastAsia="Times New Roman" w:hAnsi="Times New Roman"/>
          <w:sz w:val="22"/>
          <w:szCs w:val="22"/>
          <w:color w:val="auto"/>
        </w:rPr>
        <w:t>” shall mean a Foreign Subsidiary of (i) a U.S. Borrower or (ii) a Subsidiary of the Parent Borrower that is a U.S. Person. None of the Material Subsidiaries on the Closing Date and their successors shall be considered a U.S. Owned Subsidiary.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Person</w:t>
      </w:r>
      <w:r>
        <w:rPr>
          <w:rFonts w:ascii="Times New Roman" w:cs="Times New Roman" w:eastAsia="Times New Roman" w:hAnsi="Times New Roman"/>
          <w:sz w:val="22"/>
          <w:szCs w:val="22"/>
          <w:color w:val="auto"/>
        </w:rPr>
        <w:t>” shall mean any person that is a “United States person” as defined in Section 7701(a)(30) of the Code.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Pledge Agreement</w:t>
      </w:r>
      <w:r>
        <w:rPr>
          <w:rFonts w:ascii="Times New Roman" w:cs="Times New Roman" w:eastAsia="Times New Roman" w:hAnsi="Times New Roman"/>
          <w:sz w:val="21"/>
          <w:szCs w:val="21"/>
          <w:color w:val="auto"/>
        </w:rPr>
        <w:t xml:space="preserve">” shall mean the U.S. Pledge Agreement, substantially in the form of </w:t>
      </w:r>
      <w:r>
        <w:rPr>
          <w:rFonts w:ascii="Times New Roman" w:cs="Times New Roman" w:eastAsia="Times New Roman" w:hAnsi="Times New Roman"/>
          <w:sz w:val="21"/>
          <w:szCs w:val="21"/>
          <w:u w:val="single" w:color="auto"/>
          <w:color w:val="auto"/>
        </w:rPr>
        <w:t>Exhibit D-2</w:t>
      </w:r>
      <w:r>
        <w:rPr>
          <w:rFonts w:ascii="Times New Roman" w:cs="Times New Roman" w:eastAsia="Times New Roman" w:hAnsi="Times New Roman"/>
          <w:sz w:val="21"/>
          <w:szCs w:val="21"/>
          <w:color w:val="auto"/>
        </w:rPr>
        <w:t>, among the 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Borrowers, the Subsidiaries party thereto and the U.S. Collateral Agent for the benefit of the Secured Parties.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Borrowing</w:t>
      </w:r>
      <w:r>
        <w:rPr>
          <w:rFonts w:ascii="Times New Roman" w:cs="Times New Roman" w:eastAsia="Times New Roman" w:hAnsi="Times New Roman"/>
          <w:sz w:val="22"/>
          <w:szCs w:val="22"/>
          <w:color w:val="auto"/>
        </w:rPr>
        <w:t>” shall mean group of U.S. Revolving Credit Loans of a single Type made, converted or continued by the U.S. Revolving Lenders on a single date and, in the case of a SOFR Borrowing, as to which a single Interest Period is in effect.</w:t>
      </w:r>
    </w:p>
    <w:p>
      <w:pPr>
        <w:spacing w:after="0" w:line="14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Revolving Commitment</w:t>
      </w:r>
      <w:r>
        <w:rPr>
          <w:rFonts w:ascii="Times New Roman" w:cs="Times New Roman" w:eastAsia="Times New Roman" w:hAnsi="Times New Roman"/>
          <w:sz w:val="21"/>
          <w:szCs w:val="21"/>
          <w:color w:val="auto"/>
        </w:rPr>
        <w:t>” shall mean, with respect to each U.S. Revolving Lender, the commitment of such U.S. Revolving Lender to (a) make U.S. Revolving Credit Loans hereunder, (b) purchase participations in the U.S. L/C Exposure and</w:t>
      </w:r>
    </w:p>
    <w:p>
      <w:pPr>
        <w:spacing w:after="0" w:line="1" w:lineRule="exact"/>
        <w:rPr>
          <w:sz w:val="20"/>
          <w:szCs w:val="20"/>
          <w:color w:val="auto"/>
        </w:rPr>
      </w:pPr>
    </w:p>
    <w:p>
      <w:pPr>
        <w:jc w:val="both"/>
        <w:ind w:firstLine="8"/>
        <w:spacing w:after="0" w:line="210" w:lineRule="auto"/>
        <w:tabs>
          <w:tab w:leader="none" w:pos="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participations in U.S. Swing Line Loans, in an aggregate principal amount at any one time outstanding not to exceed the amount set forth opposite such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“U.S. Revolving Commitment”, or in the Assignment and Acceptance or Lender Joinder Agreement pursuant to which such U.S. Revolving Lender assumed its U.S. Revolving Commitment, as applicable, as the same may be (i) increased from time to time pursuant to Section 2.25, (ii) reduced from time to time pursuant to Section 2.09 and (iii) reduced or increased from time to time pursuant to assignments by or to such U.S. Revolving Lender pursuant to Section 9.04. The aggregate amount of the U.S. Revolving Commitments as of the Closing Date is U.S.$10,000,000.</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Credit Exposure</w:t>
      </w:r>
      <w:r>
        <w:rPr>
          <w:rFonts w:ascii="Times New Roman" w:cs="Times New Roman" w:eastAsia="Times New Roman" w:hAnsi="Times New Roman"/>
          <w:sz w:val="22"/>
          <w:szCs w:val="22"/>
          <w:color w:val="auto"/>
        </w:rPr>
        <w:t xml:space="preserve">” shall mean, with respect to any U.S. Revolving Lender at any time, the aggregate principal amount at such time of all outstanding U.S. Revolving Credit Loans of such U.S. Revolving Lender,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U.S. Dollar Equivalent of the aggregate amount at such time of such U.S. Revolving Lender’s U.S. Revolving Pro Rata Percentage of the U.S. L/C Exposure plus such U.S. Revolving Lender’s U.S. Revolving Pro Rata Percentage of the outstanding amount all U.S. Swing Line Loans.</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58" w:name="page59"/>
    <w:bookmarkEnd w:id="58"/>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Credit Facility</w:t>
      </w:r>
      <w:r>
        <w:rPr>
          <w:rFonts w:ascii="Times New Roman" w:cs="Times New Roman" w:eastAsia="Times New Roman" w:hAnsi="Times New Roman"/>
          <w:sz w:val="22"/>
          <w:szCs w:val="22"/>
          <w:color w:val="auto"/>
        </w:rPr>
        <w:t>” shall mean at any time the aggregate amount of the U.S. Revolving Commitments of the U.S. Revolving Lenders at such time.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Credit Loan</w:t>
      </w:r>
      <w:r>
        <w:rPr>
          <w:rFonts w:ascii="Times New Roman" w:cs="Times New Roman" w:eastAsia="Times New Roman" w:hAnsi="Times New Roman"/>
          <w:sz w:val="22"/>
          <w:szCs w:val="22"/>
          <w:color w:val="auto"/>
        </w:rPr>
        <w:t>” shall mean the U.S. dollar-denominated Revolving Credit Loans made by the U.S.</w:t>
      </w:r>
    </w:p>
    <w:p>
      <w:pPr>
        <w:spacing w:after="0"/>
        <w:rPr>
          <w:sz w:val="20"/>
          <w:szCs w:val="20"/>
          <w:color w:val="auto"/>
        </w:rPr>
      </w:pPr>
      <w:r>
        <w:rPr>
          <w:rFonts w:ascii="Times New Roman" w:cs="Times New Roman" w:eastAsia="Times New Roman" w:hAnsi="Times New Roman"/>
          <w:sz w:val="22"/>
          <w:szCs w:val="22"/>
          <w:color w:val="auto"/>
        </w:rPr>
        <w:t>Revolving Lenders to the U.S. Borrowers.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Lenders</w:t>
      </w:r>
      <w:r>
        <w:rPr>
          <w:rFonts w:ascii="Times New Roman" w:cs="Times New Roman" w:eastAsia="Times New Roman" w:hAnsi="Times New Roman"/>
          <w:sz w:val="22"/>
          <w:szCs w:val="22"/>
          <w:color w:val="auto"/>
        </w:rPr>
        <w:t>” shall mean Lenders having U.S. Revolving Commitments, outstanding U.S. Revolving Credit Loans, participations in U.S. Letters of Credit pursuant to Section 2.21(d) or in outstanding U.S. Swing Line Loans pursuant to Section 2.23.</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Revolving Pro Rata Percentage</w:t>
      </w:r>
      <w:r>
        <w:rPr>
          <w:rFonts w:ascii="Times New Roman" w:cs="Times New Roman" w:eastAsia="Times New Roman" w:hAnsi="Times New Roman"/>
          <w:sz w:val="22"/>
          <w:szCs w:val="22"/>
          <w:color w:val="auto"/>
        </w:rPr>
        <w:t xml:space="preserve">” of any U.S. Revolving Lender, subject to any adjustment as provided in Section 2.24(c) or Section 2.25(a), shall mean the percentage of the aggregate U.S. Revolving Commitments represented by such U.S. Revolving Lender’s U.S. Revolving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U.S. Revolving Commitments have terminated, the U.S. Revolving Pro Rata Percentages of the U.S. Revolving Lenders shall be determined based upon the U.S. Revolving Commitments most recently in effect, giving effect to any assignments.</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Security Agreement</w:t>
      </w:r>
      <w:r>
        <w:rPr>
          <w:rFonts w:ascii="Times New Roman" w:cs="Times New Roman" w:eastAsia="Times New Roman" w:hAnsi="Times New Roman"/>
          <w:sz w:val="22"/>
          <w:szCs w:val="22"/>
          <w:color w:val="auto"/>
        </w:rPr>
        <w:t xml:space="preserve">” shall mean the U.S. Security Agreement, substantially in the form of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among the U.S. Borrowers, the Subsidiaries party thereto and the U.S. Collateral Agent for the benefit of the Secured Parties.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Security Documents</w:t>
      </w:r>
      <w:r>
        <w:rPr>
          <w:rFonts w:ascii="Times New Roman" w:cs="Times New Roman" w:eastAsia="Times New Roman" w:hAnsi="Times New Roman"/>
          <w:sz w:val="22"/>
          <w:szCs w:val="22"/>
          <w:color w:val="auto"/>
        </w:rPr>
        <w:t>” shall mean the U.S. Security Agreement, the U.S. Pledge Agreement and each other Security Document to which a U.S. Borrower or any Domestic Subsidiary is a party and that purports to grant a Lien in the assets of any such person in favor of the U.S. Collateral Agent for the benefit of the Secured Parties.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Special Resolution Regime</w:t>
      </w:r>
      <w:r>
        <w:rPr>
          <w:rFonts w:ascii="Times New Roman" w:cs="Times New Roman" w:eastAsia="Times New Roman" w:hAnsi="Times New Roman"/>
          <w:sz w:val="22"/>
          <w:szCs w:val="22"/>
          <w:color w:val="auto"/>
        </w:rPr>
        <w:t>” shall have the meaning provided in Section 9.25.</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Subsidiary Guarantor</w:t>
      </w:r>
      <w:r>
        <w:rPr>
          <w:rFonts w:ascii="Times New Roman" w:cs="Times New Roman" w:eastAsia="Times New Roman" w:hAnsi="Times New Roman"/>
          <w:sz w:val="22"/>
          <w:szCs w:val="22"/>
          <w:color w:val="auto"/>
        </w:rPr>
        <w:t xml:space="preserve">” shall mean each Domestic Subsidiary of a U.S. Borrower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and each other Domestic Subsidiary that is or becomes a party to the U.S. Guarantee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Swing Line Borrowing</w:t>
      </w:r>
      <w:r>
        <w:rPr>
          <w:rFonts w:ascii="Times New Roman" w:cs="Times New Roman" w:eastAsia="Times New Roman" w:hAnsi="Times New Roman"/>
          <w:sz w:val="22"/>
          <w:szCs w:val="22"/>
          <w:color w:val="auto"/>
        </w:rPr>
        <w:t>” shall mean a borrowing of a U.S. Swing Line Loan pursuant to Section 2.23(a)(i) or, if an AutoBorrow Agreement is in effect, any transfer of funds pursuant to such AutoBorrow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Swing Line Lender</w:t>
      </w:r>
      <w:r>
        <w:rPr>
          <w:rFonts w:ascii="Times New Roman" w:cs="Times New Roman" w:eastAsia="Times New Roman" w:hAnsi="Times New Roman"/>
          <w:sz w:val="22"/>
          <w:szCs w:val="22"/>
          <w:color w:val="auto"/>
        </w:rPr>
        <w:t>” shall mean RBC in its capacity as provider of U.S. Swing Line Loans, or any successor swing line lender hereunder.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Swing Line Loan</w:t>
      </w:r>
      <w:r>
        <w:rPr>
          <w:rFonts w:ascii="Times New Roman" w:cs="Times New Roman" w:eastAsia="Times New Roman" w:hAnsi="Times New Roman"/>
          <w:sz w:val="22"/>
          <w:szCs w:val="22"/>
          <w:color w:val="auto"/>
        </w:rPr>
        <w:t>” shall have the meaning assigned to such term in Section 2.23(a)(i).</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Swing Line Sublimit</w:t>
      </w:r>
      <w:r>
        <w:rPr>
          <w:rFonts w:ascii="Times New Roman" w:cs="Times New Roman" w:eastAsia="Times New Roman" w:hAnsi="Times New Roman"/>
          <w:sz w:val="22"/>
          <w:szCs w:val="22"/>
          <w:color w:val="auto"/>
        </w:rPr>
        <w:t>” shall mean U.S.$10,000,000. The U.S. Swing Line Sublimit is part of, and not in addition to, the U.S. Revolving Commitments.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shall have the meaning assigned to such term in Section 2.19(g)(ii)(B)(3).</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wholly owned Subsidiary</w:t>
      </w:r>
      <w:r>
        <w:rPr>
          <w:rFonts w:ascii="Times New Roman" w:cs="Times New Roman" w:eastAsia="Times New Roman" w:hAnsi="Times New Roman"/>
          <w:sz w:val="22"/>
          <w:szCs w:val="22"/>
          <w:color w:val="auto"/>
        </w:rPr>
        <w:t>” of any person shall mean (a) any subsidiary of such person of which securities (except for directors’ qualifying shares) or other ownership interests representing 100% of the equity or 100% of the ordinary voting power are, at the time any determination is being made, owned, controlled or held by such person or one or more wholly</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59" w:name="page60"/>
    <w:bookmarkEnd w:id="59"/>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owned subsidiaries of such person or by such person and one or more wholly owned subsidiaries of such person or (b) any subsidiary that is organized in a foreign jurisdiction and is required by the applicable laws and regulations of such foreign jurisdiction to be partially owned by the government of such foreign jurisdiction or individual or corporate citizens of such foreign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person, directly or indirectly, owns the remaining Equity Interests in such subsidiary and, by contract or otherwise, controls the management and business of such subsidiary and derives economic benefits of ownership of such subsidiary to substantially the same extent as if such subsidiary were a wholly owned subsidiary.</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Withdrawal Liability</w:t>
      </w:r>
      <w:r>
        <w:rPr>
          <w:rFonts w:ascii="Times New Roman" w:cs="Times New Roman" w:eastAsia="Times New Roman" w:hAnsi="Times New Roman"/>
          <w:sz w:val="22"/>
          <w:szCs w:val="22"/>
          <w:color w:val="auto"/>
        </w:rPr>
        <w:t>” shall mean liability to a Multiemployer Plan as a result of a complete or partial withdrawal from such Multiemployer Plan, as such terms are defined in Part I of Subtitle E of Title IV of ERISA.</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Withholding Agent</w:t>
      </w:r>
      <w:r>
        <w:rPr>
          <w:rFonts w:ascii="Times New Roman" w:cs="Times New Roman" w:eastAsia="Times New Roman" w:hAnsi="Times New Roman"/>
          <w:sz w:val="22"/>
          <w:szCs w:val="22"/>
          <w:color w:val="auto"/>
        </w:rPr>
        <w:t>” shall mean any Loan Party and the Administrative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Write-Down and Conversion Powers</w:t>
      </w:r>
      <w:r>
        <w:rPr>
          <w:rFonts w:ascii="Times New Roman" w:cs="Times New Roman" w:eastAsia="Times New Roman" w:hAnsi="Times New Roman"/>
          <w:sz w:val="22"/>
          <w:szCs w:val="22"/>
          <w:color w:val="auto"/>
        </w:rPr>
        <w:t>” shall mean</w:t>
      </w:r>
    </w:p>
    <w:p>
      <w:pPr>
        <w:spacing w:after="0" w:line="183" w:lineRule="exact"/>
        <w:rPr>
          <w:sz w:val="20"/>
          <w:szCs w:val="20"/>
          <w:color w:val="auto"/>
        </w:rPr>
      </w:pPr>
    </w:p>
    <w:p>
      <w:pPr>
        <w:jc w:val="both"/>
        <w:ind w:firstLine="656"/>
        <w:spacing w:after="0" w:line="225" w:lineRule="auto"/>
        <w:tabs>
          <w:tab w:leader="none" w:pos="121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4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United Kingdom, any powers of the applicable UK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1.02 </w:t>
      </w:r>
      <w:r>
        <w:rPr>
          <w:rFonts w:ascii="Times New Roman" w:cs="Times New Roman" w:eastAsia="Times New Roman" w:hAnsi="Times New Roman"/>
          <w:sz w:val="22"/>
          <w:szCs w:val="22"/>
          <w:b w:val="1"/>
          <w:bCs w:val="1"/>
          <w:i w:val="1"/>
          <w:iCs w:val="1"/>
          <w:color w:val="auto"/>
        </w:rPr>
        <w:t>Terms Generally</w:t>
      </w:r>
      <w:r>
        <w:rPr>
          <w:rFonts w:ascii="Times New Roman" w:cs="Times New Roman" w:eastAsia="Times New Roman" w:hAnsi="Times New Roman"/>
          <w:sz w:val="22"/>
          <w:szCs w:val="22"/>
          <w:color w:val="auto"/>
        </w:rPr>
        <w:t>. The definitions in Section 1.01 shall apply equally to both the singular and plural forms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deemed references to Articles and Sections of, and Exhibits and Schedules to, this Agreement, any references to a term defined in the PPSA (Alberta) or the PPSA (Australia) herein shall, unless otherwise specified, have the same meaning given to that term in the PPSA (Alberta) or PPSA (Australia) (as applicable) and (e) any reference to any law or regulation herein shall, unless otherwise specified, refer to such law or regulation as amended, modified or supplemented from time to time. Except as otherwise expressly provided herein, all terms of an accounting or financial nature shall be construed in accordance with GAAP, as in</w:t>
      </w: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60" w:name="page61"/>
    <w:bookmarkEnd w:id="60"/>
    <w:p>
      <w:pPr>
        <w:jc w:val="both"/>
        <w:spacing w:after="0" w:line="206" w:lineRule="auto"/>
        <w:rPr>
          <w:sz w:val="20"/>
          <w:szCs w:val="20"/>
          <w:color w:val="auto"/>
        </w:rPr>
      </w:pPr>
      <w:r>
        <w:rPr>
          <w:rFonts w:ascii="Times New Roman" w:cs="Times New Roman" w:eastAsia="Times New Roman" w:hAnsi="Times New Roman"/>
          <w:sz w:val="22"/>
          <w:szCs w:val="22"/>
          <w:color w:val="auto"/>
        </w:rPr>
        <w:t xml:space="preserve">effect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Parent Borrower notifies the Administrative Agent that the Borrowers wish to amend any covenant in Article VI or any related definition to eliminate the effect of any change in GAAP occurring after the Closing Date on the operation of such covenant (or if the Administrative Agent notifies the Parent Borrower that the Required Lenders wish to amend Article VI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Parent Borrower and the Required Lenders.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of America as in effect on December 31, 2013 in a manner consistent with the treatment of such leases under generally accepted accounting principles in the United States of America as in effect on December 31, 2013, notwithstanding any modifications or interpretive changes thereto that may occur thereafter.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9"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1.03 </w:t>
      </w:r>
      <w:r>
        <w:rPr>
          <w:rFonts w:ascii="Times New Roman" w:cs="Times New Roman" w:eastAsia="Times New Roman" w:hAnsi="Times New Roman"/>
          <w:sz w:val="22"/>
          <w:szCs w:val="22"/>
          <w:b w:val="1"/>
          <w:bCs w:val="1"/>
          <w:i w:val="1"/>
          <w:iCs w:val="1"/>
          <w:color w:val="auto"/>
        </w:rPr>
        <w:t>Several Obligations; Power of Attorney</w:t>
      </w:r>
      <w:r>
        <w:rPr>
          <w:rFonts w:ascii="Times New Roman" w:cs="Times New Roman" w:eastAsia="Times New Roman" w:hAnsi="Times New Roman"/>
          <w:sz w:val="22"/>
          <w:szCs w:val="22"/>
          <w:color w:val="auto"/>
        </w:rPr>
        <w:t>. Each of the U.S. Borrowers and the Australian Borrower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appoints the Parent Borrower and each of its officers to be its attorneys in fact (its “</w:t>
      </w:r>
      <w:r>
        <w:rPr>
          <w:rFonts w:ascii="Times New Roman" w:cs="Times New Roman" w:eastAsia="Times New Roman" w:hAnsi="Times New Roman"/>
          <w:sz w:val="22"/>
          <w:szCs w:val="22"/>
          <w:i w:val="1"/>
          <w:iCs w:val="1"/>
          <w:color w:val="auto"/>
        </w:rPr>
        <w:t>Attorneys</w:t>
      </w:r>
      <w:r>
        <w:rPr>
          <w:rFonts w:ascii="Times New Roman" w:cs="Times New Roman" w:eastAsia="Times New Roman" w:hAnsi="Times New Roman"/>
          <w:sz w:val="22"/>
          <w:szCs w:val="22"/>
          <w:color w:val="auto"/>
        </w:rPr>
        <w:t>”) and in its name and on its behalf and as its act and deed or otherwise to sign all documents and carry out all such acts as are necessary or appropriate in connection with executing any Borrowing Request, any Loan Documents or any other instruments, certificates or documents delivered thereunder or in connection therewith (collectively, the “</w:t>
      </w:r>
      <w:r>
        <w:rPr>
          <w:rFonts w:ascii="Times New Roman" w:cs="Times New Roman" w:eastAsia="Times New Roman" w:hAnsi="Times New Roman"/>
          <w:sz w:val="22"/>
          <w:szCs w:val="22"/>
          <w:i w:val="1"/>
          <w:iCs w:val="1"/>
          <w:color w:val="auto"/>
        </w:rPr>
        <w:t>Documents</w:t>
      </w:r>
      <w:r>
        <w:rPr>
          <w:rFonts w:ascii="Times New Roman" w:cs="Times New Roman" w:eastAsia="Times New Roman" w:hAnsi="Times New Roman"/>
          <w:sz w:val="22"/>
          <w:szCs w:val="22"/>
          <w:color w:val="auto"/>
        </w:rPr>
        <w:t>”). This Power of Attorney shall be valid for the duration of the term of this Agreement. Each U.S. Borrower and the Australian Borrower hereby ratifies any and all acts which any of its Attorneys shall do in order to execute on its behalf, or in connection with, the Documents mentioned herein.</w:t>
      </w:r>
    </w:p>
    <w:p>
      <w:pPr>
        <w:spacing w:after="0" w:line="7"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1.04 </w:t>
      </w:r>
      <w:r>
        <w:rPr>
          <w:rFonts w:ascii="Times New Roman" w:cs="Times New Roman" w:eastAsia="Times New Roman" w:hAnsi="Times New Roman"/>
          <w:sz w:val="22"/>
          <w:szCs w:val="22"/>
          <w:b w:val="1"/>
          <w:bCs w:val="1"/>
          <w:i w:val="1"/>
          <w:iCs w:val="1"/>
          <w:color w:val="auto"/>
        </w:rPr>
        <w:t>Classification of Loans and Borrowings</w:t>
      </w:r>
      <w:r>
        <w:rPr>
          <w:rFonts w:ascii="Times New Roman" w:cs="Times New Roman" w:eastAsia="Times New Roman" w:hAnsi="Times New Roman"/>
          <w:sz w:val="22"/>
          <w:szCs w:val="22"/>
          <w:color w:val="auto"/>
        </w:rPr>
        <w:t>. For purposes of this Agreement, Loans may be classified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referred to by Class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“U.S. Revolving Credit Loan”) or by Type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“SOFR Loan”) or by Class and Type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“SOFR U.S. Revolving Credit Loan”). Borrowings also may be classified and referred to by Class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“U.S. Revolving Borrowing”) or by Type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“SOFR Borrowing”) or by Class and Type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“SOFR U.S. Revolving Borrowing”).</w:t>
      </w:r>
    </w:p>
    <w:p>
      <w:pPr>
        <w:spacing w:after="0" w:line="4"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1.05 </w:t>
      </w:r>
      <w:r>
        <w:rPr>
          <w:rFonts w:ascii="Times New Roman" w:cs="Times New Roman" w:eastAsia="Times New Roman" w:hAnsi="Times New Roman"/>
          <w:sz w:val="22"/>
          <w:szCs w:val="22"/>
          <w:b w:val="1"/>
          <w:bCs w:val="1"/>
          <w:i w:val="1"/>
          <w:iCs w:val="1"/>
          <w:color w:val="auto"/>
        </w:rPr>
        <w:t>Additional Alternative Currencies</w:t>
      </w:r>
      <w:r>
        <w:rPr>
          <w:rFonts w:ascii="Times New Roman" w:cs="Times New Roman" w:eastAsia="Times New Roman" w:hAnsi="Times New Roman"/>
          <w:sz w:val="22"/>
          <w:szCs w:val="22"/>
          <w:color w:val="auto"/>
        </w:rPr>
        <w:t>. The Borrowers may from time to time request that Letters of Credit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issued in a currency other than those specifically listed in the definition of “Alternative Currency;”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requested currency is a lawful currency that is readily available and freely transferable and convertible into U.S. dollars. Such request shall be subject to the approval of the Administrative Agent and the Applicable Issuing Bank. Any such request shall be made to the Administrative Agent not later than 12:00 p.m. (Standard Time), ten Business Days prior to the date of the requested Letter of Credit (or such other time or date as may be agreed by the Administrative Agent and the Applicable Issuing Bank, in its or their sole discretion). The Administrative Agent shall promptly notify the Applicable Issuing Bank thereof. The Applicable Issuing Bank shall notify the Administrative Agent, not later than 12:00 p.m. (Standard Time), five Business Days after receipt of such request whether it consents, in its sole discretion, to the issuance of Letters of Credit, as the case may be, in such requested currency. Any failure by the Applicable Issuing Bank to respond to such request within the time period specified in the preceding sentence shall be deemed to be a refusal by such Issuing Bank</w:t>
      </w:r>
    </w:p>
    <w:p>
      <w:pPr>
        <w:spacing w:after="0" w:line="3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49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61" w:name="page62"/>
    <w:bookmarkEnd w:id="61"/>
    <w:p>
      <w:pPr>
        <w:jc w:val="both"/>
        <w:spacing w:after="0" w:line="209" w:lineRule="auto"/>
        <w:rPr>
          <w:sz w:val="20"/>
          <w:szCs w:val="20"/>
          <w:color w:val="auto"/>
        </w:rPr>
      </w:pPr>
      <w:r>
        <w:rPr>
          <w:rFonts w:ascii="Times New Roman" w:cs="Times New Roman" w:eastAsia="Times New Roman" w:hAnsi="Times New Roman"/>
          <w:sz w:val="22"/>
          <w:szCs w:val="22"/>
          <w:color w:val="auto"/>
        </w:rPr>
        <w:t>to issue the requested Letters of Credit in such requested currency at that time. If the Administrative Agent and the Applicable Issuing Bank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consent to any request for an additional currency under this Section 1.05, the Administrative Agent shall promptly so notify the Borrowers.</w:t>
      </w:r>
    </w:p>
    <w:p>
      <w:pPr>
        <w:ind w:left="660"/>
        <w:spacing w:after="0" w:line="217"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1.06</w:t>
      </w:r>
      <w:r>
        <w:rPr>
          <w:sz w:val="20"/>
          <w:szCs w:val="20"/>
          <w:color w:val="auto"/>
        </w:rPr>
        <w:tab/>
      </w:r>
      <w:r>
        <w:rPr>
          <w:rFonts w:ascii="Times New Roman" w:cs="Times New Roman" w:eastAsia="Times New Roman" w:hAnsi="Times New Roman"/>
          <w:sz w:val="21"/>
          <w:szCs w:val="21"/>
          <w:b w:val="1"/>
          <w:bCs w:val="1"/>
          <w:i w:val="1"/>
          <w:iCs w:val="1"/>
          <w:color w:val="auto"/>
        </w:rPr>
        <w:t>[Reserved]</w:t>
      </w:r>
      <w:r>
        <w:rPr>
          <w:rFonts w:ascii="Times New Roman" w:cs="Times New Roman" w:eastAsia="Times New Roman" w:hAnsi="Times New Roman"/>
          <w:sz w:val="21"/>
          <w:szCs w:val="21"/>
          <w:color w:val="auto"/>
        </w:rPr>
        <w:t>.</w:t>
      </w:r>
    </w:p>
    <w:p>
      <w:pPr>
        <w:ind w:left="660"/>
        <w:spacing w:after="0" w:line="214"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1.07</w:t>
      </w:r>
      <w:r>
        <w:rPr>
          <w:sz w:val="20"/>
          <w:szCs w:val="20"/>
          <w:color w:val="auto"/>
        </w:rPr>
        <w:tab/>
      </w:r>
      <w:r>
        <w:rPr>
          <w:rFonts w:ascii="Times New Roman" w:cs="Times New Roman" w:eastAsia="Times New Roman" w:hAnsi="Times New Roman"/>
          <w:sz w:val="21"/>
          <w:szCs w:val="21"/>
          <w:b w:val="1"/>
          <w:bCs w:val="1"/>
          <w:i w:val="1"/>
          <w:iCs w:val="1"/>
          <w:color w:val="auto"/>
        </w:rPr>
        <w:t>Interest Rates; Benchmark Notification</w:t>
      </w:r>
      <w:r>
        <w:rPr>
          <w:rFonts w:ascii="Times New Roman" w:cs="Times New Roman" w:eastAsia="Times New Roman" w:hAnsi="Times New Roman"/>
          <w:sz w:val="21"/>
          <w:szCs w:val="21"/>
          <w:color w:val="auto"/>
        </w:rPr>
        <w:t>.</w:t>
      </w:r>
    </w:p>
    <w:p>
      <w:pPr>
        <w:ind w:firstLine="1304"/>
        <w:spacing w:after="0" w:line="225" w:lineRule="auto"/>
        <w:tabs>
          <w:tab w:leader="none" w:pos="194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rate on Loan denominated in U.S. dollars or Canadian dollars may be derived from an interest rate benchmark that may be discontinued or is, or may in the future become, the subject of regulatory reform.</w:t>
      </w:r>
    </w:p>
    <w:p>
      <w:pPr>
        <w:spacing w:after="0" w:line="149"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Benchmark Transition Event, Section 2.26 provides a mechanism for determining an alternative rate of interest. The Administrative Agent does not warrant or accept any responsibility for, and shall not have any liability with respect to, the continuation of, the administration of, submission of, calculation of, performance of or any other matter related to any interest rate used in this Agreement (including, without limitation, the Alternate Base Rate, the U.S. Base Rate, SOFR, the Term SOFR Reference Rate, Adjusted Term SOFR or Term SOFR) or any component definition thereof or rates referred to in the definition thereof, or with respect to any alternative or successor rate thereto, or replacement rate thereof (including any Benchmark Replacement), including without limitation, whether the composition or characteristics of any such alternative, successor or replacement reference rate will be similar to, or produce the same value or economic equivalence of, or have the same value or economic equivalence of as the existing interest rate (or any component thereof) being replaced or have the same volume or liquidity as did any existing interest rate (or any component thereof) prior to its discontinuance or unavailability. The Administrative Agent and its affiliates and/or other related entities may engage in transactions that affect the calculation of any interest rate (or component thereof)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4"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Canadian Benchmark Transition Event, Section 2.27 provides a mechanism for determining an alternative rate of interest. The Canadian Administrative Agent does not warrant or accept responsibility for, and shall not have any liability with respect to (a) the continuation of, administration of, submission of, calculation of or any other matter related to the Canadian Prime Rate, Term CORRA, Daily Compounded CORRA, Adjusted Term CORRA or Adjusted Daily Compounded CORRA or any component definition thereof or rates referred to in the definition thereof, or any alternative, successor or replacement rate thereto (including any Canadian Benchmark Replacement), including whether the composition or characteristics of any such alternative, successor or replacement rate (including any Canadian Benchmark Replacement) will be similar to, or produce the same value or economic equivalence of, or have the same volume or liquidity as, the Canadian Prime Rate, Term CORRA, Daily Compounded CORRA, Adjusted Term CORRA, Adjusted Daily Compounded CORRA or any other Canadian Benchmark prior to its discontinuance or</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62" w:name="page63"/>
    <w:bookmarkEnd w:id="62"/>
    <w:p>
      <w:pPr>
        <w:jc w:val="both"/>
        <w:spacing w:after="0" w:line="210" w:lineRule="auto"/>
        <w:rPr>
          <w:sz w:val="20"/>
          <w:szCs w:val="20"/>
          <w:color w:val="auto"/>
        </w:rPr>
      </w:pPr>
      <w:r>
        <w:rPr>
          <w:rFonts w:ascii="Times New Roman" w:cs="Times New Roman" w:eastAsia="Times New Roman" w:hAnsi="Times New Roman"/>
          <w:sz w:val="22"/>
          <w:szCs w:val="22"/>
          <w:color w:val="auto"/>
        </w:rPr>
        <w:t>unavailability, or (b) the effect, implementation or composition of any Canadian Conforming Changes. The Canadian Administrative Agent and its affiliates or other related entities may engage in transactions that affect the calculation of the Canadian Prime Rate, Term CORRA, Daily Compounded CORRA, Adjusted Term CORRA, Adjusted Daily Compounded CORRA, any alternative, successor or replacement rate (including any Canadian Benchmark Replacement) or any relevant adjustments thereto, in each case, in a manner adverse to the Borrowers. The Canadian Administrative Agent may select information sources or services in its reasonable discretion to ascertain the Canadian Prime Rate, Term CORRA, Adjusted Term CORRA, Adjusted Daily Compounded CORRA or any other Canadian Benchmark,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CREDITS</w:t>
      </w:r>
    </w:p>
    <w:p>
      <w:pPr>
        <w:spacing w:after="0" w:line="177" w:lineRule="exact"/>
        <w:rPr>
          <w:sz w:val="20"/>
          <w:szCs w:val="20"/>
          <w:color w:val="auto"/>
        </w:rPr>
      </w:pPr>
    </w:p>
    <w:p>
      <w:pPr>
        <w:jc w:val="both"/>
        <w:ind w:right="20" w:firstLine="648"/>
        <w:spacing w:after="0" w:line="219" w:lineRule="auto"/>
        <w:rPr>
          <w:sz w:val="20"/>
          <w:szCs w:val="20"/>
          <w:color w:val="auto"/>
        </w:rPr>
      </w:pPr>
      <w:r>
        <w:rPr>
          <w:rFonts w:ascii="Times New Roman" w:cs="Times New Roman" w:eastAsia="Times New Roman" w:hAnsi="Times New Roman"/>
          <w:sz w:val="22"/>
          <w:szCs w:val="22"/>
          <w:b w:val="1"/>
          <w:bCs w:val="1"/>
          <w:color w:val="auto"/>
        </w:rPr>
        <w:t xml:space="preserve">Section 2.01 </w:t>
      </w:r>
      <w:r>
        <w:rPr>
          <w:rFonts w:ascii="Times New Roman" w:cs="Times New Roman" w:eastAsia="Times New Roman" w:hAnsi="Times New Roman"/>
          <w:sz w:val="22"/>
          <w:szCs w:val="22"/>
          <w:b w:val="1"/>
          <w:bCs w:val="1"/>
          <w:i w:val="1"/>
          <w:iCs w:val="1"/>
          <w:color w:val="auto"/>
        </w:rPr>
        <w:t>Commitments</w:t>
      </w:r>
      <w:r>
        <w:rPr>
          <w:rFonts w:ascii="Times New Roman" w:cs="Times New Roman" w:eastAsia="Times New Roman" w:hAnsi="Times New Roman"/>
          <w:sz w:val="22"/>
          <w:szCs w:val="22"/>
          <w:color w:val="auto"/>
        </w:rPr>
        <w:t>. Subject to the terms and conditions and relying upon the 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set forth:</w:t>
      </w:r>
    </w:p>
    <w:p>
      <w:pPr>
        <w:jc w:val="both"/>
        <w:ind w:firstLine="1304"/>
        <w:spacing w:after="0" w:line="212" w:lineRule="auto"/>
        <w:tabs>
          <w:tab w:leader="none" w:pos="19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U.S. Revolving Lender agrees, severally and not jointly, to make U.S. Revolving Credit Loans in U.S. dollars to the U.S. Borrowers, at any time and from time to time on or after the Closing Date, and until the earlier of the Maturity Date and the termination of the U.S. Revolving Commitment of such Lender in accordance with the terms hereof, in an aggregate principal amount at any time outstanding that will not result in such Lender’s U.S. Revolving Credit Exposure exceeding such Lender’s U.S. Revolving Commitment;</w:t>
      </w:r>
    </w:p>
    <w:p>
      <w:pPr>
        <w:spacing w:after="0" w:line="154"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Canadian Revolving Lender agrees, severally and not jointly, to make Canadian Revolving Credit Loans in Canadian dollars and/or U.S. dollars to the Parent Borrower at any time and from time to time on or after the Closing Date, and until the earlier of the Maturity Date and the termination of the Canadian Revolving Commitment of such Lender in accordance with the terms hereof, in an aggregate principal amount at any time outstanding that will not result in such Lender’s Canadian Revolving Credit Exposure exceeding such Lender’s Canadian Revolving Commitment;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Australian Lender agrees, severally and not jointly, to make Australian Revolving Credit Loans in Australian dollars and/or U.S. dollars to the Australian Borrower at any time and from time to time on or after the Closing Date, and until the earlier of the Maturity Date and the termination of the Australian Revolving Commitment of such Lender in accordance with the terms hereof, in an aggregate principal amount at any time outstanding that will not result in such Lender’s Australian Revolving Credit Exposure exceeding such Lender’s Australian Revolving Commitment;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Swing Line Lender agrees to make Swing Line Loans in U.S. dollars to the U.S. Borrowers in accordance with Section 2.23;</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Canadian Swing Line Lender agrees to make Swing Line Loans in Canadian dollars or U.S. dollars to the Parent Borrower in accordance with Section 2.23; and</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63" w:name="page64"/>
    <w:bookmarkEnd w:id="63"/>
    <w:p>
      <w:pPr>
        <w:ind w:firstLine="1304"/>
        <w:spacing w:after="0" w:line="236"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limits set forth in the preceding sentence and subject to the terms, conditions and limitations set forth herein, the Borrowers may borrow, prepay and reborrow Revolving Credit Loans.</w:t>
      </w:r>
    </w:p>
    <w:p>
      <w:pPr>
        <w:spacing w:after="0" w:line="13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2.02</w:t>
      </w:r>
      <w:r>
        <w:rPr>
          <w:sz w:val="20"/>
          <w:szCs w:val="20"/>
          <w:color w:val="auto"/>
        </w:rPr>
        <w:tab/>
      </w:r>
      <w:r>
        <w:rPr>
          <w:rFonts w:ascii="Times New Roman" w:cs="Times New Roman" w:eastAsia="Times New Roman" w:hAnsi="Times New Roman"/>
          <w:sz w:val="22"/>
          <w:szCs w:val="22"/>
          <w:b w:val="1"/>
          <w:bCs w:val="1"/>
          <w:i w:val="1"/>
          <w:iCs w:val="1"/>
          <w:color w:val="auto"/>
        </w:rPr>
        <w:t>Loans</w:t>
      </w:r>
      <w:r>
        <w:rPr>
          <w:rFonts w:ascii="Times New Roman" w:cs="Times New Roman" w:eastAsia="Times New Roman" w:hAnsi="Times New Roman"/>
          <w:sz w:val="22"/>
          <w:szCs w:val="22"/>
          <w:color w:val="auto"/>
        </w:rPr>
        <w:t>.</w:t>
      </w:r>
    </w:p>
    <w:p>
      <w:pPr>
        <w:jc w:val="both"/>
        <w:ind w:firstLine="1304"/>
        <w:spacing w:after="0" w:line="208"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Loan shall be made as part of a Borrowing consisting of Loans made by the Applicable Lenders ratably in accordance with their Applicable Pro Rata Percentages of the applicable Facility;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Except for Loans deemed made pursuant to Section 2.02(g), the Loans comprising any Borrowing shall be in an aggregate principal amount that is (i) in the case of ABR Loans or U.S. Base Rate Loans, an integral multiple of U.S.$100,000 and in a minimum amount of U.S.$1,000,000, (ii) in case of SOFR Loans, an integral multiple of U.S.$1,000,000 and in a minimum amount of U.S.$3,000,000, (iii) in case of Canadian dollar-denominated Term CORRA Loans, an integral multiple of C$100,000 and in a minimum amount of C$1,000,000, (iv) in the case of Canadian dollar-denominated Loans (other than Term CORRA Loans), an integral multiple of C$100,000 and in a minimum amount of C$1,000,000, (v) in the case of Australian dollar-denominated Loans, an integral multiple of AUD$100,000 and in a minimum amount of AUD$1,000,000 or (vi) equal to the remaining available balance of the applicable Commitment.</w:t>
      </w:r>
    </w:p>
    <w:p>
      <w:pPr>
        <w:spacing w:after="0" w:line="153"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Sections 2.08 and 2.14, (i) each Borrowing (other than a Swing Line Borrowing) denominated in U.S. dollars shall be comprised entirely of ABR Loans (if made to a U.S. Borrower), U.S. Base Rate Loans (if made to the Parent Borrower) or SOFR Loans as the Applicable Borrower may request pursuant to Section 2.03, (ii) each Borrowing (other than a Swing Line Borrowing) denominated in Canadian dollars shall be comprised entirely of Term CORRA Loans or Canadian Prime Rate Loans as the Parent Borrower may request pursuant to Section 2.03 and (iii) each Borrowing denominated in Australian dollars shall be comprised entirely of BBSY Rate Loans. Each Lender may at its option make any SOFR Loan, Canadian Revolving Credit Loan or Australian Revolving Credit Loan denominated in U.S. dollars by causing any domestic or foreign branch or Affiliate of such Lender to make such Loan;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exercise of such option shall not affect the obligation of any Borrower to repay such Loan in accordance with the terms of this Agreement or cause any Borrower to incur any cost under Section 2.19 that would not have been incurred but for the exercise of such option. Borrowings of more than one Type may be outstanding at the same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Borrowers shall not be entitled to request any Borrowing that, if made, would result in more than ten SOFR Borrowings outstanding hereunder at any time, more than ten Term CORRA Borrowings outstanding hereunder at any time, or more than ten BBSY Rate Borrowings outstanding hereunder at any time. For purposes of the foregoing, SOFR Borrowings, BBSY Rate Borrowings or Term CORRA Borrowings having different Interest Periods, regardless of whether they commence on the same date, shall be considered separate Borrowings.</w:t>
      </w:r>
    </w:p>
    <w:p>
      <w:pPr>
        <w:spacing w:after="0" w:line="150"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Loans made pursuant to Section 2.02(g), each U.S. Lender making Loans denominated in U.S. dollars to a U.S. Borrower shall make each such Loan to be made by it hereunder on the proposed date thereof by wire transfer of immediately available funds to such account as the Administrative Agent may designate not later than 1:00 p.m. (Standard Time) in the case of a SOFR Borrowing, or 1:00 p.m. (Standard Time) in the case of an ABR Borrowing, and the Administrative Agent shall promptly credit the amounts so received to an account designated by such U.S. Borrower in the applicable Borrowing Request. Except with respect to Loans made pursuant to Section 2.02(g), each Canadian Revolving Lender making Loans to the Parent Borrower shall make each Canadian Revolving Loan to be made by</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64" w:name="page65"/>
    <w:bookmarkEnd w:id="64"/>
    <w:p>
      <w:pPr>
        <w:jc w:val="both"/>
        <w:spacing w:after="0" w:line="211" w:lineRule="auto"/>
        <w:rPr>
          <w:sz w:val="20"/>
          <w:szCs w:val="20"/>
          <w:color w:val="auto"/>
        </w:rPr>
      </w:pPr>
      <w:r>
        <w:rPr>
          <w:rFonts w:ascii="Times New Roman" w:cs="Times New Roman" w:eastAsia="Times New Roman" w:hAnsi="Times New Roman"/>
          <w:sz w:val="22"/>
          <w:szCs w:val="22"/>
          <w:color w:val="auto"/>
        </w:rPr>
        <w:t>it hereunder on the proposed date thereof by wire transfer of immediately available funds to such account in Toronto, Ontario as the Canadian Administrative Agent may designate not later than 1:00 p.m. (Standard Time) in the case of a SOFR Borrowing or a Term CORRA Borrowing, or 1:00 p.m. (Standard Time) in the case of a Canadian Prime Rate Borrowing or U.S. Base Rate Borrowing, and the Canadian Administrative Agent shall promptly credit the amounts so received to an account designated by the Parent Borrower in the applicable Borrowing Request. Except with respect to Loans made pursuant to Section 2.02(g), each Australian Lender making Loans to the Australian Borrower shall make each Australian Revolving Credit Loan to be made by it hereunder on the proposed date thereof by wire transfer of immediately available funds to such account as the Australian Administrative Agent may designate not later than 3:00 p.m. (Sydney time), and the Australian Administrative Agent shall promptly credit the amounts so received to an account designated by the Australian Borrower in the applicable Borrowing Request.</w:t>
      </w:r>
    </w:p>
    <w:p>
      <w:pPr>
        <w:spacing w:after="0" w:line="152" w:lineRule="exact"/>
        <w:rPr>
          <w:sz w:val="20"/>
          <w:szCs w:val="20"/>
          <w:color w:val="auto"/>
        </w:rPr>
      </w:pPr>
    </w:p>
    <w:p>
      <w:pPr>
        <w:jc w:val="both"/>
        <w:ind w:firstLine="1304"/>
        <w:spacing w:after="0" w:line="217" w:lineRule="auto"/>
        <w:tabs>
          <w:tab w:leader="none" w:pos="193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the Applicable Administrative Agent shall have received notice from a Lender prior to the time of any Borrowing that such Lender will not make available to the Applicable Administrative Agent such Lender’s Applicable Pro Rata Percentage of such Borrowing, the Applicable Administrative Agent may assume that such Lender has made such portion available to the Applicable Administrative Agent on the date of such Borrowing in accordance with paragraph (c) above and the Applicable Administrative Agent may, in reliance upon such assumption, make available to the Applicable Borrower on such date a corresponding amount. If the Applicable Administrative Agent shall have so made funds available then, to the extent that such Lender shall not have made such portion available to the Applicable Administrative Agent, such Lender and the Applicable Borrower severally agree to repay to the Applicable Administrative Agent forthwith on demand such corresponding amount together with interest thereon, for each day from the date such amount is made available to the Applicable Borrower until the date such amount is repaid to the Applicable Administrative Agent at (i) in the case of a Borrower, a rate per annum equal to the interest rate applicable to Loans pursuant to Sections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If such Borrower and such Lender shall pay such interest to the Applicable Administrative Agent for the same or an overlapping period, the Applicable Administrative Agent shall promptly remit to the Applicable Borrower the amount of such interest paid by such Borrower for such period. If such Lender shall repay to the Applicable Administrative Agent such corresponding amount, such amount shall constitute such Lender’s Loan as part of such Borrowing for purposes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foregoing does not constitute a waiver by any Borrower of any claim for damages permitted hereunder and attributable to such Lender. Any payment by a Borrower shall be without prejudice to any claim any Borrower may have against a Lender that shall have failed to make such payment to the Applicable Administrative Agent.</w:t>
      </w:r>
    </w:p>
    <w:p>
      <w:pPr>
        <w:spacing w:after="0" w:line="169"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Applicable Administrative Agent shall have received notice from the Applicable Borrower prior to the date on which any payment is due to the Applicable Administrative Agent for the account of the Applicable Lenders, the Applicable Issuing Bank or the Applicable Swing Line Lender hereunder that the Applicable Borrower will not make such payment, the Applicable Administrative Agent may assume that the Applicable Borrower has made such payment on such date in accordance herewith and may, in reliance upon such assumption, distribute to the Applicable Lenders, the Applicable Issuing Bank or the Applicable Swing Line Lender, as the case may be, the amount due. In such event, if the Applicable Borrower has not in fact made such payment, then each of the Applicable Lenders, the Applicable Issuing Bank or the Applicable Swing Line Lender, as the case may be, severally</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65" w:name="page66"/>
    <w:bookmarkEnd w:id="65"/>
    <w:p>
      <w:pPr>
        <w:jc w:val="both"/>
        <w:spacing w:after="0" w:line="217" w:lineRule="auto"/>
        <w:rPr>
          <w:sz w:val="20"/>
          <w:szCs w:val="20"/>
          <w:color w:val="auto"/>
        </w:rPr>
      </w:pPr>
      <w:r>
        <w:rPr>
          <w:rFonts w:ascii="Times New Roman" w:cs="Times New Roman" w:eastAsia="Times New Roman" w:hAnsi="Times New Roman"/>
          <w:sz w:val="22"/>
          <w:szCs w:val="22"/>
          <w:color w:val="auto"/>
        </w:rPr>
        <w:t>agrees to repay to the Applicable Administrative Agent forthwith on demand the amount so distributed to such Applicable Lender, such Applicable Issuing Bank or the Applicable Swing Line Lender, with interest thereon, for each day from and including the date such amount is distributed to it to but excluding the date of payment to the Applicable Administrative Agent, at the greater of the Federal Funds Effective Rate and a rate determined by the Applicable Administrative Agent in accordance with banking industry rules on interbank compensation.</w:t>
      </w:r>
    </w:p>
    <w:p>
      <w:pPr>
        <w:spacing w:after="0" w:line="152" w:lineRule="exact"/>
        <w:rPr>
          <w:sz w:val="20"/>
          <w:szCs w:val="20"/>
          <w:color w:val="auto"/>
        </w:rPr>
      </w:pPr>
    </w:p>
    <w:p>
      <w:pPr>
        <w:ind w:right="20" w:firstLine="1304"/>
        <w:spacing w:after="0" w:line="236"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Borrowers shall not be entitled to request any Borrowing if the Interest Period requested with respect thereto would end after the Maturity Date.</w:t>
      </w:r>
    </w:p>
    <w:p>
      <w:pPr>
        <w:spacing w:after="0" w:line="150" w:lineRule="exact"/>
        <w:rPr>
          <w:rFonts w:ascii="Times New Roman" w:cs="Times New Roman" w:eastAsia="Times New Roman" w:hAnsi="Times New Roman"/>
          <w:sz w:val="22"/>
          <w:szCs w:val="22"/>
          <w:color w:val="auto"/>
        </w:rPr>
      </w:pPr>
    </w:p>
    <w:p>
      <w:pPr>
        <w:jc w:val="both"/>
        <w:ind w:firstLine="1304"/>
        <w:spacing w:after="0" w:line="206"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Issuing Bank shall not have received from the U.S. Borrowers, the Parent Borrower or the Australian Borrower, as the case may be, the payment required to be made by Section 2.21(e) within the time specified in such Section, such Issuing Bank will promptly notify the Applicable Administrative Agent of the U.S. Dollar Equivalent of such L/C Disbursement and the Applicable Administrative Agent will promptly notify each U.S. Revolving Lender, Canadian Revolving Lender or Australian Lender, as applicable, of the U.S. Dollar Equivalent of such L/C Disbursement and its U.S. Revolving Pro Rata Percentage, Canadian Revolving Pro Rata Percentage or Australian Revolving Pro Rata Percentage, as applicable, thereof. Each such Revolving Lender shall pay by wire transfer of immediately available funds to the Applicable Administrative Agent not later than 2:00 p.m. (Standard Time) on such date (or, if such Revolving Lender shall have received such notice later than 12:00 p.m. (Standard Time) on any day, not later than 11:00 a.m. (Standard Time) on the immediately following Business Day), an amount equal to such Lender’s U.S. Revolving Pro Rata Percentage, Canadian Revolving Pro Rata Percentage or Australian Revolving Pro Rata Percentage, as applicable, of the U.S. Dollar Equivalent of such L/C Disbursement (it being understood that such amount shall be deemed to constitute an ABR Loan, a Canadian Prime Rate Loan or a BBSY Rate Loan, as applicable, of such Lender and such payment shall be deemed to have reduced the U.S. L/C Exposure, the Canadian L/C Exposure or the Australian L/C Exposure, as applicable), and the Applicable Administrative Agent will promptly pay to such Issuing Bank amounts so received by it from such Lenders. The Applicable Administrative Agent will promptly pay to such Issuing Bank any amounts received by it from a Borrower pursuant to Section 2.21(e) prior to the time that any Lender makes any payment pursuant to this paragraph (g); any such amounts received by the Applicable Administrative Agent thereafter will be promptly remitted by the Applicable Administrative Agent to the Lenders that shall have made such payments and to such Issuing Bank, as their interests may appear. If any Lender shall not have made its U.S. Revolving Pro Rata Percentage, Canadian Revolving Pro Rata Percentage or Australian Revolving Pro Rata Percentage, as applicable, of such L/C Disbursement available to the Applicable Administrative Agent as provided above, such Lender and the Borrower for whose (or for whose Subsidiary’s) account such L/C Disbursement was made severally agree to pay interest on such amount, for each day from and including the date such amount is required to be paid in accordance with this paragraph to but excluding the date such amount is paid, to the Applicable Administrative Agent for the account of such Issuing Bank at (i) in the case of such Borrower, a rate per annum equal to the interest rate applicable to Loans pursuant to Sections 2.06(a), 2.06(c) or 2.06(f), as the case may be, and (ii) in the case of such Lender, at the greater of the Federal Funds Effective Rate and a rate determined by the Applicable Administrative Agent in accordance with banking industry rules on interbank compensation (which determination shall be conclusive absent manifest error);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does not constitute a waiver by any Borrower of any claim for damages permitted hereunder and attributable to such Lender. In addition, if there is a change in the rate of exchange prevailing between the Alternative Currency of such L/C Disbursement and the U.S. Dollar Equivalent thereof as determined by the Applicable Administrative Agent on the date of the L/C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66" w:name="page67"/>
    <w:bookmarkEnd w:id="66"/>
    <w:p>
      <w:pPr>
        <w:jc w:val="both"/>
        <w:spacing w:after="0" w:line="211" w:lineRule="auto"/>
        <w:rPr>
          <w:sz w:val="20"/>
          <w:szCs w:val="20"/>
          <w:color w:val="auto"/>
        </w:rPr>
      </w:pPr>
      <w:r>
        <w:rPr>
          <w:rFonts w:ascii="Times New Roman" w:cs="Times New Roman" w:eastAsia="Times New Roman" w:hAnsi="Times New Roman"/>
          <w:sz w:val="22"/>
          <w:szCs w:val="22"/>
          <w:color w:val="auto"/>
        </w:rPr>
        <w:t>Disbursement and the date of actual payment of the amount due (whether by a U.S. Revolving Lender, a Canadian Revolving Lender, an Australian Lender or the Borrower for whose (or for whose Subsidiary’s) account such L/C Disbursement was made), the Borrower for whose (or for whose Subsidiary’s) account such L/C Disbursement was made covenants and agrees to pay, or cause to be paid, such additional amounts, if any, as may be necessary to ensure that the amount paid in U.S. dollars, when converted at the rate of exchange prevailing on the date of payment, will produce the U.S. Dollar Equivalent of such L/C Disbursement which could have been purchased with the amount of the Alternative Currency of such L/C Disbursement at the rate of exchange prevailing on the date of the L/C Disbursement. For purposes of determining the U.S. Dollar Equivalent or rate of exchange for this Section, such amounts shall include any premium and costs payable in connection with the purchase of the Alternative Currency.</w:t>
      </w:r>
    </w:p>
    <w:p>
      <w:pPr>
        <w:spacing w:after="0" w:line="14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2.03</w:t>
      </w:r>
      <w:r>
        <w:rPr>
          <w:sz w:val="20"/>
          <w:szCs w:val="20"/>
          <w:color w:val="auto"/>
        </w:rPr>
        <w:tab/>
      </w:r>
      <w:r>
        <w:rPr>
          <w:rFonts w:ascii="Times New Roman" w:cs="Times New Roman" w:eastAsia="Times New Roman" w:hAnsi="Times New Roman"/>
          <w:sz w:val="21"/>
          <w:szCs w:val="21"/>
          <w:b w:val="1"/>
          <w:bCs w:val="1"/>
          <w:i w:val="1"/>
          <w:iCs w:val="1"/>
          <w:color w:val="auto"/>
        </w:rPr>
        <w:t>Borrowing Procedure</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7" w:lineRule="auto"/>
        <w:tabs>
          <w:tab w:leader="none" w:pos="194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request a Borrowing (other than a deemed Borrowing pursuant to Section 2.02(g) or a Swing Line Borrowing as to which this Section 2.03(a) shall not apply), the applicable U.S. Borrower (or the Parent Borrower on its behalf) shall hand deliver, fax or send by electronic communication (e-mail) (or by telephone notice promptly confirmed by a written, fax or electronic communication (e-mail)) to the Administrative Agent a duly completed Borrowing Request (x) in the case of a SOFR Borrowing, not later than 1:00 p.m. (Standard Time) three Business Days before a proposed Borrowing, and (y) in the case of an ABR Borrowing not later than 1:00 p.m. (Standard Time) one Business Day before a proposed Borrowing. Each such Borrowing Request shall be irrevocable, shall be signed by or on behalf of a Responsible Officer of such U.S. Borrower (or the Parent Borrower on its behalf) and shall specify the following information: (i) [reserved], (ii) whether such Borrowing is to be a SOFR Borrowing or an ABR Borrowing; (iii) the date of such Borrowing (which shall be a Business Day); (iv) the number and location of the account to which funds are to be disbursed (which shall be an account that complies with the requirements of Section 2.02(c)); (v) the amount of such Borrowing; and (vi) if such Borrowing is to be a SOFR Borrowing, the Interest Period with respect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notwithstanding any contrary specification in any Borrowing Request, each requested Borrowing shall comply with the requirements set forth in Section 2.02. If no election as to the Type of Borrowing is specified in any such notice, then the requested Borrowing shall be an ABR Borrowing. If no Interest Period with respect to any SOFR Borrowing is specified in any such notice, then the Parent Borrower shall be deemed to have selected an Interest Period of one month’s duration. The Administrative Agent shall promptly advise the Applicable Lenders of any notice given pursuant to this Section 2.03(a) (and the contents thereof), and of each Lender’s portion of the requested Borrowing.</w:t>
      </w:r>
    </w:p>
    <w:p>
      <w:pPr>
        <w:spacing w:after="0" w:line="152" w:lineRule="exact"/>
        <w:rPr>
          <w:rFonts w:ascii="Times New Roman" w:cs="Times New Roman" w:eastAsia="Times New Roman" w:hAnsi="Times New Roman"/>
          <w:sz w:val="21"/>
          <w:szCs w:val="21"/>
          <w:color w:val="auto"/>
        </w:rPr>
      </w:pPr>
    </w:p>
    <w:p>
      <w:pPr>
        <w:jc w:val="both"/>
        <w:ind w:firstLine="1304"/>
        <w:spacing w:after="0" w:line="210"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request a Borrowing (other than a deemed Borrowing pursuant to Section 2.02(g) or a Swing Line Borrowing as to which Section 2.03(b) shall not apply), the Parent Borrower shall hand deliver, fax or send by electronic communication (e-mail) (or by telephone notice promptly confirmed by a written, fax or electronic communication (e-mail)) to the Canadian Administrative Agent a duly completed Borrowing Request (x) in the case of a Term CORRA Borrowing or a SOFR Borrowing, not later than 1:00 p.m. (Standard Time) three Business Days before the proposed Borrowing and (y) in the case of a Canadian Prime Rate Borrowing or U.S. Base Rate Borrowing, not later than 1:00 p.m. (Standard Time) one Business Day before the proposed Borrowing. Each such Borrowing Request shall be irrevocable, shall be signed by or on behalf of a Responsible Officer of the Parent Borrower and shall specify the following information: (i) in the case of a Canadian Revolving Borrowing, whether the Borrowing then being requested is to be denominated in Canadian dollars or U.S. dollars; (ii) whether such Borrowing is to be a Canadian Prime Rate Borrowing, a Term CORRA Borrowing, a U.S. Base Rate Borrowing or a SOFR Borrowing; (iii) the date of such Borrowing (which shall be a Business Day); (iv) the number and location of the account to which funds are to be</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67" w:name="page68"/>
    <w:bookmarkEnd w:id="67"/>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disbursed (which shall be an account that complies with the requirements of Section 2.02(c)); (v) the amount of such Borrowing; and (vi) if such Borrowing is to be a Term CORRA Borrowing or a SOFR Borrowing, the Interest Period therefor;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notwithstanding any contrary specification in any Borrowing Request, each requested Borrowing shall comply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the requirements set forth in Section 2.02. If no election as to the Type of Borrowing is specified in any such notice, then the requested Borrowing shall be a Canadian Prime Rate Borrowing (if denominated in Canadian dollars) or a U.S. Base Rate Borrowing (if denominated in U.S. dollars). If no Interest Period with respect to a Term CORRA Borrowing or SOFR Borrowing has been specified in any such notice, then the Parent Borrower shall be deemed to have selected an Interest Period of one month’s duration. The Canadian Administrative Agent shall promptly advise the Applicable Lenders of any notice given pursuant to this Section 2.03(b) (and the contents thereof), and of each Lender’s portion of the requested Borrowing.</w:t>
      </w:r>
    </w:p>
    <w:p>
      <w:pPr>
        <w:spacing w:after="0" w:line="150" w:lineRule="exact"/>
        <w:rPr>
          <w:sz w:val="20"/>
          <w:szCs w:val="20"/>
          <w:color w:val="auto"/>
        </w:rPr>
      </w:pPr>
    </w:p>
    <w:p>
      <w:pPr>
        <w:jc w:val="both"/>
        <w:ind w:firstLine="1304"/>
        <w:spacing w:after="0" w:line="209"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to request a Borrowing (other than a deemed Borrowing pursuant to Section 2.02(g), as to which this Section 2.03(c) shall not apply), the Australian Borrower (or the Parent Borrower on its behalf) shall hand deliver, fax or send by electronic communication (e-mail) (or by telephone notice promptly confirmed by a written, fax or electronic communication (e-mail)) to the Australian Administrative Agent a duly completed Borrowing Request not later than 3:00 p.m. (Sydney time) three Business Days before the proposed Borrowing. Each such Borrowing Request shall be irrevocable, shall be signed by or on behalf of a Responsible Officer of the Australian Borrower (or the Parent Borrower on its behalf) and shall specify the following information: (i) whether the Borrowing then being requested is to be a BBSY Rate Borrowing denominated in Australian dollars or a SOFR Borrowing denominated in U.S. dollars; (ii) the date of such Borrowing (which shall be a Business Day); (iii) the number and location of the account to which funds are to be disbursed (which shall be an account that complies with the requirements of Section 2.02(c)); (iv) the amount of such Borrowing; and (v) the Interest Period therefor;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notwithstanding any contrary specification in any Borrowing Request, each requested Borrowing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comply with the requirements set forth in Section 2.02. If no Interest Period has been specified in any such notice, then the Australian Borrower shall be deemed to have selected an Interest Period of one month’s duration. The Australian Administrative Agent shall promptly advise the Applicable Lenders of any notice given pursuant to this Section 2.03(c) (and the contents thereof), and of each Lender’s portion of the requested Borrowing.</w:t>
      </w:r>
    </w:p>
    <w:p>
      <w:pPr>
        <w:spacing w:after="0" w:line="13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2.04</w:t>
      </w:r>
      <w:r>
        <w:rPr>
          <w:sz w:val="20"/>
          <w:szCs w:val="20"/>
          <w:color w:val="auto"/>
        </w:rPr>
        <w:tab/>
      </w:r>
      <w:r>
        <w:rPr>
          <w:rFonts w:ascii="Times New Roman" w:cs="Times New Roman" w:eastAsia="Times New Roman" w:hAnsi="Times New Roman"/>
          <w:sz w:val="21"/>
          <w:szCs w:val="21"/>
          <w:b w:val="1"/>
          <w:bCs w:val="1"/>
          <w:i w:val="1"/>
          <w:iCs w:val="1"/>
          <w:color w:val="auto"/>
        </w:rPr>
        <w:t>Evidence of Debt; Repayment of Loans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9" w:lineRule="auto"/>
        <w:tabs>
          <w:tab w:leader="none" w:pos="194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U.S. Borrower hereby unconditionally promises to pay to the Administrative Agent for the account of each U.S. Revolving Lender holding U.S. Revolving Credit Loans the then unpaid principal amount of each such Revolving Credit Loan of such Lender on the Maturity Date. The Parent Borrower hereby unconditionally promises to pay to the Canadian Administrative Agent for the account of each Canadian Revolving Lender holding Canadian Revolving Credit Loans made to such Parent Borrower, the then unpaid principal amount of each such Revolving Credit Loan of such Canadian Revolving Lender on the Maturity Date. The Australian Borrower hereby unconditionally promises to pay to the Australian Administrative Agent for the account of each Australian Lender holding Australian Revolving Credit Loans made to the Australian Borrower, the then unpaid principal amount of each such Revolving Credit Loan of such Australian Lender on the Maturity Date.</w:t>
      </w:r>
    </w:p>
    <w:p>
      <w:pPr>
        <w:spacing w:after="0" w:line="157"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U.S. Borrower shall repay each U.S. Swing Line Loan on the Swing Line Payment Date. The Parent Borrower shall repay each Canadian Swing Line Loan on the Swing Line Payment Date.</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68" w:name="page69"/>
    <w:bookmarkEnd w:id="68"/>
    <w:p>
      <w:pPr>
        <w:ind w:firstLine="1304"/>
        <w:spacing w:after="0" w:line="236"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shall bear interest from and including the date made on the outstanding principal balance thereof as set forth in Section 2.06.</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Borrowers to such Lender resulting from each Loan made by such Lender from time to time, including the amounts of principal and interest payable and paid such Lender from time to time under this Agreement, and the purchases and sales by such Lender of participations in Letters of Credit and Swing Line Loans.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shall maintain accounts in which they will record (i) the amount of each Loan made hereunder, the Class, Type and currency thereof and the Interest Period applicable thereto, (ii) the amount of any principal or interest due and payable or to become due and payable from the Applicable Borrower to each Lender hereunder and (iii) the amount of any sum received by the Applicable Administrative Agent hereunder from any Borrower or any Subsidiary Guarantor and each Lender’s share thereof.</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paragraphs (e) and (f) above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of the existence and amounts of the obligations therein recorded;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failure of any Lender or the Administrative Agents to maintain such accounts or any error therein shall not in any manner affect the obligations of the Borrowers to repay the Loans in accordance with the terms of this Agreement.</w:t>
      </w:r>
    </w:p>
    <w:p>
      <w:pPr>
        <w:spacing w:after="0" w:line="148"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request that Loans made by it hereunder be evidenced by a promissory note (a “</w:t>
      </w:r>
      <w:r>
        <w:rPr>
          <w:rFonts w:ascii="Times New Roman" w:cs="Times New Roman" w:eastAsia="Times New Roman" w:hAnsi="Times New Roman"/>
          <w:sz w:val="21"/>
          <w:szCs w:val="21"/>
          <w:i w:val="1"/>
          <w:iCs w:val="1"/>
          <w:color w:val="auto"/>
        </w:rPr>
        <w:t>Note</w:t>
      </w:r>
      <w:r>
        <w:rPr>
          <w:rFonts w:ascii="Times New Roman" w:cs="Times New Roman" w:eastAsia="Times New Roman" w:hAnsi="Times New Roman"/>
          <w:sz w:val="21"/>
          <w:szCs w:val="21"/>
          <w:color w:val="auto"/>
        </w:rPr>
        <w:t>”). In such event, the Applicable Borrower shall execute and deliver to such Lender a Note or Notes payable to such Lender and its registered assigns and in a form and substance reasonably acceptable to the Applicable Administrative Agent and the Applicable Borrower. Notwithstanding any other provision of this Agreement, in the event any Lender shall request and receive such a Note, the interests represented by such Note shall at all times (including after any assignment of all or part of such interests pursuant to Section 9.04) be represented by one or more Notes payable to the payee named therein or its registered assigns.</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2.05 </w:t>
      </w:r>
      <w:r>
        <w:rPr>
          <w:rFonts w:ascii="Times New Roman" w:cs="Times New Roman" w:eastAsia="Times New Roman" w:hAnsi="Times New Roman"/>
          <w:sz w:val="22"/>
          <w:szCs w:val="22"/>
          <w:b w:val="1"/>
          <w:bCs w:val="1"/>
          <w:i w:val="1"/>
          <w:iCs w:val="1"/>
          <w:color w:val="auto"/>
        </w:rPr>
        <w:t>Fees</w:t>
      </w:r>
      <w:r>
        <w:rPr>
          <w:rFonts w:ascii="Times New Roman" w:cs="Times New Roman" w:eastAsia="Times New Roman" w:hAnsi="Times New Roman"/>
          <w:sz w:val="22"/>
          <w:szCs w:val="22"/>
          <w:color w:val="auto"/>
        </w:rPr>
        <w:t>. (a) (i) The U.S. Borrowers agree to pay to each U.S. Revolving Lender, through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on the last Business Day of March, June, September and December in each year, a commitment fee (the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equal to the Applicable Percentage on the daily unused amount of the U.S. Revolving Commitments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 Revolving Lender to make U.S. Revolving Credit Loans to the U.S. Borrowers during the preceding quarter. The U.S. Commitment Fee shall be computed on the basis of the actual number of days elapsed in a year of 360 days.</w:t>
      </w:r>
    </w:p>
    <w:p>
      <w:pPr>
        <w:spacing w:after="0" w:line="3" w:lineRule="exact"/>
        <w:rPr>
          <w:sz w:val="20"/>
          <w:szCs w:val="20"/>
          <w:color w:val="auto"/>
        </w:rPr>
      </w:pPr>
    </w:p>
    <w:p>
      <w:pPr>
        <w:jc w:val="both"/>
        <w:ind w:left="660" w:firstLine="1292"/>
        <w:spacing w:after="0" w:line="211" w:lineRule="auto"/>
        <w:tabs>
          <w:tab w:leader="none" w:pos="259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Borrower agrees to pay to each Canadian Revolving Lender, through the Canadian Administrative Agent, on the last Business Day of March, June, September and December in each year, a commitment fee (the “</w:t>
      </w:r>
      <w:r>
        <w:rPr>
          <w:rFonts w:ascii="Times New Roman" w:cs="Times New Roman" w:eastAsia="Times New Roman" w:hAnsi="Times New Roman"/>
          <w:sz w:val="22"/>
          <w:szCs w:val="22"/>
          <w:i w:val="1"/>
          <w:iCs w:val="1"/>
          <w:color w:val="auto"/>
        </w:rPr>
        <w:t>Canadian Commitment Fee</w:t>
      </w:r>
      <w:r>
        <w:rPr>
          <w:rFonts w:ascii="Times New Roman" w:cs="Times New Roman" w:eastAsia="Times New Roman" w:hAnsi="Times New Roman"/>
          <w:sz w:val="22"/>
          <w:szCs w:val="22"/>
          <w:color w:val="auto"/>
        </w:rPr>
        <w:t>”) equal to the Applicable Percentage on the daily unused amount of the Canadian Revolving Commitments of such Canadian Revolving Lender to make Canadian Revolving Credit Loans to the Parent Borrower during the preceding quarter. The Canadian Commitment Fees shall be computed on the basis of the actual number of days elapsed in a year of 365 or 366 days, as the case may be.</w:t>
      </w:r>
    </w:p>
    <w:p>
      <w:pPr>
        <w:spacing w:after="0" w:line="153"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60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Australian Borrower agrees to pay to each Australian Lender, through the Australian Administrative Agent, on the last Business Day of March, June, September and December in each year, a commitment fee (the “</w:t>
      </w:r>
      <w:r>
        <w:rPr>
          <w:rFonts w:ascii="Times New Roman" w:cs="Times New Roman" w:eastAsia="Times New Roman" w:hAnsi="Times New Roman"/>
          <w:sz w:val="22"/>
          <w:szCs w:val="22"/>
          <w:i w:val="1"/>
          <w:iCs w:val="1"/>
          <w:color w:val="auto"/>
        </w:rPr>
        <w:t>Australian Commitment Fee</w:t>
      </w:r>
      <w:r>
        <w:rPr>
          <w:rFonts w:ascii="Times New Roman" w:cs="Times New Roman" w:eastAsia="Times New Roman" w:hAnsi="Times New Roman"/>
          <w:sz w:val="22"/>
          <w:szCs w:val="22"/>
          <w:color w:val="auto"/>
        </w:rPr>
        <w:t>”; together with the U.S. Commitment Fee and the Canadian Commitment Fees, the “</w:t>
      </w:r>
      <w:r>
        <w:rPr>
          <w:rFonts w:ascii="Times New Roman" w:cs="Times New Roman" w:eastAsia="Times New Roman" w:hAnsi="Times New Roman"/>
          <w:sz w:val="22"/>
          <w:szCs w:val="22"/>
          <w:i w:val="1"/>
          <w:iCs w:val="1"/>
          <w:color w:val="auto"/>
        </w:rPr>
        <w:t>Commitment Fees</w:t>
      </w:r>
      <w:r>
        <w:rPr>
          <w:rFonts w:ascii="Times New Roman" w:cs="Times New Roman" w:eastAsia="Times New Roman" w:hAnsi="Times New Roman"/>
          <w:sz w:val="22"/>
          <w:szCs w:val="22"/>
          <w:color w:val="auto"/>
        </w:rPr>
        <w:t>”) equal to the Applicable Percentage on the daily unused amount of</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69" w:name="page70"/>
    <w:bookmarkEnd w:id="69"/>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the Australian Revolving Commitments of such Australian Lender to make Australian Revolving Credit Loans to the Australian Borrower during the preceding quarter. The Australian Commitment Fee shall be computed on the basis of the actual number of days elapsed in a year of 365 or 366 days, as the case may be.</w:t>
      </w:r>
    </w:p>
    <w:p>
      <w:pPr>
        <w:spacing w:after="0" w:line="153" w:lineRule="exact"/>
        <w:rPr>
          <w:sz w:val="20"/>
          <w:szCs w:val="20"/>
          <w:color w:val="auto"/>
        </w:rPr>
      </w:pPr>
    </w:p>
    <w:p>
      <w:pPr>
        <w:jc w:val="both"/>
        <w:ind w:left="660" w:firstLine="1292"/>
        <w:spacing w:after="0" w:line="215" w:lineRule="auto"/>
        <w:tabs>
          <w:tab w:leader="none" w:pos="259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 Fees due to each Revolving Lender shall commence to accrue on the Closing Date and shall, in each case, cease to accrue on the date on which the applicable Revolving Commitment of such Revolving Lender shall expire or be terminated as provided herein. For the avoidance of doubt, (A) U.S. Swing Line Loans are not deducted from the U.S. Revolving Commitments when calculating the U.S. Commitment Fee under this Section 2.05(a) and (B) Canadian Swing Line Loans are not deducted from the Canadian Revolving Commitments when calculating the Canadian Commitment Fees under this Section 2.05(a).</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agrees to pay to the Applicable Administrative Agent and the Lead Arranger, for its own account, the administration and arrangement fees separately agreed to from time to time by such Borrower and such Administrative Agent or the Lead Arranger, including, without limitation, the fees set forth in the Fee Letter.</w:t>
      </w:r>
    </w:p>
    <w:p>
      <w:pPr>
        <w:spacing w:after="0" w:line="152"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Borrowers agree to pay to each U.S. Revolving Lender, through the Administrative Agent, on the last Business Day of March, June, September and December of each year, commencing with the first such date to occur after the Closing Date, and on the date on which the U.S. Revolving Commitment of such Revolving Lender shall be terminated as provided herein, a fee (the “</w:t>
      </w:r>
      <w:r>
        <w:rPr>
          <w:rFonts w:ascii="Times New Roman" w:cs="Times New Roman" w:eastAsia="Times New Roman" w:hAnsi="Times New Roman"/>
          <w:sz w:val="22"/>
          <w:szCs w:val="22"/>
          <w:i w:val="1"/>
          <w:iCs w:val="1"/>
          <w:color w:val="auto"/>
        </w:rPr>
        <w:t>U.S. L/C Participation Fee</w:t>
      </w:r>
      <w:r>
        <w:rPr>
          <w:rFonts w:ascii="Times New Roman" w:cs="Times New Roman" w:eastAsia="Times New Roman" w:hAnsi="Times New Roman"/>
          <w:sz w:val="22"/>
          <w:szCs w:val="22"/>
          <w:color w:val="auto"/>
        </w:rPr>
        <w:t>”) calculated on such Lender’s U.S. Revolving Pro Rata Percentage of the daily aggregate U.S.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SOFR Loans pursuant to Section 2.06. The Parent Borrower agrees to pay to each Canadian Revolving Lender, through the Canadian Administrative Agent, on the last Business Day of March, June, September and December of each year, commencing with the first such date to occur after the Closing Date, and on the date on which the Canadian Revolving Commitment of such Revolving Lender shall be terminated as provided herein, a fee (the “</w:t>
      </w:r>
      <w:r>
        <w:rPr>
          <w:rFonts w:ascii="Times New Roman" w:cs="Times New Roman" w:eastAsia="Times New Roman" w:hAnsi="Times New Roman"/>
          <w:sz w:val="22"/>
          <w:szCs w:val="22"/>
          <w:i w:val="1"/>
          <w:iCs w:val="1"/>
          <w:color w:val="auto"/>
        </w:rPr>
        <w:t>Canadian L/C Participation Fee</w:t>
      </w:r>
      <w:r>
        <w:rPr>
          <w:rFonts w:ascii="Times New Roman" w:cs="Times New Roman" w:eastAsia="Times New Roman" w:hAnsi="Times New Roman"/>
          <w:sz w:val="22"/>
          <w:szCs w:val="22"/>
          <w:color w:val="auto"/>
        </w:rPr>
        <w:t>”) calculated on such Lender’s Canadian Revolving Pro Rata Percentage of the daily aggregate Canadian L/C Exposure (in each case excluding the portion thereof attributable to unreimbursed L/C Disbursements in respect of Letters of Credit) during the preceding quarter (or shorter period 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SOFR Loans pursuant to Section 2.06. The Australian Borrower agrees to pay to each Australian Lender, through the Australian Administrative Agent, on the last Business Day of March, June, September and December of each year, commencing with the first such date to occur after the Closing Date, and on the date on which the Australian Revolving Commitment of such Revolving Lender shall be terminated as provided herein, a fee (the “</w:t>
      </w:r>
      <w:r>
        <w:rPr>
          <w:rFonts w:ascii="Times New Roman" w:cs="Times New Roman" w:eastAsia="Times New Roman" w:hAnsi="Times New Roman"/>
          <w:sz w:val="22"/>
          <w:szCs w:val="22"/>
          <w:i w:val="1"/>
          <w:iCs w:val="1"/>
          <w:color w:val="auto"/>
        </w:rPr>
        <w:t>Australian L/C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Participation Fee</w:t>
      </w:r>
      <w:r>
        <w:rPr>
          <w:rFonts w:ascii="Times New Roman" w:cs="Times New Roman" w:eastAsia="Times New Roman" w:hAnsi="Times New Roman"/>
          <w:sz w:val="22"/>
          <w:szCs w:val="22"/>
          <w:color w:val="auto"/>
        </w:rPr>
        <w:t>”; together with the U.S. L/C Participation Fee and the Canadian L/C Participation Fees, the “</w:t>
      </w:r>
      <w:r>
        <w:rPr>
          <w:rFonts w:ascii="Times New Roman" w:cs="Times New Roman" w:eastAsia="Times New Roman" w:hAnsi="Times New Roman"/>
          <w:sz w:val="22"/>
          <w:szCs w:val="22"/>
          <w:i w:val="1"/>
          <w:iCs w:val="1"/>
          <w:color w:val="auto"/>
        </w:rPr>
        <w:t>L/C Participation Fees</w:t>
      </w:r>
      <w:r>
        <w:rPr>
          <w:rFonts w:ascii="Times New Roman" w:cs="Times New Roman" w:eastAsia="Times New Roman" w:hAnsi="Times New Roman"/>
          <w:sz w:val="22"/>
          <w:szCs w:val="22"/>
          <w:color w:val="auto"/>
        </w:rPr>
        <w:t>”) calculated on such Lender’s Australian Revolving Pro Rata Percentage of the daily aggregate Australian L/C Exposure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case excluding the portion thereof attributable to unreimbursed L/C Disbursements in respect of Letters of Credit) during the preceding quarter (or shorter period</w:t>
      </w: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70" w:name="page71"/>
    <w:bookmarkEnd w:id="70"/>
    <w:p>
      <w:pPr>
        <w:jc w:val="both"/>
        <w:spacing w:after="0" w:line="209" w:lineRule="auto"/>
        <w:rPr>
          <w:sz w:val="20"/>
          <w:szCs w:val="20"/>
          <w:color w:val="auto"/>
        </w:rPr>
      </w:pPr>
      <w:r>
        <w:rPr>
          <w:rFonts w:ascii="Times New Roman" w:cs="Times New Roman" w:eastAsia="Times New Roman" w:hAnsi="Times New Roman"/>
          <w:sz w:val="22"/>
          <w:szCs w:val="22"/>
          <w:color w:val="auto"/>
        </w:rPr>
        <w:t>commencing with the Closing Date or ending with the Maturity Date or the date on which all Letters of Credit have been canceled or have expired and the Revolving Commitments of all Revolving Lenders shall have been terminated) at a rate equal to the Applicable Percentage from time to time used to determine the interest rate on Borrowings comprised of BBSY Rate Loans pursuant to Section 2.06. Each Borrower agrees to pay to the Applicable Issuing Bank with respect to each Letter of Credit issued at the request of such Borrower, (A) a fronting fee for each Letter of Credit equal to the greater of (1) 0.125% of the initial stated amount of such Letter of Credit and (2) $600 (or, with respect to any subsequent increase to the stated amount of any such Letter of Credit, such increase in the stated amount) thereof, such fee to be payable on the date of such issuance, increase or extension and (B) issuance, payment, amendment and transfer fees specified from time to time by such Issuing Bank (collectively, the “</w:t>
      </w:r>
      <w:r>
        <w:rPr>
          <w:rFonts w:ascii="Times New Roman" w:cs="Times New Roman" w:eastAsia="Times New Roman" w:hAnsi="Times New Roman"/>
          <w:sz w:val="22"/>
          <w:szCs w:val="22"/>
          <w:i w:val="1"/>
          <w:iCs w:val="1"/>
          <w:color w:val="auto"/>
        </w:rPr>
        <w:t>Issuing Bank Fees</w:t>
      </w:r>
      <w:r>
        <w:rPr>
          <w:rFonts w:ascii="Times New Roman" w:cs="Times New Roman" w:eastAsia="Times New Roman" w:hAnsi="Times New Roman"/>
          <w:sz w:val="22"/>
          <w:szCs w:val="22"/>
          <w:color w:val="auto"/>
        </w:rPr>
        <w:t>”). All U.S. L/C Participation Fees and, unless otherwise agreed by the Applicable Issuing Bank, Issuing Bank Fees, shall be computed on the basis of the actual number of days elapsed in a year of 360 days. All Canadian L/C Participation Fees shall be computed on the basis of the actual number of days elapsed in a year of 365 or 366 days, as the case may be. All Australian L/C Participation Fees shall be computed on the basis of the actual number of days elapsed in a year of 365 or 366 days, as the case may be.</w:t>
      </w:r>
    </w:p>
    <w:p>
      <w:pPr>
        <w:spacing w:after="0" w:line="160" w:lineRule="exact"/>
        <w:rPr>
          <w:sz w:val="20"/>
          <w:szCs w:val="20"/>
          <w:color w:val="auto"/>
        </w:rPr>
      </w:pPr>
    </w:p>
    <w:p>
      <w:pPr>
        <w:jc w:val="both"/>
        <w:ind w:firstLine="1304"/>
        <w:spacing w:after="0" w:line="213"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shall be paid on the dates due, in immediately available U.S. dollars (except with respect to (i) L/C Participation Fees and Issuing Bank Fees in respect of Letters of Credit denominated in Canadian dollars, each of which shall be payable in immediately available Canadian dollars and (ii) L/C Participation Fees and Issuing Bank Fees in respect of Letters of Credit denominated in Australian dollars, each of which shall be payable in immediately available Australian dollars), to the Applicable Administrative Agent for distribution, if and as appropriate, among the Revolving Lenders, except that the Issuing Bank Fees shall be paid directly to the Applicable Issuing Bank. Once paid, absent manifest error, none of the Fees shall be refundable under any circumstances.</w:t>
      </w:r>
    </w:p>
    <w:p>
      <w:pPr>
        <w:spacing w:after="0" w:line="14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2.06</w:t>
      </w:r>
      <w:r>
        <w:rPr>
          <w:sz w:val="20"/>
          <w:szCs w:val="20"/>
          <w:color w:val="auto"/>
        </w:rPr>
        <w:tab/>
      </w:r>
      <w:r>
        <w:rPr>
          <w:rFonts w:ascii="Times New Roman" w:cs="Times New Roman" w:eastAsia="Times New Roman" w:hAnsi="Times New Roman"/>
          <w:sz w:val="21"/>
          <w:szCs w:val="21"/>
          <w:b w:val="1"/>
          <w:bCs w:val="1"/>
          <w:i w:val="1"/>
          <w:iCs w:val="1"/>
          <w:color w:val="auto"/>
        </w:rPr>
        <w:t>Interest on Loans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2"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the Loans comprising each ABR Borrowing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54"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the Loans comprising each SOFR Borrowing shall bear interest (computed on the basis of the actual number of days elapsed over a year of 360 days) at a rate per annum equal to Adjusted Term SOFR for the Interest Period in effect for such Borrowing plus the Applicable Percentage in respect of SOFR Loans in effect from time to time.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the Loans comprising each Canadian Prime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Canadian Prime Rate plus the Applicable Percentage in respect of the Canadian Prime Rate Loans in effect from time to time.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the Loans comprising each Term CORRA Borrowing shall bear interest (computed on the basis of the actual number of days</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59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71" w:name="page72"/>
    <w:bookmarkEnd w:id="71"/>
    <w:p>
      <w:pPr>
        <w:spacing w:after="0" w:line="236" w:lineRule="auto"/>
        <w:rPr>
          <w:sz w:val="20"/>
          <w:szCs w:val="20"/>
          <w:color w:val="auto"/>
        </w:rPr>
      </w:pPr>
      <w:r>
        <w:rPr>
          <w:rFonts w:ascii="Times New Roman" w:cs="Times New Roman" w:eastAsia="Times New Roman" w:hAnsi="Times New Roman"/>
          <w:sz w:val="22"/>
          <w:szCs w:val="22"/>
          <w:color w:val="auto"/>
        </w:rPr>
        <w:t>elapsed over a year of 365 days) at a rate per annum equal to Adjusted Term CORRA for the Interest Period in effect for such Borrowing plus the Applicable Percentage in respect of Term CORRA Loans in effect from time to time.</w:t>
      </w:r>
    </w:p>
    <w:p>
      <w:pPr>
        <w:spacing w:after="0" w:line="150" w:lineRule="exact"/>
        <w:rPr>
          <w:sz w:val="20"/>
          <w:szCs w:val="20"/>
          <w:color w:val="auto"/>
        </w:rPr>
      </w:pPr>
    </w:p>
    <w:p>
      <w:pPr>
        <w:jc w:val="both"/>
        <w:ind w:firstLine="1304"/>
        <w:spacing w:after="0" w:line="231" w:lineRule="auto"/>
        <w:tabs>
          <w:tab w:leader="none" w:pos="194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9.09, the Loans comprising each U.S. Base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U.S. Base Rate plus the Applicable Percentage in respect of U.S. Base Rate Loans in effect from time to time.</w:t>
      </w:r>
    </w:p>
    <w:p>
      <w:pPr>
        <w:spacing w:after="0" w:line="150"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the Loans comprising each BBSY Rate Borrowing shall bear interest (computed on the basis of the actual number of days elapsed over a year of 365 or 366 days, as the case may be, and calculated from and including the date of such Borrowing to but excluding the date of repayment thereof) at a rate per annum equal to the BBSY Rate plus the Applicable Percentage in respect of BBSY Rate Loans in effect from time to time.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9.09, each U.S.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the Alternate Base Rate plus the Applicable Percentage in respect of ABR Loans in effect from time to time.</w:t>
      </w:r>
    </w:p>
    <w:p>
      <w:pPr>
        <w:spacing w:after="0" w:line="152"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3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9.09, each Canadian Swing Line Loan shall bear interest (computed on the basis of the actual number of days elapsed over a year of 365 or 366 days, as the case may be, when the Alternate Base Rate is determined by reference to the Prime Rate and over a year of 360 days at all other times and calculated from and including the date of such Borrowing to but excluding the date of repayment thereof) at a rate per annum equal to (i) if such Canadian Swing Line Loan is denominated in Canadian dollars, the Canadian Prime Rate plus the Applicable Percentage in respect of the Canadian Prime Rate Loans in effect from time to time and (ii) if such Canadian Swing Line Loan is denominated in U.S. dollars, the U.S. Base Rate plus the Applicable Percentage in respect of U.S. Base Rate Loans in effect from time to time.</w:t>
      </w:r>
    </w:p>
    <w:p>
      <w:pPr>
        <w:spacing w:after="0" w:line="150"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payable to the Applicable Administrative Agent on the Interest Payment Dates applicable to such Loan except as otherwise provided in this Agreement. The applicable Alternate Base Rate, Adjusted Term SOFR, BBSY Rate, Adjusted Term CORRA, Canadian Prime Rate and U.S. Base Rate shall be determined by the Applicable Administrative Agent, and such determination shall be conclusive absent manifest error.</w:t>
      </w:r>
    </w:p>
    <w:p>
      <w:pPr>
        <w:spacing w:after="0" w:line="148"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the </w:t>
      </w:r>
      <w:r>
        <w:rPr>
          <w:rFonts w:ascii="Times New Roman" w:cs="Times New Roman" w:eastAsia="Times New Roman" w:hAnsi="Times New Roman"/>
          <w:sz w:val="21"/>
          <w:szCs w:val="21"/>
          <w:i w:val="1"/>
          <w:iCs w:val="1"/>
          <w:color w:val="auto"/>
        </w:rPr>
        <w:t>Interest Act</w:t>
      </w:r>
      <w:r>
        <w:rPr>
          <w:rFonts w:ascii="Times New Roman" w:cs="Times New Roman" w:eastAsia="Times New Roman" w:hAnsi="Times New Roman"/>
          <w:sz w:val="21"/>
          <w:szCs w:val="21"/>
          <w:color w:val="auto"/>
        </w:rPr>
        <w:t xml:space="preserve">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 Each Borrower confirms that it fully understands and</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72" w:name="page73"/>
    <w:bookmarkEnd w:id="72"/>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is able to calculate the rate of interest applicable to the Facilities based on the methodology for calculating per annum rates provided for in this Agreement. Each Agent agrees that, if requested in writing by any Borrower, it will calculate the nominal and effective per annum rate of interest on any Loan outstanding at the time of such request and provide such information to such Borrower within a reasonable time following such request; provided that any error in any such calculation, or any failure to provide such information on request, shall not relieve any Borrower of any of its obligations under this Agreement or any other Loan Document, nor result in any liability to any Agent or any Lender. Each Borrower hereby irrevocably agrees not to plead or assert, whether by way of defense or otherwise, in any proceeding relating to the Loan Documents, that the interest payable under this Agreement and the calculation thereof has not been adequately disclosed to any Borrower, whether pursuant to section 4 of the </w:t>
      </w:r>
      <w:r>
        <w:rPr>
          <w:rFonts w:ascii="Times New Roman" w:cs="Times New Roman" w:eastAsia="Times New Roman" w:hAnsi="Times New Roman"/>
          <w:sz w:val="22"/>
          <w:szCs w:val="22"/>
          <w:i w:val="1"/>
          <w:iCs w:val="1"/>
          <w:color w:val="auto"/>
        </w:rPr>
        <w:t>Interest Act</w:t>
      </w:r>
      <w:r>
        <w:rPr>
          <w:rFonts w:ascii="Times New Roman" w:cs="Times New Roman" w:eastAsia="Times New Roman" w:hAnsi="Times New Roman"/>
          <w:sz w:val="22"/>
          <w:szCs w:val="22"/>
          <w:color w:val="auto"/>
        </w:rPr>
        <w:t xml:space="preserve"> (Canada) or any other applicable law or legal principle.</w:t>
      </w:r>
    </w:p>
    <w:p>
      <w:pPr>
        <w:spacing w:after="0" w:line="158" w:lineRule="exact"/>
        <w:rPr>
          <w:sz w:val="20"/>
          <w:szCs w:val="20"/>
          <w:color w:val="auto"/>
        </w:rPr>
      </w:pPr>
    </w:p>
    <w:p>
      <w:pPr>
        <w:jc w:val="both"/>
        <w:ind w:firstLine="1304"/>
        <w:spacing w:after="0" w:line="215"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use or administration of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SOFR or Term SOFR, as applicable.</w:t>
      </w:r>
    </w:p>
    <w:p>
      <w:pPr>
        <w:spacing w:after="0" w:line="146"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Section 2.07 </w:t>
      </w:r>
      <w:r>
        <w:rPr>
          <w:rFonts w:ascii="Times New Roman" w:cs="Times New Roman" w:eastAsia="Times New Roman" w:hAnsi="Times New Roman"/>
          <w:sz w:val="22"/>
          <w:szCs w:val="22"/>
          <w:b w:val="1"/>
          <w:bCs w:val="1"/>
          <w:i w:val="1"/>
          <w:iCs w:val="1"/>
          <w:color w:val="auto"/>
        </w:rPr>
        <w:t>Default Interest</w:t>
      </w:r>
      <w:r>
        <w:rPr>
          <w:rFonts w:ascii="Times New Roman" w:cs="Times New Roman" w:eastAsia="Times New Roman" w:hAnsi="Times New Roman"/>
          <w:sz w:val="22"/>
          <w:szCs w:val="22"/>
          <w:color w:val="auto"/>
        </w:rPr>
        <w:t>. If a Borrower shall default in the payment of the principal of or interest on any Loan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amount becoming due hereunder, by acceleration or otherwise, or under any other Loan Document, such Borrower shall on demand from time to time pay interest, to the extent permitted by law, on such defaulted amount to but excluding the date of actual payment (after as well as before judgment) (a) in the case of overdue principal, at the rate otherwise applicable to such Loan pursuant to Section 2.06 plus 2.00% per annum (subject to Section 9.09) and (b) in all other cases, at a rate per annum (computed on the basis of the actual number of days elapsed (i) over a year of 365 or 366 days, as the case may be, when determined by reference to the Prime Rate or the Canadian Prime Rate, (ii) over a year of 365 days when determined by reference to the BBSY Rate, and (iii) over a year of 360 days at all other times) equal to the rate that would be applicable to an ABR Loan (or a Canadian Prime Rate Loan, in the case of the Parent Borrower, or a BBSY Rate Loan, in the case of the Australian Borrower) plus 2.00% (subject to Section 9.09).</w:t>
      </w:r>
    </w:p>
    <w:p>
      <w:pPr>
        <w:ind w:left="660"/>
        <w:spacing w:after="0" w:line="222"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2.08</w:t>
      </w:r>
      <w:r>
        <w:rPr>
          <w:sz w:val="20"/>
          <w:szCs w:val="20"/>
          <w:color w:val="auto"/>
        </w:rPr>
        <w:tab/>
      </w:r>
      <w:r>
        <w:rPr>
          <w:rFonts w:ascii="Times New Roman" w:cs="Times New Roman" w:eastAsia="Times New Roman" w:hAnsi="Times New Roman"/>
          <w:sz w:val="21"/>
          <w:szCs w:val="21"/>
          <w:b w:val="1"/>
          <w:bCs w:val="1"/>
          <w:i w:val="1"/>
          <w:iCs w:val="1"/>
          <w:color w:val="auto"/>
        </w:rPr>
        <w:t>Alternate Rate of Interest</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18" w:lineRule="auto"/>
        <w:tabs>
          <w:tab w:leader="none" w:pos="194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and on each occasion, that (i) on the day two Business Days prior to the commencement of any Interest Period for a SOFR Borrowing the Applicable Administrative Agent is unable to determine Adjusted Term SOFR for SOFR Loans comprising any requested Borrowing, or (ii) if the Applicable Required Lenders shall, by 11:00 a.m. (Standard Time) at least one (1) Business Day before the date of any requested Borrowing, notify the Applicable Administrative Agent that Adjusted Term SOFR for SOFR Loans comprising such Borrowing will not adequately and fairly reflect the cost to any Lender of making or maintaining its SOFR Loan, during such Interest Period, then the Applicable Administrative Agent shall, as soon as practicable thereafter, give written, fax or electronic communication (e-mail) (or telephone notice promptly confirmed by a written, fax or electronic communication (e-mail)) notice of such determination to each Applicable Borrower and each Applicable Lender. In the event of any such determination, until the Applicable Administrative Agent shall have advised the Applicable Borrowers and the Applicable Lenders that the circumstances giving rise to such notice no longer exist, any request by such Borrower for a SOFR Borrowing (other than a SOFR Borrowing under the Australian Revolving Credit Facility) pursuant to Section 2.03 or Section 2.10 shall be deemed to be a request for an ABR Borrowing (or, in the case of a request</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73" w:name="page74"/>
    <w:bookmarkEnd w:id="73"/>
    <w:p>
      <w:pPr>
        <w:spacing w:after="0" w:line="236" w:lineRule="auto"/>
        <w:rPr>
          <w:sz w:val="20"/>
          <w:szCs w:val="20"/>
          <w:color w:val="auto"/>
        </w:rPr>
      </w:pPr>
      <w:r>
        <w:rPr>
          <w:rFonts w:ascii="Times New Roman" w:cs="Times New Roman" w:eastAsia="Times New Roman" w:hAnsi="Times New Roman"/>
          <w:sz w:val="22"/>
          <w:szCs w:val="22"/>
          <w:color w:val="auto"/>
        </w:rPr>
        <w:t>by the Parent Borrower, a U.S. Base Rate Borrowing). Each determination by the Applicable Administrative Agent hereunder shall be conclusive absent manifest error.</w:t>
      </w:r>
    </w:p>
    <w:p>
      <w:pPr>
        <w:spacing w:after="0" w:line="150" w:lineRule="exact"/>
        <w:rPr>
          <w:sz w:val="20"/>
          <w:szCs w:val="20"/>
          <w:color w:val="auto"/>
        </w:rPr>
      </w:pPr>
    </w:p>
    <w:p>
      <w:pPr>
        <w:jc w:val="both"/>
        <w:ind w:firstLine="1304"/>
        <w:spacing w:after="0" w:line="215" w:lineRule="auto"/>
        <w:tabs>
          <w:tab w:leader="none" w:pos="1939"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if the Applicable Administrative Agent (i) determines that the circumstances described in clause (a)(i) of this Section 2.08 have arisen and such circumstances are unlikely to be temporary, (ii) determines that the circumstances described in clause (a)(i) of this Section 2.08 have not arisen but the supervisor for the administrator of Term SOFR or a Governmental Authority having jurisdiction over the Applicable Administrative Agent has made a public statement identifying a specific date after which Term SOFR shall no longer be used for determining interest rates for loans, (iii) is advised by the Applicable Required Lenders of their determination in accordance with clause (a)(ii) of this Section 2.08, or (iv) new syndicated loans have started to adopt a new benchmark interest rate, then the Applicable Administrative Agent and the Applicable Borrower shall endeavor to establish an alternate rate of interest to Term SOFR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provided that to the extent that the Applicable Administrative Agent determines that adoption of any portion of such market convention is not administratively feasible or that no market convention for the administration of such alternate rate of interest exists, the Applicable Administrative Agent shall administer such alternate rate of interest in a manner acceptable by the Applicable Administrative Agent and the Borrower. Notwithstanding anything to the contrary in Section 9.08, such amendment shall become effective without any further action or consent of any other party to this Agreement so long as the Applicable Administrative Agent shall not have received, within five (5) Business Days of the date notice of such alternate rate of interest is provided to the Applicable Lenders, a written notice from the Applicable Required Lenders stating that such Applicable Required Lenders object to such amendment. If a notice of an alternate rate of interest has been given and no such alternate rate of interest has been determined, and (x) the circumstances under clause</w:t>
      </w:r>
    </w:p>
    <w:p>
      <w:pPr>
        <w:spacing w:after="0" w:line="17" w:lineRule="exact"/>
        <w:rPr>
          <w:rFonts w:ascii="Times New Roman" w:cs="Times New Roman" w:eastAsia="Times New Roman" w:hAnsi="Times New Roman"/>
          <w:sz w:val="21"/>
          <w:szCs w:val="21"/>
          <w:color w:val="auto"/>
        </w:rPr>
      </w:pPr>
    </w:p>
    <w:p>
      <w:pPr>
        <w:jc w:val="both"/>
        <w:ind w:firstLine="8"/>
        <w:spacing w:after="0" w:line="218" w:lineRule="auto"/>
        <w:tabs>
          <w:tab w:leader="none" w:pos="28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(iii) above exist or (y) the specific date referred to in clause (ii) has occurred (as applicable), Alternate Base Rate shall apply without regard to clause (c) of the definition thereof. Provided that, if such alternate rate of interest shall be less than zero, such rate shall be deemed to be zero for the purposes of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2.27, if, on or prior to the first day of any Interest Period for any Term CORRA Loan (i) the Applicable Administrative Agent determines (which determination shall be conclusive and binding absent manifest error) that “Adjusted Term CORRA” cannot be determined pursuant to the definition thereof, for reasons other than a Canadian Benchmark Transition Event or (ii) the Applicable Required Lenders determine that for any reason in connection with any request for a Term CORRA Loan, or a conversion thereto or a continuation thereof that Term CORRA for any requested Interest Period with respect to a proposed Term CORRA Loan does not adequately and fairly reflect the cost to such Lenders of making and maintaining such Loan, and the Applicable Required Lenders have provided notice of such determination to the Applicable Administrative Agent, the Applicable Administrative Agent will promptly so notify the Applicable Borrower and each Applicable Lender.</w:t>
      </w:r>
    </w:p>
    <w:p>
      <w:pPr>
        <w:spacing w:after="0" w:line="157"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delivery of such notice by the Applicable Administrative Agent to the Applicable Borrower under Section 2.08(c), any obligation of the Applicable Lenders to make Term CORRA Loans and any right of the Applicable Borrower to continue Term CORRA Loans or to convert Canadian Prime Rate Loans to Term CORRA Loans shall be suspended (to the extent of the affected Term CORRA Loans or affected Interest Periods) until the Applicable Administrative Agent (with respect to Section 2.08(c)(ii), at the instruction of the Applicable Required Lenders) revokes such notice. Upon receipt of such notice by the Applicable</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74" w:name="page75"/>
    <w:bookmarkEnd w:id="74"/>
    <w:p>
      <w:pPr>
        <w:jc w:val="both"/>
        <w:spacing w:after="0" w:line="215" w:lineRule="auto"/>
        <w:rPr>
          <w:sz w:val="20"/>
          <w:szCs w:val="20"/>
          <w:color w:val="auto"/>
        </w:rPr>
      </w:pPr>
      <w:r>
        <w:rPr>
          <w:rFonts w:ascii="Times New Roman" w:cs="Times New Roman" w:eastAsia="Times New Roman" w:hAnsi="Times New Roman"/>
          <w:sz w:val="22"/>
          <w:szCs w:val="22"/>
          <w:color w:val="auto"/>
        </w:rPr>
        <w:t>Administrative Agent to the Applicable Borrower, the Applicable Borrower may revoke any pending request for a borrowing of, conversion to or continuation of Term CORRA Loans (to the extent of the affected Term CORRA Loans or affected Interest Periods), and failing such revocation, the Applicable Borrower will be deemed to have converted any such request into a request for a Borrowing of or conversion to Canadian Prime Rate Loans, in the amount specified therein. Upon any such conversion, the Applicable Borrower shall also pay accrued interest on the amount so converted, together with any additional amounts required pursuant to Section 2.15.</w:t>
      </w:r>
    </w:p>
    <w:p>
      <w:pPr>
        <w:spacing w:after="0" w:line="1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2.09</w:t>
      </w:r>
      <w:r>
        <w:rPr>
          <w:sz w:val="20"/>
          <w:szCs w:val="20"/>
          <w:color w:val="auto"/>
        </w:rPr>
        <w:tab/>
      </w:r>
      <w:r>
        <w:rPr>
          <w:rFonts w:ascii="Times New Roman" w:cs="Times New Roman" w:eastAsia="Times New Roman" w:hAnsi="Times New Roman"/>
          <w:sz w:val="21"/>
          <w:szCs w:val="21"/>
          <w:b w:val="1"/>
          <w:bCs w:val="1"/>
          <w:i w:val="1"/>
          <w:iCs w:val="1"/>
          <w:color w:val="auto"/>
        </w:rPr>
        <w:t>Termination and Reduction of Commitments</w:t>
      </w:r>
      <w:r>
        <w:rPr>
          <w:rFonts w:ascii="Times New Roman" w:cs="Times New Roman" w:eastAsia="Times New Roman" w:hAnsi="Times New Roman"/>
          <w:sz w:val="21"/>
          <w:szCs w:val="21"/>
          <w:color w:val="auto"/>
        </w:rPr>
        <w:t>.</w:t>
      </w:r>
    </w:p>
    <w:p>
      <w:pPr>
        <w:ind w:left="1940" w:hanging="636"/>
        <w:spacing w:after="0" w:line="206" w:lineRule="auto"/>
        <w:tabs>
          <w:tab w:leader="none" w:pos="19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Revolving Commitments and the L/C Commitments shall automatically terminate on the Maturity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55" w:lineRule="exact"/>
        <w:rPr>
          <w:sz w:val="20"/>
          <w:szCs w:val="20"/>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at least three Business Days’ prior irrevocable written, fax or electronic communication (e-mail) (or by telephone notice promptly confirmed by a written, fax or electronic communication (e-mail)) notice to the Applicable Administrative Agent, the U.S. Borrowers, the Parent Borrower or the Australian Borrower, as the case may be, may at any time in whole permanently terminate, or from time to time in part permanently reduce, any Class of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each partial reduction of any Class of Commitments shall be in an integral multiple of U.S.$1,000,000.</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voluntary reduction in any Class of Commitments hereunder shall be made ratably among the Lenders in accordance with their respective Commitments of such Class. The Applicable Borrower shall pay to the Applicable Administrative Agent for the account of the Applicable Lenders, on the date of each termination or reduction, the Commitment Fees on the amount of the Commitments so terminated or reduced accrued to but excluding the date of such termination or reduction.</w:t>
      </w:r>
    </w:p>
    <w:p>
      <w:pPr>
        <w:spacing w:after="0" w:line="14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Section 2.10 </w:t>
      </w:r>
      <w:r>
        <w:rPr>
          <w:rFonts w:ascii="Times New Roman" w:cs="Times New Roman" w:eastAsia="Times New Roman" w:hAnsi="Times New Roman"/>
          <w:sz w:val="21"/>
          <w:szCs w:val="21"/>
          <w:b w:val="1"/>
          <w:bCs w:val="1"/>
          <w:i w:val="1"/>
          <w:iCs w:val="1"/>
          <w:color w:val="auto"/>
        </w:rPr>
        <w:t>Conversion and Continuation of Borrowings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Borrowers shall have the right at any time upon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irrevocable notice to the Applicable Administrative Agent (a) not later than 1:00 p.m. (Standard Time) one Business Day before the proposed conversion, to convert any SOFR Borrowing under a Class of U.S. Revolving Commitments into an ABR Borrowing under the same Class of U.S. Revolving Commitments, (b) not later than 1:00 p.m. (Standard Time) one Business Day before the proposed conversion, to convert any Term CORRA Borrowing under the Canadian Revolving Facility into a Canadian Prime Rate Borrowing under the Canadian Revolving Facility, (c) not later than 1:00 p.m. (Standard Time) three Business Days prior to conversion or continuation, to convert any ABR Borrowing under a Class of U.S. Revolving Commitments or U.S. Base Rate Borrowing under a Class of Canadian Revolving Commitments into a SOFR Borrowing under the same Class of Commitments or to continue any SOFR Borrowing under a Class of U.S. Revolving Commitments or Canadian Revolving Commitments as a SOFR Borrowing under the same Class of Commitments for an additional Interest Period, (d) not later than 3:00 p.m. (Sydney time) three Business Days prior to continuation, to continue any SOFR Borrowing under the Australian Revolving Commitments as a SOFR Borrowing under the Australian Revolving Commitments for an additional Interest Period,</w:t>
      </w:r>
    </w:p>
    <w:p>
      <w:pPr>
        <w:spacing w:after="0" w:line="2" w:lineRule="exact"/>
        <w:rPr>
          <w:sz w:val="20"/>
          <w:szCs w:val="20"/>
          <w:color w:val="auto"/>
        </w:rPr>
      </w:pPr>
    </w:p>
    <w:p>
      <w:pPr>
        <w:jc w:val="both"/>
        <w:ind w:firstLine="8"/>
        <w:spacing w:after="0" w:line="211" w:lineRule="auto"/>
        <w:tabs>
          <w:tab w:leader="none" w:pos="2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1:00 p.m. (Standard Time) three Business Days prior to conversion, to convert the Interest Period with respect to any SOFR Borrowing under a Class of U.S. Revolving Commitments or Canadian Revolving Commitments to another permissible Interest Period, (f) not later than 3:00 p.m. (Sydney time) three Business Days prior to conversion, to convert the Interest Period with respect to any BBSY Rate Borrowing under the Australian Revolving Commitments to another permissible Interest Period and (g) not later than 1:00 p.m. (Standard Time) three Business Days prior to conversion or continuation, to convert any Canadian Prime</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75" w:name="page76"/>
    <w:bookmarkEnd w:id="75"/>
    <w:p>
      <w:pPr>
        <w:jc w:val="both"/>
        <w:spacing w:after="0" w:line="212" w:lineRule="auto"/>
        <w:rPr>
          <w:sz w:val="20"/>
          <w:szCs w:val="20"/>
          <w:color w:val="auto"/>
        </w:rPr>
      </w:pPr>
      <w:r>
        <w:rPr>
          <w:rFonts w:ascii="Times New Roman" w:cs="Times New Roman" w:eastAsia="Times New Roman" w:hAnsi="Times New Roman"/>
          <w:sz w:val="22"/>
          <w:szCs w:val="22"/>
          <w:color w:val="auto"/>
        </w:rPr>
        <w:t>Rate Borrowing under the Canadian Revolving Facility to a Term CORRA Borrowing under the Canadian Revolving Facility or to continue any Term CORRA Borrowing under the Canadian Revolving Facility as a Term CORRA Borrowing under the Canadian Revolving Facility for an additional Interest Period, subject in each case to the following:</w:t>
      </w:r>
    </w:p>
    <w:p>
      <w:pPr>
        <w:spacing w:after="0" w:line="2" w:lineRule="exact"/>
        <w:rPr>
          <w:sz w:val="20"/>
          <w:szCs w:val="20"/>
          <w:color w:val="auto"/>
        </w:rPr>
      </w:pPr>
    </w:p>
    <w:p>
      <w:pPr>
        <w:ind w:left="660" w:firstLine="1292"/>
        <w:spacing w:after="0" w:line="225" w:lineRule="auto"/>
        <w:tabs>
          <w:tab w:leader="none" w:pos="259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conversion or continuation shall be made pro rata among the Applicable Lenders in accordance with the respective principal amounts of the Loans comprising the converted or continued Borrowing;</w:t>
      </w:r>
    </w:p>
    <w:p>
      <w:pPr>
        <w:spacing w:after="0" w:line="14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the outstanding principal amount of any Borrowing shall be converted or continued, then each resulting Borrowing shall satisfy the limitations specified in Sections 2.02(a) and 2.02(b), regarding the principal amount and maximum number of Borrowings of the relevant Type;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60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conversion shall be effected by each Applicable Lender and the Applicable Administrative Agent by recording for the account of such Lender the new Type and/or Interest Period for such Borrowing resulting from such conversion; accrued interest on any SOFR Loan, Term CORRA Loan or BBSY Rate Loan (or, in each case, any portion thereof) being converted shall be paid by the Applicable Borrower at the time of conversion;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SOFR Borrowing, BBSY Rate Borrowing or Term CORRA Borrowing is converted at a time other than the end of the Interest Period applicable thereto, the Applicable Borrower shall pay, upon demand, any amounts due to the Applicable Lenders pursuant to Section 2.15;</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a Borrowing maturing or required to be repaid in less than one month may not be converted into or continued as a SOFR Borrowing, a BBSY Rate Borrowing or a Term CORRA Borrowing;</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a SOFR Borrowing (other than a SOFR Borrowing under the Australian Revolving Credit Facility) or a Term CORRA Borrowing that cannot be converted into or continued as a SOFR Borrowing or a Term CORRA Borrowing, respectively, by reason of the immediately preceding clause shall be automatically converted at the end of the Interest Period in effect for such Borrowing into an ABR Borrowing, a U.S. Base Rate Borrowing or a Canadian Prime Rate Borrowing, as the case may be;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notice to each Applicable Borrower from the Applicable Administrative Agent given at the request of the Applicable Required Lenders after the occurrence and during the continuance of a Default or Event of Default, no outstanding Loan owing to such Lenders may be converted into, or continued as, a SOFR Loan, a BBSY Rate Loan or a Term CORRA Loan, as applicable; and</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 Swing Line Loan may not be converted to a</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SOFR Loan.</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notice pursuant to this Section 2.10 shall be irrevocable, shall be hand delivered, faxed or sent by electronic communication (e-mail) (or by telephone notice promptly confirmed by a written, fax or electronic communication (e-mail)), shall refer to this Agreement, shall be substantially in the form of Exhibit B-6 and specify (i) the identity and amount of the Borrowing that the Applicable Borrower requests be converted or continued, (ii) whether such Borrowing is</w:t>
      </w: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76" w:name="page77"/>
    <w:bookmarkEnd w:id="76"/>
    <w:p>
      <w:pPr>
        <w:jc w:val="both"/>
        <w:spacing w:after="0" w:line="247" w:lineRule="auto"/>
        <w:rPr>
          <w:sz w:val="20"/>
          <w:szCs w:val="20"/>
          <w:color w:val="auto"/>
        </w:rPr>
      </w:pPr>
      <w:r>
        <w:rPr>
          <w:rFonts w:ascii="Times New Roman" w:cs="Times New Roman" w:eastAsia="Times New Roman" w:hAnsi="Times New Roman"/>
          <w:sz w:val="22"/>
          <w:szCs w:val="22"/>
          <w:color w:val="auto"/>
        </w:rPr>
        <w:t>to be converted to or continued as a SOFR Borrowing, an ABR Borrowing, a Term CORRA Borrowing, a U.S. Base Rate Borrowing, a Canadian Prime Rate Borrowing or a BBSY Rate Borrowing, (iii) if such notice requests a conversion, the date of such conversion (which shall be a Business Day) and (iv) if such Borrowing is to be converted to or continued as a SOFR Borrowing, a BBSY Rate Borrowing or a Term CORRA Borrowing, the Interest Period with respect thereto. If no Interest Period is specified in any such notice with respect to any conversion to or continuation as a SOFR Borrowing, a BBSY Rate Borrowing or a Term CORRA Borrowing, the Applicable Borrower shall be deemed to have selected an Interest Period of one month’s duration. The Applicable Administrative Agent shall promptly advise the Applicable Lenders of any notice given pursuant to this Section 2.10 and of each Lender’s portion of any converted or continued Borrowing. If a Borrower shall not have given notice in accordance with this Section 2.10 to continue any SOFR Borrowing (other than a SOFR Borrowing under the Australian Revolving Credit Facility) or Term CORRA Borrowing into a subsequent Interest Period (and shall not otherwise have given notice in accordance with this Section 2.10 to convert such Borrowing), such Borrowing shall, at the end of the Interest Period applicable thereto (unless repaid pursuant to the terms hereof), automatically be converted into an ABR Borrowing, a U.S. Base Rate Borrowing or a Canadian Prime Rate Borrowing, as applicable.</w:t>
      </w:r>
    </w:p>
    <w:p>
      <w:pPr>
        <w:spacing w:after="0" w:line="15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2.11</w:t>
      </w:r>
      <w:r>
        <w:rPr>
          <w:sz w:val="20"/>
          <w:szCs w:val="20"/>
          <w:color w:val="auto"/>
        </w:rPr>
        <w:tab/>
      </w:r>
      <w:r>
        <w:rPr>
          <w:rFonts w:ascii="Times New Roman" w:cs="Times New Roman" w:eastAsia="Times New Roman" w:hAnsi="Times New Roman"/>
          <w:sz w:val="21"/>
          <w:szCs w:val="21"/>
          <w:b w:val="1"/>
          <w:bCs w:val="1"/>
          <w:i w:val="1"/>
          <w:iCs w:val="1"/>
          <w:color w:val="auto"/>
        </w:rPr>
        <w:t>Optional Prepayment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7" w:lineRule="auto"/>
        <w:tabs>
          <w:tab w:leader="none" w:pos="194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Borrower shall have the right at any time and from time to time to prepay any Borrowing, in whole or in part, upon written, fax or electronic communication (e-mail) (or by telephone notice promptly confirmed by written, fax or electronic communication (e-mail)), substantially in the form of </w:t>
      </w:r>
      <w:r>
        <w:rPr>
          <w:rFonts w:ascii="Times New Roman" w:cs="Times New Roman" w:eastAsia="Times New Roman" w:hAnsi="Times New Roman"/>
          <w:sz w:val="21"/>
          <w:szCs w:val="21"/>
          <w:u w:val="single" w:color="auto"/>
          <w:color w:val="auto"/>
        </w:rPr>
        <w:t>Exhibit B-5</w:t>
      </w:r>
      <w:r>
        <w:rPr>
          <w:rFonts w:ascii="Times New Roman" w:cs="Times New Roman" w:eastAsia="Times New Roman" w:hAnsi="Times New Roman"/>
          <w:sz w:val="21"/>
          <w:szCs w:val="21"/>
          <w:color w:val="auto"/>
        </w:rPr>
        <w:t xml:space="preserve">, delivered to the Applicable Administrative Agent by (i) 1:00 p.m. (Standard Time) at least three Business Days prior to the date designated for such prepayment, in the case of any prepayment of a SOFR Borrowing, Term CORRA Borrowing or a BBSY Rate Borrowing, (ii) 1:00 p.m. (Standard Time) on the date designated for such prepayment in the case of any prepayment of an ABR Borrowing under the U.S. Revolving Commitments, or (iii) 1:00 p.m. (Standard Time) one Business Day prior to the date designated for such prepayment, in the case of a U.S. Base Rate Borrowing or a Canadian Prime Rate Borrowing under the Canadian Revolving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each partial prepayment shall be in an amount that is a minimum amount of U.S.$500,000 or an integral multiple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U.S.$100,000 in excess thereof (or C$500,000 and C$100,000, respectively, in the case of Borrowings denominated in Canadian dollars or AUD$500,000 and AUD$100,000, respectively, in the case of Borrowings denominated in Australian dollars); and </w:t>
      </w: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the Applicable Borrower may defease any BBSY Rate Loan by depositing with the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an amount that, together with interest accruing on such amount to the end of the Interest Period for such BBSY Rate Loan is sufficient to pay such maturing BBSY Rate Loans when due. Such deposited cash collateral shall be assigned to the Applicable Administrative Agent as security for the obligations of the Parent Borrower in relation to such BBSY Rate Loan and the Lien of the Applicable Administrative Agent thereby created therein shall rank in priority to all other Liens and adverse claims against deposited cash collateral. The Applicable Administrative Agent shall promptly advise the Applicable Lenders of any notice given pursuant to this Section 2.11 and of each Lender’s portion of such prepayment.</w:t>
      </w:r>
    </w:p>
    <w:p>
      <w:pPr>
        <w:spacing w:after="0" w:line="149"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U.S. Borrowers may, upon notice to the U.S. Swing Line Lender (with a copy to the Administrative Agent), at any time or from time to time, voluntarily prepay U.S. Swing Line Loans in whole or in part without premium or penalty;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notice must be received by the U.S. Swing Line Lender and the Administrative Agent not later</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77" w:name="page78"/>
    <w:bookmarkEnd w:id="77"/>
    <w:p>
      <w:pPr>
        <w:ind w:right="20"/>
        <w:spacing w:after="0" w:line="236" w:lineRule="auto"/>
        <w:rPr>
          <w:sz w:val="20"/>
          <w:szCs w:val="20"/>
          <w:color w:val="auto"/>
        </w:rPr>
      </w:pPr>
      <w:r>
        <w:rPr>
          <w:rFonts w:ascii="Times New Roman" w:cs="Times New Roman" w:eastAsia="Times New Roman" w:hAnsi="Times New Roman"/>
          <w:sz w:val="22"/>
          <w:szCs w:val="22"/>
          <w:color w:val="auto"/>
        </w:rPr>
        <w:t>than 1:00 p.m. (Standard Time) on the date of the prepayment, and (B) any such prepayment shall be in a minimum principal amount of $100,000.</w:t>
      </w:r>
    </w:p>
    <w:p>
      <w:pPr>
        <w:spacing w:after="0" w:line="150" w:lineRule="exact"/>
        <w:rPr>
          <w:sz w:val="20"/>
          <w:szCs w:val="20"/>
          <w:color w:val="auto"/>
        </w:rPr>
      </w:pPr>
    </w:p>
    <w:p>
      <w:pPr>
        <w:jc w:val="both"/>
        <w:ind w:firstLine="1304"/>
        <w:spacing w:after="0" w:line="217"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Borrower may, upon notice to the Canadian Swing Line Lender (with a copy to the Canadian Administrative Agent), at any time or from time to time, voluntarily prepay Canadian Swing Line Loans in whole or in part without premium or penalty;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notice must be received by the Canadian Swing Line Lender and the Canadian Administrative Agent not later than 1:00 p.m. (Standard Time) on the date of the prepayment, and (B) any such prepayment shall be in a minimum principal amount of $100,000.</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notice of prepayment shall specify (i) the amount to be prepaid, (ii) the prepayment date and (iii) the Class and Type of Loans to be repaid and shall commit the Applicable Borrower to prepay such obligations by the amount specified therein on the date specified therein. All prepayments pursuant to this Section 2.11 shall be subject to Section 2.15, but shall otherwise be without premium or penalty.</w:t>
      </w:r>
    </w:p>
    <w:p>
      <w:pPr>
        <w:spacing w:after="0" w:line="1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2.12</w:t>
      </w:r>
      <w:r>
        <w:rPr>
          <w:sz w:val="20"/>
          <w:szCs w:val="20"/>
          <w:color w:val="auto"/>
        </w:rPr>
        <w:tab/>
      </w:r>
      <w:r>
        <w:rPr>
          <w:rFonts w:ascii="Times New Roman" w:cs="Times New Roman" w:eastAsia="Times New Roman" w:hAnsi="Times New Roman"/>
          <w:sz w:val="21"/>
          <w:szCs w:val="21"/>
          <w:b w:val="1"/>
          <w:bCs w:val="1"/>
          <w:i w:val="1"/>
          <w:iCs w:val="1"/>
          <w:color w:val="auto"/>
        </w:rPr>
        <w:t>Mandatory Prepayments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24" w:lineRule="auto"/>
        <w:tabs>
          <w:tab w:leader="none" w:pos="194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termination of all the U.S. Revolving Commitments, Canadian Revolving Commitments or Australian Revolving Commitments, each Applicable Borrower shall, on the date of such termination, repay or prepay all its outstanding U.S. Revolving Credit Loans, Canadian Revolving Credit Loans or Australian Revolving Credit Loans, as applicable, and replace all outstanding U.S. Letters of Credit, Canadian Letters of Credit or Australian Letters of Credit, as applicable, and/or deposit an amount equal to the sum of the U.S. L/C Exposure, the Canadian L/C Exposure or the Australian L/C Exposure, as applicable, in cash in a cash collateral account established with the Applicable Collateral Agent for the benefit of the Secured Parties. In the event of any partial reduction of the U.S. Revolving Commitments, the Canadian Revolving Commitments or the Australian Revolving Commitments, then (i) at or prior to the effective date of such reduction, the Applicable Administrative Agent shall notify each of the Applicable Borrowers and Applicable Lenders of the aggregate U.S. Revolving Credit Exposure, the aggregate Canadian Revolving Credit Exposure or the aggregate Australian Revolving Credit Exposure, as the case may be, after giving effect thereto, and (ii) if the aggregate U.S. Revolving Credit Exposure, the aggregate Canadian Revolving Credit Exposure or the Australian Revolving Credit Exposure, as the case may be, would exceed the Total U.S. Revolving Commitment, Total Canadian Revolving Commitment or Total Australian Revolving Commitment, respectively, after giving effect to such reduction, then the U.S. Borrowers, the Parent Borrower, or the Australian Borrower, as the case may be, shall, on the date of such reduction, repay or prepay Borrowings of Revolving Credit Loans (or defease BBSY Rate Borrowings as described in Section 2.11(a)) and/or replace or cash collateralize outstanding Letters of Credit in an amount sufficient to eliminate such excess. If on any date, the aggregate U.S. Revolving Credit Exposure exceeds the Total U.S. Revolving Commitment, then within two Business Days following such date, the U.S. Borrowers shall repay or prepay U.S. Revolving Borrowings and/or replace or cash collateralize outstanding U.S. Letters of Credit in an amount sufficient to eliminate such excess. If on any date, the aggregate Canadian Revolving Credit Exposure exceeds the Total Canadian Revolving Commitment, then within two Business Days following such date, the Parent Borrower shall repay or prepay Canadian Revolving Borrowings and/or replace or cash collateralize outstanding Canadian Letters of Credit in an amount sufficient to eliminate such excess. If on any date, the aggregate Australian Revolving Credit Exposure exceeds the Total Australian Revolving Commitment, then within two Business Days following such date, the Australian Borrower shall repay or prepay Australian Revolving Borrowings (or defease BBSY Rate Borrowings as described in Section 2.11(a)) and/or replace or cash collateralize outstanding Australian Letters of Credit in an amount sufficient to eliminate such excess.</w:t>
      </w:r>
    </w:p>
    <w:p>
      <w:pPr>
        <w:spacing w:after="0" w:line="200" w:lineRule="exact"/>
        <w:rPr>
          <w:sz w:val="20"/>
          <w:szCs w:val="20"/>
          <w:color w:val="auto"/>
        </w:rPr>
      </w:pPr>
    </w:p>
    <w:p>
      <w:pPr>
        <w:spacing w:after="0" w:line="3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78" w:name="page79"/>
    <w:bookmarkEnd w:id="78"/>
    <w:p>
      <w:pPr>
        <w:ind w:left="1940" w:hanging="636"/>
        <w:spacing w:after="0"/>
        <w:tabs>
          <w:tab w:leader="none" w:pos="1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at any time there are any Canadian Revolving Credit Loans or U.S. Revolving Credit Loans then outstanding, Excess Cash on deposit in Canada and the United States exceeds $15,000,000 for a period of more than five consecutive Business Days, the Borrowers shall make mandatory prepayments of Canadian Revolving Credit Loans and U.S. Revolving Credit Loans in an amount equal to the lesser of (A) an amount sufficient to reduce the aggregate amount of Excess Cash on deposit in Canada and the United States after such prepayment to below $15,000,000 or (B) an amount sufficient to repay all Canadian Revolving Credit Loans and U.S. Revolving Credit Loans outstanding hereunder, in each case, such prepayment shall be made within five Business Days or (ii) at any time there are Australian Revolving Credit Loans then outstanding, Excess Cash on deposit in Australia exceeds AUS$15,000,000 for a period of more than five consecutive Business Days, the Australian Borrower shall make mandatory prepayments of Australian Revolving Credit Loans (or, in respect of BBSY Rate Loans, defease such BBSY Rate Loans in accordance with the procedures set forth in Section 2.11(a)) in an amount equal to the lesser of (A) an amount sufficient to reduce the aggregate amount of Excess Cash on deposit in Australia after such prepayment to below $15,000,000 or (B) an amount sufficient to repay all Australian Revolving Credit Loans outstanding hereunder, in each case, such prepayment shall be made within five Business Days.</w:t>
      </w:r>
    </w:p>
    <w:p>
      <w:pPr>
        <w:spacing w:after="0" w:line="14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2.13</w:t>
      </w:r>
      <w:r>
        <w:rPr>
          <w:sz w:val="20"/>
          <w:szCs w:val="20"/>
          <w:color w:val="auto"/>
        </w:rPr>
        <w:tab/>
      </w:r>
      <w:r>
        <w:rPr>
          <w:rFonts w:ascii="Times New Roman" w:cs="Times New Roman" w:eastAsia="Times New Roman" w:hAnsi="Times New Roman"/>
          <w:sz w:val="21"/>
          <w:szCs w:val="21"/>
          <w:b w:val="1"/>
          <w:bCs w:val="1"/>
          <w:i w:val="1"/>
          <w:iCs w:val="1"/>
          <w:color w:val="auto"/>
        </w:rPr>
        <w:t>Increased Costs; Capital Requirements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07"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if any Change in Law shall (i) impose, modify or deem applicable any reserve, special deposit, compulsory loan, insurance charge or similar requirement against assets of, deposits with or for the account of or credit extended or participated in by any Lender or Issuing Bank (except any such reserve requirement which is reflected in Adjusted Term SOFR, Adjusted Term CORRA or the BBSY Rate), (ii) subject any Lender or any Issuing Bank to any Taxes (other than (A) Indemnified Taxes, (B) Taxes described in clauses (b) through (h) of the definition of Excluded Taxes and (C) Connection Income Taxes) on its loans, loan principal, letters of credit, commitments, or other obligations, or its deposits, reserves, other liabilities or capital attributable thereto; or (iii) impose on any Lender or Issuing Bank, any other condition, cost or expense (other than Taxes) affecting this Agreement or SOFR Loans, Term CORRA Loans or BBSY Rate Loans made by such Lender or any Letter of Credit or participation therein, and the result of any of the foregoing shall be to increase the cost to such Lender or Issuing Bank of making or maintaining any SOFR Loan, Term CORRA Loan or BBSY Rate Loan (or of maintaining its obligation to make any such Loan) or increase the cost to any Lender or Issuing Bank of issuing or maintaining any Letter of Credit or purchasing or maintaining a participation therein or to reduce the amount of any sum received or receivable by such Lender or Issuing Bank hereunder (whether of principal, interest or otherwise), in each case, by an amount deemed by such Lender or Issuing Bank (acting reasonably) to be material, then, the Applicable Borrower will pay to such Lender or Issuing Bank, as the case may be, upon demand in accordance with paragraph (c) below such additional amount or amounts as will compensate such Lender or Issuing Bank, as the case may be, for such additional costs incurred or reduction suffered.</w:t>
      </w:r>
    </w:p>
    <w:p>
      <w:pPr>
        <w:spacing w:after="0" w:line="154"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Issuing Bank (acting reasonably) shall have determined that any Change in Law affecting such Lender or Issuing Bank or any lending office of such Lender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79" w:name="page80"/>
    <w:bookmarkEnd w:id="79"/>
    <w:p>
      <w:pPr>
        <w:jc w:val="both"/>
        <w:spacing w:after="0" w:line="212" w:lineRule="auto"/>
        <w:rPr>
          <w:sz w:val="20"/>
          <w:szCs w:val="20"/>
          <w:color w:val="auto"/>
        </w:rPr>
      </w:pPr>
      <w:r>
        <w:rPr>
          <w:rFonts w:ascii="Times New Roman" w:cs="Times New Roman" w:eastAsia="Times New Roman" w:hAnsi="Times New Roman"/>
          <w:sz w:val="22"/>
          <w:szCs w:val="22"/>
          <w:color w:val="auto"/>
        </w:rPr>
        <w:t>Loans made by, or participations in Letters of Credit or Swing Line Loans held by, such Lender pursuant hereto, or the Letters of Credit issued by such Issuing Bank pursuant hereto,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by an amount deemed by such Lender or Issuing Bank (acting reasonably) to be material, then from time to time in accordance with paragraph (c) below the Applicable Borrower shall pay to such Lender or Issuing Bank, as the case may be, such additional amount or amounts as will compensate such Lender or Issuing Bank or such Lender’s or Issuing Bank’s holding company for any such reduction suffered.</w:t>
      </w:r>
    </w:p>
    <w:p>
      <w:pPr>
        <w:spacing w:after="0" w:line="156" w:lineRule="exact"/>
        <w:rPr>
          <w:sz w:val="20"/>
          <w:szCs w:val="20"/>
          <w:color w:val="auto"/>
        </w:rPr>
      </w:pPr>
    </w:p>
    <w:p>
      <w:pPr>
        <w:jc w:val="both"/>
        <w:ind w:firstLine="1304"/>
        <w:spacing w:after="0" w:line="220"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or Issuing Bank setting forth the amount or amounts necessary to compensate such Lender or Issuing Bank or its holding company, as applicable, as specified in paragraph (a) or (b) above shall be delivered to the Applicable Borrower and shall be conclusive absent manifest error. The Applicable Borrower shall pay such Lender or the Issuing Bank the amount shown as due on any such certificate delivered by it within 10 days after its receipt of the same.</w:t>
      </w:r>
    </w:p>
    <w:p>
      <w:pPr>
        <w:spacing w:after="0" w:line="152"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or Issuing Bank to demand compensation for any increased costs or reduction in amounts received or receivable or reduction in return on capital shall not constitute a waiver of such Lender’s or Issuing Bank’s right to demand such compensation;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Borrowers shall not be under any obligation to compensate any Lender or Issuing Bank under paragraph (a) or (b) above with respect to increased costs or reductions with respect to any period prior to the date that is 120 days prior to such request if such Lender or Issuing Bank knew or could reasonably have been expected to know of the circumstances giving rise to such increased costs or reductions and of the fact that such circumstances would result in a claim for increased compensation by reason of such increased costs or reductions;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foregoing limitation shall not apply to any increased costs or reductions arising out of the retroactive application of any Change in Law within such 120 day period. The protection of this Section shall be available to each Lender and Issuing Bank regardless of any possible contention of the invalidity or inapplicability of the Change in Law that shall have occurred or been imposed.</w:t>
      </w:r>
    </w:p>
    <w:p>
      <w:pPr>
        <w:spacing w:after="0" w:line="14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Section 2.14 </w:t>
      </w:r>
      <w:r>
        <w:rPr>
          <w:rFonts w:ascii="Times New Roman" w:cs="Times New Roman" w:eastAsia="Times New Roman" w:hAnsi="Times New Roman"/>
          <w:sz w:val="22"/>
          <w:szCs w:val="22"/>
          <w:b w:val="1"/>
          <w:bCs w:val="1"/>
          <w:i w:val="1"/>
          <w:iCs w:val="1"/>
          <w:color w:val="auto"/>
        </w:rPr>
        <w:t>Change in Legality</w:t>
      </w:r>
      <w:r>
        <w:rPr>
          <w:rFonts w:ascii="Times New Roman" w:cs="Times New Roman" w:eastAsia="Times New Roman" w:hAnsi="Times New Roman"/>
          <w:sz w:val="22"/>
          <w:szCs w:val="22"/>
          <w:color w:val="auto"/>
        </w:rPr>
        <w:t>. Notwithstanding any other provision of this Agreement, if any Change in Law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it unlawful, or any Governmental Authority has asserted that it is unlawful, for any Lender to make, maintain or fund Loans whose interest is determined by reference to SOFR, Term SOFR or Adjusted Term CORRA, or to determine or charge interest rates based upon SOFR, Term SOFR or Adjusted Term CORRA, then, upon notice thereof by such Lender to the Borrowers (through the Administrative Agent) (such notice, an “</w:t>
      </w:r>
      <w:r>
        <w:rPr>
          <w:rFonts w:ascii="Times New Roman" w:cs="Times New Roman" w:eastAsia="Times New Roman" w:hAnsi="Times New Roman"/>
          <w:sz w:val="22"/>
          <w:szCs w:val="22"/>
          <w:i w:val="1"/>
          <w:iCs w:val="1"/>
          <w:color w:val="auto"/>
        </w:rPr>
        <w:t>Illegality Notice</w:t>
      </w:r>
      <w:r>
        <w:rPr>
          <w:rFonts w:ascii="Times New Roman" w:cs="Times New Roman" w:eastAsia="Times New Roman" w:hAnsi="Times New Roman"/>
          <w:sz w:val="22"/>
          <w:szCs w:val="22"/>
          <w:color w:val="auto"/>
        </w:rPr>
        <w:t>”), (a) any obligation of such Lender to make or continue SOFR Loans or Term CORRA Loans, as applicable, or to convert ABR Loans or U.S. Base Rate Loans to SOFR Loans or to convert Canadian Prime Rate Loans to Term CORRA Loans shall be suspended, and (b) if such notice asserts the illegality of such Lender making or maintaining ABR Loans or U.S. Base Rate Loans the interest rate on which is determined by reference to the Term SOFR component of Alternate Base Rate or U.S. Base Rate, the interest rate on which ABR Loans or U.S. Base Rate Loans of such Lender shall, if necessary to avoid such illegality, be determined by the Administrative Agent without reference to the Term SOFR component of Alternate Base Rate or U.S. Base Rate, and (c) if such notice asserts the illegality of such Lender making or maintaining Canadian Prime Rate Loans the interest rate on which is determined by reference to the Term CORRA component of Canadian Prime Rate, the interest rate on which Canadian Prime Rate Loans of such Lender shall, if necessary to avoid such illegality, be determined by the Applicable Administrative Agent without reference to the Term CORRA component of</w:t>
      </w:r>
    </w:p>
    <w:p>
      <w:pPr>
        <w:spacing w:after="0" w:line="3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0" w:name="page81"/>
    <w:bookmarkEnd w:id="80"/>
    <w:p>
      <w:pPr>
        <w:jc w:val="both"/>
        <w:spacing w:after="0" w:line="206" w:lineRule="auto"/>
        <w:rPr>
          <w:sz w:val="20"/>
          <w:szCs w:val="20"/>
          <w:color w:val="auto"/>
        </w:rPr>
      </w:pPr>
      <w:r>
        <w:rPr>
          <w:rFonts w:ascii="Times New Roman" w:cs="Times New Roman" w:eastAsia="Times New Roman" w:hAnsi="Times New Roman"/>
          <w:sz w:val="22"/>
          <w:szCs w:val="22"/>
          <w:color w:val="auto"/>
        </w:rPr>
        <w:t>Canadian Prime Rate, in each case, until such Lender notifies the Administrative Agent and the Borrowers that the circumstances giving rise to such determination no longer exist. Upon receipt of an Illegality Notice, the Borrowers shall prepay or, if applicable, convert (i) all SOFR Loans to ABR Loans or U.S. Base Rate Loans (the interest rate on which ABR Loans or U.S. Base Rate Loans shall, if necessary to avoid such illegality, be determined by the Administrative Agent without reference to the Term SOFR component of Alternate Base Rate or U.S. Base Rate), either on the last day of the Interest Period therefor, if all affected Lenders may lawfully continue to maintain such SOFR Loan to such day, or immediately, if all affected Lenders may not lawfully continue to maintain such SOFR Loan and all Term CORRA Loans of such Lender to Canadian Prime Rate Loans, either on the last day of the Interest Period, if such Lender may lawfully continue to maintain such Term CORRA Loans to such day, or immediately, if such Lender may not lawfully continue to maintain such Term CORRA Loans, in each case, until the Administrative Agent is advised in writing by each affected Lender that it is no longer illegal for such Lender to determine or charge interest rates based upon SOFR, the Term SOFR Reference Rate, Adjusted Term SOFR, Term SOFR, Term CORRA or Adjusted Term CORRA, as appliable. Upon any such prepayment or conversion following receipt of an Illegality Notice, the Borrower shall also pay accrued interest on the amount so prepaid or converted, together with any additional amounts required pursuant to Section 2.13 and Section 2.15.</w:t>
      </w:r>
    </w:p>
    <w:p>
      <w:pPr>
        <w:spacing w:after="0" w:line="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Section 2.15 </w:t>
      </w:r>
      <w:r>
        <w:rPr>
          <w:rFonts w:ascii="Times New Roman" w:cs="Times New Roman" w:eastAsia="Times New Roman" w:hAnsi="Times New Roman"/>
          <w:sz w:val="21"/>
          <w:szCs w:val="21"/>
          <w:b w:val="1"/>
          <w:bCs w:val="1"/>
          <w:i w:val="1"/>
          <w:iCs w:val="1"/>
          <w:color w:val="auto"/>
        </w:rPr>
        <w:t>Breakage Costs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Borrowers hereby severally indemnify each Lender against any loss or expense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Lender may sustain or incur as a consequence of (a) any event, other than a default by such Lender in the performance of its obligations hereunder, which results in (i) such Lender receiving or being deemed to receive any amount on account of the principal of any SOFR Loan, Term CORRA Loan or BBSY Rate Loan prior to the end of the Interest Period in effect therefor, including, without limitation, as a result of any prepayment, the acceleration of the maturity of the Obligations or for any other reason, (ii) the conversion of any SOFR Loan to an ABR Loan or U.S. Base Rate Loans, the conversion of any Term CORRA Loan to a Canadian Prime Rate Loan or the conversion of the Interest Period with respect to any SOFR Loan, Term CORRA Loan or BBSY Rate Loan, in each case other than on the last day of the Interest Period in effect therefor, (iii) any SOFR Loan, Term CORRA Loan or BBSY Rate Loan to be made by such Lender (including any SOFR Loan, Term CORRA Loan or BBSY Rate Loan to be made pursuant to a conversion or continuation under Section 2.10) not being made after notice of such Loan shall have been given by a Borrower hereunder or (iv) other than with respect to any Defaulting Lender, any assignment of a SOFR Loan, Term CORRA Loan or BBSY Rate Loan is made other than on the last day of the Interest Period for such Loan as a result of a request by the Applicable Borrower pursuant to Section 2.20 (any of the events referred to in this clause (a) being called a “</w:t>
      </w:r>
      <w:r>
        <w:rPr>
          <w:rFonts w:ascii="Times New Roman" w:cs="Times New Roman" w:eastAsia="Times New Roman" w:hAnsi="Times New Roman"/>
          <w:sz w:val="21"/>
          <w:szCs w:val="21"/>
          <w:i w:val="1"/>
          <w:iCs w:val="1"/>
          <w:color w:val="auto"/>
        </w:rPr>
        <w:t>Breakage Event</w:t>
      </w:r>
      <w:r>
        <w:rPr>
          <w:rFonts w:ascii="Times New Roman" w:cs="Times New Roman" w:eastAsia="Times New Roman" w:hAnsi="Times New Roman"/>
          <w:sz w:val="21"/>
          <w:szCs w:val="21"/>
          <w:color w:val="auto"/>
        </w:rPr>
        <w:t>”) or (b) any default in the making of any payment or prepayment required to be made hereunder. In the case of any Breakage Event, such loss shall include an amount equal to the excess, as reasonably determined by such Lender, of</w:t>
      </w:r>
    </w:p>
    <w:p>
      <w:pPr>
        <w:spacing w:after="0" w:line="10" w:lineRule="exact"/>
        <w:rPr>
          <w:sz w:val="20"/>
          <w:szCs w:val="20"/>
          <w:color w:val="auto"/>
        </w:rPr>
      </w:pPr>
    </w:p>
    <w:p>
      <w:pPr>
        <w:jc w:val="both"/>
        <w:ind w:firstLine="8"/>
        <w:spacing w:after="0" w:line="204" w:lineRule="auto"/>
        <w:tabs>
          <w:tab w:leader="none" w:pos="26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cost of obtaining funds for the SOFR Loan, Term CORRA Loan or BBSY Rate Loan that is the subject of such Breakage Event for the period from the date of such Breakage Event to the last day of the Interest Period in effect (or that would have been in effect) for such Loan over (ii) the amount of interest likely to be realized by such Lender in redeploying the funds released or not utilized by reason of such Breakage Event for such period. A certificate of any Lender setting forth any amount or amounts which such Lender is entitled to receive pursuant to this Section 2.15 shall be delivered to the Applicable Borrower and the Applicable Administrative Agent and shall be conclusive absent manifest error. The Applicable Borrower shall pay such Lender the amount shown as due on any such certificate delivered by it within 10 days after its receipt of the same.</w:t>
      </w:r>
    </w:p>
    <w:p>
      <w:pPr>
        <w:spacing w:after="0" w:line="6" w:lineRule="exact"/>
        <w:rPr>
          <w:rFonts w:ascii="Times New Roman" w:cs="Times New Roman" w:eastAsia="Times New Roman" w:hAnsi="Times New Roman"/>
          <w:sz w:val="22"/>
          <w:szCs w:val="22"/>
          <w:color w:val="auto"/>
        </w:rPr>
      </w:pPr>
    </w:p>
    <w:p>
      <w:pPr>
        <w:jc w:val="both"/>
        <w:ind w:firstLine="648"/>
        <w:spacing w:after="0" w:line="2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Section 2.16 </w:t>
      </w:r>
      <w:r>
        <w:rPr>
          <w:rFonts w:ascii="Times New Roman" w:cs="Times New Roman" w:eastAsia="Times New Roman" w:hAnsi="Times New Roman"/>
          <w:sz w:val="22"/>
          <w:szCs w:val="22"/>
          <w:b w:val="1"/>
          <w:bCs w:val="1"/>
          <w:i w:val="1"/>
          <w:iCs w:val="1"/>
          <w:color w:val="auto"/>
        </w:rPr>
        <w:t>Pro Rata Treatment</w:t>
      </w:r>
      <w:r>
        <w:rPr>
          <w:rFonts w:ascii="Times New Roman" w:cs="Times New Roman" w:eastAsia="Times New Roman" w:hAnsi="Times New Roman"/>
          <w:sz w:val="22"/>
          <w:szCs w:val="22"/>
          <w:color w:val="auto"/>
        </w:rPr>
        <w:t>. Except as required under Section 2.14, each Borrowing, each payment or prepayment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principal of any Borrowing, each payment of interest on any Class of Loans, each payment of the Commitment Fees with respect to any Class of Loans, each reduction of the Commitments and each conversion of any Borrowing to or</w:t>
      </w:r>
    </w:p>
    <w:p>
      <w:pPr>
        <w:spacing w:after="0" w:line="3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69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1" w:name="page82"/>
    <w:bookmarkEnd w:id="81"/>
    <w:p>
      <w:pPr>
        <w:spacing w:after="0" w:line="216" w:lineRule="auto"/>
        <w:rPr>
          <w:sz w:val="20"/>
          <w:szCs w:val="20"/>
          <w:color w:val="auto"/>
        </w:rPr>
      </w:pPr>
      <w:r>
        <w:rPr>
          <w:rFonts w:ascii="Times New Roman" w:cs="Times New Roman" w:eastAsia="Times New Roman" w:hAnsi="Times New Roman"/>
          <w:sz w:val="22"/>
          <w:szCs w:val="22"/>
          <w:color w:val="auto"/>
        </w:rPr>
        <w:t>continuation of any Borrowing as a Borrowing of any Type shall be allocated pro rata among the Applicable Lenders in accordance with their Applicable Pro Rata Percentages.</w:t>
      </w:r>
    </w:p>
    <w:p>
      <w:pPr>
        <w:ind w:left="660"/>
        <w:spacing w:after="0" w:line="215"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2.17</w:t>
      </w:r>
      <w:r>
        <w:rPr>
          <w:sz w:val="20"/>
          <w:szCs w:val="20"/>
          <w:color w:val="auto"/>
        </w:rPr>
        <w:tab/>
      </w:r>
      <w:r>
        <w:rPr>
          <w:rFonts w:ascii="Times New Roman" w:cs="Times New Roman" w:eastAsia="Times New Roman" w:hAnsi="Times New Roman"/>
          <w:sz w:val="21"/>
          <w:szCs w:val="21"/>
          <w:b w:val="1"/>
          <w:bCs w:val="1"/>
          <w:i w:val="1"/>
          <w:iCs w:val="1"/>
          <w:color w:val="auto"/>
        </w:rPr>
        <w:t>Sharing of Setoffs</w:t>
      </w:r>
      <w:r>
        <w:rPr>
          <w:rFonts w:ascii="Times New Roman" w:cs="Times New Roman" w:eastAsia="Times New Roman" w:hAnsi="Times New Roman"/>
          <w:sz w:val="21"/>
          <w:szCs w:val="21"/>
          <w:color w:val="auto"/>
        </w:rPr>
        <w:t>.</w:t>
      </w:r>
    </w:p>
    <w:p>
      <w:pPr>
        <w:jc w:val="both"/>
        <w:ind w:firstLine="1304"/>
        <w:spacing w:after="0" w:line="206"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Canadian Revolving Lender agrees that if it shall, through the exercise of a right of banker’s lien, setoff or counterclaim against a Borrower or any other Loan Party, or pursuant to a secured claim or other security or interest arising from, or in lieu of, such secured claim, received by such Canadian Revolving Lender under any applicable Insolvency Law or otherwise, or by any other means, obtain payment (voluntary or involuntary) in respect of any Canadian Revolving Loan as a result of which the unpaid portion of its Canadian Revolving Loans shall be proportionately less than the unpaid portion of the Canadian Revolving Loans of any other Canadian Revolving Lender of the same Class, it shall (i) notify the Applicable Administrative Agent of such fact and (ii) be deemed simultaneously to have purchased from such other Canadian Revolving Lender at face value, and shall promptly pay to such other Canadian Revolving Lender the purchase price for, a participation in the Canadian Revolving Loans of the same Class of such other Canadian Revolving Lender and, if applicable, subparticipations in Canadian L/C Exposure and Canadian Swing Line Loans of such other Canadian Revolving Lender, or make such other adjustments as shall be equitable, so that the aggregate unpaid amount of the Canadian Revolving Loans and participations in Canadian L/C Exposure and Canadian Swing Line Loans held by each Canadian Revolving Lender shall be in the same proportion to the aggregate unpaid amount of all Canadian Revolving Loans, Canadian L/C Exposure and Canadian Swing Line Loans then outstanding of the same Class as the amount of its Canadian Revolving Loans, Canadian L/C Exposure and Canadian Swing Line Loans prior to such exercise of banker’s lien, setoff or counterclaim or other event was to the amount of all Canadian Revolving Loans, Canadian L/C Exposure and Canadian Swing Line Loans outstanding prior to such exercise of banker’s lien, setoff or counterclaim or other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such purchase, purchases, subparticipations or adjustments shall be made pursuant to this Section 2.17(a)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69"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U.S. Lender agrees that if it shall, through the exercise of a right of banker’s lien, setoff or counterclaim against a Borrower or any other Loan Party, or pursuant to a secured claim or other security or interest arising from, or in lieu of, such secured claim, received by such U.S. Lender under any applicable Insolvency Law or otherwise, or by any other means, obtain payment (voluntary or involuntary) in respect of any U.S. Loan as a result of which the unpaid portion of its U.S. Loans shall be proportionately less than the unpaid portion of the U.S. Loans of any other U.S. Lender of the same Class, it shall (i) notify the Applicable Administrative Agent of such fact and (ii) be deemed simultaneously to have purchased from such other U.S. Lender at face value, and shall promptly pay to such other U.S. Lender the purchase price for, a participation in the U.S. Loans of the same Class of such other U.S. Lenders and, if applicable, subparticipations in the U.S. L/C Exposure and U.S. Swing Line Loans of such other U.S. Lenders, or make such other adjustments as shall be equitable, so that the aggregate unpaid amount of the U.S. Loans and participations in U.S. Loans, U.S. L/C Exposure and U.S. Swing Line Loans held by each U.S. Lender shall be in the same proportion to the aggregate unpaid amount of all U.S. Loans, U.S. L/C Exposure and U.S. Swing Line Loans then outstanding of the same Class as the amount of its U.S. Loans, U.S. L/C Exposure and U.S. Swing Line Loans prior to such exercise of banker’s lien, setoff or counterclaim or other event was to the amount of all U.S. Loans, U.S. L/C Exposure and U.S. Swing Line Loans outstanding prior to such exercise of banker’s lien, setoff or counterclaim or other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any such purchase, purchases, subparticipations or adjustments shall be made pursuant to this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2.17(b) and the payment giving rise thereto shall thereafter be recovered, such</w:t>
      </w: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2" w:name="page83"/>
    <w:bookmarkEnd w:id="82"/>
    <w:p>
      <w:pPr>
        <w:ind w:right="20"/>
        <w:spacing w:after="0" w:line="236" w:lineRule="auto"/>
        <w:rPr>
          <w:sz w:val="20"/>
          <w:szCs w:val="20"/>
          <w:color w:val="auto"/>
        </w:rPr>
      </w:pPr>
      <w:r>
        <w:rPr>
          <w:rFonts w:ascii="Times New Roman" w:cs="Times New Roman" w:eastAsia="Times New Roman" w:hAnsi="Times New Roman"/>
          <w:sz w:val="22"/>
          <w:szCs w:val="22"/>
          <w:color w:val="auto"/>
        </w:rPr>
        <w:t>purchase, purchases, subparticipations or adjustments shall be rescinded to the extent of such recovery and the purchase price or prices or adjustment restored without interest.</w:t>
      </w:r>
    </w:p>
    <w:p>
      <w:pPr>
        <w:spacing w:after="0" w:line="150" w:lineRule="exact"/>
        <w:rPr>
          <w:sz w:val="20"/>
          <w:szCs w:val="20"/>
          <w:color w:val="auto"/>
        </w:rPr>
      </w:pPr>
    </w:p>
    <w:p>
      <w:pPr>
        <w:jc w:val="both"/>
        <w:ind w:firstLine="1304"/>
        <w:spacing w:after="0" w:line="208" w:lineRule="auto"/>
        <w:tabs>
          <w:tab w:leader="none" w:pos="19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Australian Lender agrees that if it shall, through the exercise of a right of banker’s lien, setoff or counterclaim against a Borrower or any other Loan Party, or pursuant to a secured claim or other security or interest arising from, or in lieu of, such secured claim, received by such Australian Lender under any applicable Insolvency Law or otherwise, or by any other means, obtain payment (voluntary or involuntary) in respect of any Australian Revolving Credit Loan as a result of which the unpaid portion of its Australian Revolving Credit Loans shall be proportionately less than the unpaid portion of the Australian Revolving Credit Loans of any other Australian Lender of the same Class, it shall (i) notify the Applicable Administrative Agent of such fact and (ii) be deemed simultaneously to have purchased from such other Australian Lender at face value, and shall promptly pay to such other Australian Lender the purchase price for, a participation in the Australian Revolving Credit Loans of the same Class of such other Australian Lender and, if applicable, subparticipations in Australian L/C Exposure of such other Australian Lender, or make such other adjustments as shall be equitable, so that the aggregate unpaid amount of the Australian Revolving Credit Loans and participations in Australian Revolving Credit Loans and Australian L/C Exposure held by each Australian Lender shall be in the same proportion to the aggregate unpaid amount of all Australian Revolving Credit Loans, Australian L/C Exposure then outstanding of the same Class as the amount of its Australian Revolving Credit Loans, Australian L/C Exposure prior to such exercise of banker’s lien, setoff or counterclaim or other event was to the amount of all Australian Revolving Credit Loans and Australian L/C Exposure outstanding prior to such exercise of banker’s lien, setoff or counterclaim or other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such purchase, purchases, subparticipations or adjustments shall be made pursuant to this Section 2.17(c) and the payment giving rise thereto shall thereafter be recovered, such purchase, purchases, subparticipations or adjustments shall be rescinded to the extent of such recovery and the purchase price or prices or adjustment restored without interest.</w:t>
      </w:r>
    </w:p>
    <w:p>
      <w:pPr>
        <w:spacing w:after="0" w:line="154"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Bilateral Lender (in such capacity as the lender under the Bilateral Agreement and not in its capacity as a Lender under this Agreement) receives or recovers any money in respect of any sum due from an Australian Loan Party and applies such amounts against the Bilateral Obligations (including recoveries by way of set off) (“</w:t>
      </w:r>
      <w:r>
        <w:rPr>
          <w:rFonts w:ascii="Times New Roman" w:cs="Times New Roman" w:eastAsia="Times New Roman" w:hAnsi="Times New Roman"/>
          <w:sz w:val="22"/>
          <w:szCs w:val="22"/>
          <w:i w:val="1"/>
          <w:iCs w:val="1"/>
          <w:color w:val="auto"/>
        </w:rPr>
        <w:t>Turnover Money</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left="660" w:right="20" w:firstLine="1292"/>
        <w:spacing w:after="0" w:line="225" w:lineRule="auto"/>
        <w:tabs>
          <w:tab w:leader="none" w:pos="259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Default has occurred and is continuing under this Agreement and the Australian Collateral Agent has enforced its rights and remedies under the Australian Security Documents as contemplated by Sections 7.02 or 7.03; or</w:t>
      </w:r>
    </w:p>
    <w:p>
      <w:pPr>
        <w:spacing w:after="0" w:line="15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paragraph (i) above does not apply, but an Event of Default has occurred and is continuing under</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w:t>
      </w:r>
    </w:p>
    <w:p>
      <w:pPr>
        <w:spacing w:after="0" w:line="1" w:lineRule="exact"/>
        <w:rPr>
          <w:sz w:val="20"/>
          <w:szCs w:val="20"/>
          <w:color w:val="auto"/>
        </w:rPr>
      </w:pPr>
    </w:p>
    <w:p>
      <w:pPr>
        <w:ind w:left="2600" w:hanging="648"/>
        <w:spacing w:after="0"/>
        <w:tabs>
          <w:tab w:leader="none" w:pos="26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paragraph (i) above:</w:t>
      </w:r>
    </w:p>
    <w:p>
      <w:pPr>
        <w:spacing w:after="0" w:line="155"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3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Bilateral Lender will promptly notify the Australian Collateral Agent and pay an amount equal to the Turnover Money to the Australian Collateral Agent (unless the Australian Collateral Agent directs otherwise on the instructions of the Applicable Required Lenders); and</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3" w:name="page84"/>
    <w:bookmarkEnd w:id="83"/>
    <w:p>
      <w:pPr>
        <w:ind w:left="1300" w:right="20" w:firstLine="1300"/>
        <w:spacing w:after="0" w:line="236" w:lineRule="auto"/>
        <w:tabs>
          <w:tab w:leader="none" w:pos="3238"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Australian Collateral Agent will deal with the Turnover Money as if it were a payment by the Australian Loan Parties under this Agreement; and</w:t>
      </w:r>
    </w:p>
    <w:p>
      <w:pPr>
        <w:spacing w:after="0" w:line="150"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paragraph (ii) above:</w:t>
      </w:r>
    </w:p>
    <w:p>
      <w:pPr>
        <w:spacing w:after="0" w:line="179"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3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Bilateral Lender will promptly notify the Australian Administrative Agent and pay an amount equal to the Turnover Money to the Australian Administrative Agent (unless the Australian Administrative Agent directs otherwise on the instructions of the Applicable Required Lenders); and</w:t>
      </w:r>
    </w:p>
    <w:p>
      <w:pPr>
        <w:spacing w:after="0" w:line="152" w:lineRule="exact"/>
        <w:rPr>
          <w:rFonts w:ascii="Times New Roman" w:cs="Times New Roman" w:eastAsia="Times New Roman" w:hAnsi="Times New Roman"/>
          <w:sz w:val="20"/>
          <w:szCs w:val="20"/>
          <w:color w:val="auto"/>
        </w:rPr>
      </w:pPr>
    </w:p>
    <w:p>
      <w:pPr>
        <w:jc w:val="both"/>
        <w:ind w:left="1300" w:firstLine="1300"/>
        <w:spacing w:after="0" w:line="225" w:lineRule="auto"/>
        <w:tabs>
          <w:tab w:leader="none" w:pos="323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Australian Administrative Agent will hold the Turnover Money paid to it under paragraph (A) for a period of no greater than 15 Business Days (“</w:t>
      </w:r>
      <w:r>
        <w:rPr>
          <w:rFonts w:ascii="Times New Roman" w:cs="Times New Roman" w:eastAsia="Times New Roman" w:hAnsi="Times New Roman"/>
          <w:sz w:val="22"/>
          <w:szCs w:val="22"/>
          <w:i w:val="1"/>
          <w:iCs w:val="1"/>
          <w:color w:val="auto"/>
        </w:rPr>
        <w:t>Decision Period</w:t>
      </w:r>
      <w:r>
        <w:rPr>
          <w:rFonts w:ascii="Times New Roman" w:cs="Times New Roman" w:eastAsia="Times New Roman" w:hAnsi="Times New Roman"/>
          <w:sz w:val="22"/>
          <w:szCs w:val="22"/>
          <w:color w:val="auto"/>
        </w:rPr>
        <w:t>”) to be applied by the Australian Administrative Agent as follows:</w:t>
      </w:r>
    </w:p>
    <w:p>
      <w:pPr>
        <w:spacing w:after="0" w:line="152" w:lineRule="exact"/>
        <w:rPr>
          <w:rFonts w:ascii="Times New Roman" w:cs="Times New Roman" w:eastAsia="Times New Roman" w:hAnsi="Times New Roman"/>
          <w:sz w:val="20"/>
          <w:szCs w:val="20"/>
          <w:color w:val="auto"/>
        </w:rPr>
      </w:pPr>
    </w:p>
    <w:p>
      <w:pPr>
        <w:jc w:val="both"/>
        <w:ind w:left="1960" w:firstLine="1288"/>
        <w:spacing w:after="0" w:line="215" w:lineRule="auto"/>
        <w:tabs>
          <w:tab w:leader="none" w:pos="3892"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prior to the end of the Decision Period, an Event of Default occurs or has occurred and is continuing under this Agreement and the Australian Collateral Agent enforces its rights and remedies under the Australian Security Documents as contemplated by Section 7.02 or 7.03, the Australian Administrative Agent will immediately pay an amount equal to the Turnover Money to the Australian Collateral Agent on such enforcement and the Australian Collateral Agent shall deal with the Turnover Money as if it were a payment by the Australian Loan Parties under this Agreement; or</w:t>
      </w:r>
    </w:p>
    <w:p>
      <w:pPr>
        <w:spacing w:after="0" w:line="152" w:lineRule="exact"/>
        <w:rPr>
          <w:rFonts w:ascii="Times New Roman" w:cs="Times New Roman" w:eastAsia="Times New Roman" w:hAnsi="Times New Roman"/>
          <w:sz w:val="20"/>
          <w:szCs w:val="20"/>
          <w:color w:val="auto"/>
        </w:rPr>
      </w:pPr>
    </w:p>
    <w:p>
      <w:pPr>
        <w:ind w:left="1960" w:firstLine="1288"/>
        <w:spacing w:after="0" w:line="236" w:lineRule="auto"/>
        <w:tabs>
          <w:tab w:leader="none" w:pos="3892"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all other circumstances, it will return an amount equal to the Turnover Moneys to the Bilateral Lender for the Bilateral Lender to apply to the Bilateral Obligations.</w:t>
      </w:r>
    </w:p>
    <w:p>
      <w:pPr>
        <w:spacing w:after="0" w:line="177"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21"/>
          <w:szCs w:val="21"/>
          <w:color w:val="auto"/>
        </w:rPr>
        <w:t>The parties agree that the Turnover Money recovered by the Bilateral Lender that is ultimately distributed by the Australian Collateral Agent to the relevant Secured Parties will be taken to have been a payment for the account of the Australian Collateral Agent and not to the Bilateral Lender for its own account (and the liability of an Australian Loan Party to the Bilateral Lender will only be reduced to the extent the Turnover Money is returned the Bilateral Lender as contemplated by Section 2.17(d)(iv)(B)</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(2)). Without limiting this paragraph, the relevant Australian Loan Party shall indemnify the Bilateral Lender against a recovery by the Bilateral Lender of the Turnover Money to the extent that (despite this paragraph), the relevant Australian Loan Party’s liability has been discharged by the recovery or payment. For the avoidance of doubt, the Bilateral Lender’s obligations under this clause Section 2.17(d) to pay any Turnover Moneys to the Australian Administrative Agent or Australian Collateral Agent (as the case may be), is only enlivened when an Event of Default has occurred and is continuing.</w:t>
      </w:r>
    </w:p>
    <w:p>
      <w:pPr>
        <w:spacing w:after="0" w:line="186" w:lineRule="exact"/>
        <w:rPr>
          <w:sz w:val="20"/>
          <w:szCs w:val="20"/>
          <w:color w:val="auto"/>
        </w:rPr>
      </w:pPr>
    </w:p>
    <w:p>
      <w:pPr>
        <w:jc w:val="both"/>
        <w:ind w:right="20" w:firstLine="1304"/>
        <w:spacing w:after="0" w:line="217"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Sections 2.17(a), (b), (c) and (d) shall not be construed to apply to (i) any payment made by a Borrower pursuant to and in accordance with the express terms of this Agreement or (ii) any payment obtained by a Lender as consideration for the assignment of or sale of a participation in any of its Loans or participations in L/C Exposure or Swing Line Loans to any assignee or participant, other than to a Borrower or any Subsidiary thereof (as to which the provisions of Sections 2.17(a), (b) and (c) shall apply).</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4" w:name="page85"/>
    <w:bookmarkEnd w:id="84"/>
    <w:p>
      <w:pPr>
        <w:jc w:val="both"/>
        <w:ind w:firstLine="1304"/>
        <w:spacing w:after="0" w:line="217" w:lineRule="auto"/>
        <w:tabs>
          <w:tab w:leader="none" w:pos="19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expressly consents to the arrangements set forth in Sections 2.17(a), (b), (c) and (d) above and agrees, to the extent it may effectively do so under applicable law, that any Lender holding a participation in a Loan or L/C Exposure pursuant to the foregoing arrangements may exercise against each Loan Party any and all rights of banker’s lien, setoff or counterclaim with respect to such participation as fully as if such Lender were a direct creditor of each Loan Party in the amount of such participation.</w:t>
      </w:r>
    </w:p>
    <w:p>
      <w:pPr>
        <w:spacing w:after="0" w:line="1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2.18</w:t>
      </w:r>
      <w:r>
        <w:rPr>
          <w:sz w:val="20"/>
          <w:szCs w:val="20"/>
          <w:color w:val="auto"/>
        </w:rPr>
        <w:tab/>
      </w:r>
      <w:r>
        <w:rPr>
          <w:rFonts w:ascii="Times New Roman" w:cs="Times New Roman" w:eastAsia="Times New Roman" w:hAnsi="Times New Roman"/>
          <w:sz w:val="21"/>
          <w:szCs w:val="21"/>
          <w:b w:val="1"/>
          <w:bCs w:val="1"/>
          <w:i w:val="1"/>
          <w:iCs w:val="1"/>
          <w:color w:val="auto"/>
        </w:rPr>
        <w:t>Payments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07"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make each payment (including principal of or interest on any Borrowing or any L/C Disbursement or any Fees or other amounts) hereunder and under any other Loan Document not later than 4:00 p.m. (Standard Time) on the date when due in immediately available U.S. dollars (or Canadian dollars, in the case of payments relating to Commitments, Loans and Letters of Credit denominated in Canadian dollars, or Australian dollars, in the case of payments relating to Commitments, Loans and Letters of Credit denominated in Australian dollars), without setoff, defense or counterclaim. Each such payment (other than Issuing Bank Fees, which shall be paid directly to the Applicable Issuing Bank) shall be made to the office of the Applicable Administrative Agent designated by such Applicable Administrative Agent. The Applicable Administrative Agent shall promptly thereafter cause to be distributed like funds relating to the payment of principal, interest or fees ratably (other than amounts payable solely to the Administrative Agent, the Canadian Administrative Agent, the Australian Administrative Agent, a specific Issuing Bank, or a specific Lender pursuant to Sections 2.05, 2.08, 2.13, 2.14, 2.15, 2.19, or 9.05, but after taking into account payments effected pursuant to Section 9.05(a)) in accordance with each Lender’s Applicable Pro Rata Percentage thereof, to the Lenders for the account of their respective applicable lending offices, and like funds relating to the payment of any other amount payable to any Lender or Issuing Bank to such Lender or Issuing Bank for the account of its applicable lending office, in each case to be applied in accordance with the terms of this Agreement.</w:t>
      </w:r>
    </w:p>
    <w:p>
      <w:pPr>
        <w:spacing w:after="0" w:line="16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whenever any payment (including principal of or interest on any Borrowing or any Fees or other amounts) hereunder or under any other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2.19</w:t>
      </w:r>
      <w:r>
        <w:rPr>
          <w:sz w:val="20"/>
          <w:szCs w:val="20"/>
          <w:color w:val="auto"/>
        </w:rPr>
        <w:tab/>
      </w:r>
      <w:r>
        <w:rPr>
          <w:rFonts w:ascii="Times New Roman" w:cs="Times New Roman" w:eastAsia="Times New Roman" w:hAnsi="Times New Roman"/>
          <w:sz w:val="21"/>
          <w:szCs w:val="21"/>
          <w:b w:val="1"/>
          <w:bCs w:val="1"/>
          <w:i w:val="1"/>
          <w:iCs w:val="1"/>
          <w:color w:val="auto"/>
        </w:rPr>
        <w:t>Taxes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ind w:firstLine="1304"/>
        <w:spacing w:after="0" w:line="225"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2.19, the term “Lender” includes any Issuing Bank and the term “applicable law” includes FATCA.</w:t>
      </w:r>
    </w:p>
    <w:p>
      <w:pPr>
        <w:spacing w:after="0" w:line="14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or on account of any obligation of any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Borrower or the applicable Loan Party, as the case may be,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5" w:name="page86"/>
    <w:bookmarkEnd w:id="85"/>
    <w:p>
      <w:pPr>
        <w:jc w:val="both"/>
        <w:ind w:firstLine="1304"/>
        <w:spacing w:after="0" w:line="225"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Loan Parties shall pay any Other Taxes to the relevant Governmental Authority in accordance with applicable law or, at the option of the Applicable Administrative Agent, timely reimburse it for the payment of any Other Taxes.</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severally indemnify each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or an Issuing Bank (with a copy to the Applicable Administrative Agent), or by the Applicable Administrative Agent on its behalf or on behalf of a Lender or Issuing Bank, shall be conclusive absent manifest error.</w:t>
      </w:r>
    </w:p>
    <w:p>
      <w:pPr>
        <w:spacing w:after="0" w:line="15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severally indemnify the Applicable Administrative Agent, within 10 days after demand therefor, for (i) any Indemnified Taxes attributable to such Lender (but only to the extent that any Loan Party has not already indemnified the Applicable Administrative Agent for such Indemnified Taxes and without limiting the obligation of the Loan Parties to do so), (ii) any taxes attributable to such Lender’s failure to comply with the provisions of Section 9.04 relating to the maintenance of a Participant Register and (iii) any Excluded Taxes attributable to such Lender, in each case, that are payable or paid by the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Administrative Agent shall be conclusive absent manifest error. Each Lender hereby authorizes the Applicable Administrative Agent to set off and apply any and all amounts at any time owing to such Lender under any Loan Document or otherwise payable by the Applicable Administrative Agent to the Lender from any other source against any amount due to the Applicable Administrative Agent under this paragraph (e).</w:t>
      </w:r>
    </w:p>
    <w:p>
      <w:pPr>
        <w:spacing w:after="0" w:line="151"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44"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after any payment of Indemnified Taxes or Other Taxes by a Borrower or any other Loan Party to a Governmental Authority, the applicable Loan Party shall deliver to the Applicable Administrative Agent the original or a certified copy of a receipt issued by such Governmental Authority evidencing such payment, a copy of the return reporting such payment or other evidence of such payment reasonably satisfactory to the Applicable Administrative Agent.</w:t>
      </w:r>
    </w:p>
    <w:p>
      <w:pPr>
        <w:spacing w:after="0" w:line="150"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that is entitled to an exemption from or reduction of withholding Tax with respect to payments made under any Loan Documents shall deliver to the Applicable Borrower (with a copy to the Applicable Administrative Agent), at the time or times prescribed by applicable law or reasonably requested by the Applicable Borrower or the Applicable Administrative Agent, such properly completed and executed documentation prescribed by applicable law or reasonably requested by the Applicable Borrower or the Applicable Administrative Agent as will permit such payments to be made without withholding or at a reduced rate of withholding. In addition, any Lender, if requested by the Applicable Borrower or the Applicable Administrative Agent, shall deliver such other documentation prescribed by applicable law or reasonably requested by the Applicable Borrower or the Applicable Administrative Agent as will enable the Applicable Borrower or the Applicable Administrative Agent to determine whether or not such Lender is subject to backup withholding or information reporting requirements. Notwithstanding anything to the contrary in the</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6" w:name="page87"/>
    <w:bookmarkEnd w:id="86"/>
    <w:p>
      <w:pPr>
        <w:jc w:val="both"/>
        <w:spacing w:after="0" w:line="220" w:lineRule="auto"/>
        <w:rPr>
          <w:sz w:val="20"/>
          <w:szCs w:val="20"/>
          <w:color w:val="auto"/>
        </w:rPr>
      </w:pPr>
      <w:r>
        <w:rPr>
          <w:rFonts w:ascii="Times New Roman" w:cs="Times New Roman" w:eastAsia="Times New Roman" w:hAnsi="Times New Roman"/>
          <w:sz w:val="22"/>
          <w:szCs w:val="22"/>
          <w:color w:val="auto"/>
        </w:rPr>
        <w:t>preceding two sentences, the completion, execution and submission of such documentation (other than such documentation set forth in Sections 2.19(g)(ii)(A),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2" w:lineRule="exact"/>
        <w:rPr>
          <w:sz w:val="20"/>
          <w:szCs w:val="20"/>
          <w:color w:val="auto"/>
        </w:rPr>
      </w:pPr>
    </w:p>
    <w:p>
      <w:pPr>
        <w:ind w:left="660" w:firstLine="1292"/>
        <w:spacing w:after="0" w:line="236" w:lineRule="auto"/>
        <w:tabs>
          <w:tab w:leader="none" w:pos="259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Applicable Borrower with respect to such Lender is a U.S. Person:</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17" w:lineRule="auto"/>
        <w:tabs>
          <w:tab w:leader="none" w:pos="323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Lender with respect to such Borrower that is a U.S. Person shall deliver to such Borrower and the Applicable Administrative Agent on or prior to the date on which such Lender becomes a Lender under this Agreement (and from time to time thereafter upon the reasonable request of such Borrower or the Applicable Administrative Agent), executed originals of IRS Form W-9 certifying that such Lender is exempt from U.S. federal backup withholding tax;</w:t>
      </w:r>
    </w:p>
    <w:p>
      <w:pPr>
        <w:spacing w:after="0" w:line="152" w:lineRule="exact"/>
        <w:rPr>
          <w:rFonts w:ascii="Times New Roman" w:cs="Times New Roman" w:eastAsia="Times New Roman" w:hAnsi="Times New Roman"/>
          <w:sz w:val="20"/>
          <w:szCs w:val="20"/>
          <w:color w:val="auto"/>
        </w:rPr>
      </w:pPr>
    </w:p>
    <w:p>
      <w:pPr>
        <w:jc w:val="both"/>
        <w:ind w:left="1300" w:firstLine="1300"/>
        <w:spacing w:after="0" w:line="217" w:lineRule="auto"/>
        <w:tabs>
          <w:tab w:leader="none" w:pos="323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Foreign Lender with respect to such Borrower shall deliver to such Borrower and the Applicable Administrative Agent, in such number of copies as shall be requested by the recipient, (on or prior to the date on which such Foreign Lender becomes a Lender under this Agreement and from time to time thereafter upon the request of such Borrower or the Applicable Administrative Agent), but only if such Foreign Lender is legally entitled to do so, whichever of the following is applicable:</w:t>
      </w:r>
    </w:p>
    <w:p>
      <w:pPr>
        <w:spacing w:after="0" w:line="152" w:lineRule="exact"/>
        <w:rPr>
          <w:rFonts w:ascii="Times New Roman" w:cs="Times New Roman" w:eastAsia="Times New Roman" w:hAnsi="Times New Roman"/>
          <w:sz w:val="20"/>
          <w:szCs w:val="20"/>
          <w:color w:val="auto"/>
        </w:rPr>
      </w:pPr>
    </w:p>
    <w:p>
      <w:pPr>
        <w:jc w:val="both"/>
        <w:ind w:left="1960" w:firstLine="1288"/>
        <w:spacing w:after="0" w:line="213" w:lineRule="auto"/>
        <w:tabs>
          <w:tab w:leader="none" w:pos="3892"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duly completed copies of an applicable IRS Form W-8BEN or W-8BEN-E establishing an exemption from, or reduction of, U.S. federal withholding Tax pursuant to the “interest” article of such tax treaty and (y) with respect to any other applicable payments under any Loan Document, an applicable IRS Form W-8BEN or W-8BEN-E establishing an exemption from, or reduction of, U.S. federal withholding Tax pursuant to the “business profits” or “other income” article of such tax treaty,</w:t>
      </w:r>
    </w:p>
    <w:p>
      <w:pPr>
        <w:spacing w:after="0" w:line="156" w:lineRule="exact"/>
        <w:rPr>
          <w:rFonts w:ascii="Times New Roman" w:cs="Times New Roman" w:eastAsia="Times New Roman" w:hAnsi="Times New Roman"/>
          <w:sz w:val="20"/>
          <w:szCs w:val="20"/>
          <w:color w:val="auto"/>
        </w:rPr>
      </w:pPr>
    </w:p>
    <w:p>
      <w:pPr>
        <w:ind w:left="3880" w:hanging="632"/>
        <w:spacing w:after="0"/>
        <w:tabs>
          <w:tab w:leader="none" w:pos="3880"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duly completed copies of IRS Form W-8ECI,</w:t>
      </w:r>
    </w:p>
    <w:p>
      <w:pPr>
        <w:spacing w:after="0" w:line="179" w:lineRule="exact"/>
        <w:rPr>
          <w:rFonts w:ascii="Times New Roman" w:cs="Times New Roman" w:eastAsia="Times New Roman" w:hAnsi="Times New Roman"/>
          <w:sz w:val="20"/>
          <w:szCs w:val="20"/>
          <w:color w:val="auto"/>
        </w:rPr>
      </w:pPr>
    </w:p>
    <w:p>
      <w:pPr>
        <w:jc w:val="both"/>
        <w:ind w:left="1960" w:firstLine="1288"/>
        <w:spacing w:after="0" w:line="219" w:lineRule="auto"/>
        <w:tabs>
          <w:tab w:leader="none" w:pos="3892" w:val="left"/>
        </w:tabs>
        <w:numPr>
          <w:ilvl w:val="2"/>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substantially in the form of the applicable Exhibit H-1 to the effect that such Foreign Lender is not (A) a “bank” within the meaning of Section 881(c)(3)(A) of the Code, (B) a “10 percent shareholder” of the Applicable Borrower within the meaning of Section 881(c)(3)(B) of the Code, or (C) a “controlled foreign corporation” described in Section 881(c)</w:t>
      </w:r>
    </w:p>
    <w:p>
      <w:pPr>
        <w:spacing w:after="0" w:line="2" w:lineRule="exact"/>
        <w:rPr>
          <w:rFonts w:ascii="Times New Roman" w:cs="Times New Roman" w:eastAsia="Times New Roman" w:hAnsi="Times New Roman"/>
          <w:sz w:val="19"/>
          <w:szCs w:val="19"/>
          <w:color w:val="auto"/>
        </w:rPr>
      </w:pPr>
    </w:p>
    <w:p>
      <w:pPr>
        <w:ind w:left="1960"/>
        <w:spacing w:after="0" w:line="22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(3)(C) of the Code (a “U.S. Tax Compliance Certificate”) and (y) duly completed copies of an applicable IRS Form W-8BEN or W-8BEN-E, or</w:t>
      </w:r>
    </w:p>
    <w:p>
      <w:pPr>
        <w:spacing w:after="0" w:line="149" w:lineRule="exact"/>
        <w:rPr>
          <w:rFonts w:ascii="Times New Roman" w:cs="Times New Roman" w:eastAsia="Times New Roman" w:hAnsi="Times New Roman"/>
          <w:sz w:val="19"/>
          <w:szCs w:val="19"/>
          <w:color w:val="auto"/>
        </w:rPr>
      </w:pPr>
    </w:p>
    <w:p>
      <w:pPr>
        <w:jc w:val="both"/>
        <w:ind w:left="1960" w:firstLine="1288"/>
        <w:spacing w:after="0" w:line="225" w:lineRule="auto"/>
        <w:tabs>
          <w:tab w:leader="none" w:pos="3892"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extent a Foreign Lender is not the beneficial owner, duly completed copies of IRS Form W-8IMY, accompanied by IRS Form W-8ECI, an applicable IRS Form W-8BEN or W-8BEN-E, a</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7" w:name="page88"/>
    <w:bookmarkEnd w:id="87"/>
    <w:p>
      <w:pPr>
        <w:jc w:val="both"/>
        <w:ind w:left="1960"/>
        <w:spacing w:after="0" w:line="217" w:lineRule="auto"/>
        <w:rPr>
          <w:sz w:val="20"/>
          <w:szCs w:val="20"/>
          <w:color w:val="auto"/>
        </w:rPr>
      </w:pPr>
      <w:r>
        <w:rPr>
          <w:rFonts w:ascii="Times New Roman" w:cs="Times New Roman" w:eastAsia="Times New Roman" w:hAnsi="Times New Roman"/>
          <w:sz w:val="22"/>
          <w:szCs w:val="22"/>
          <w:color w:val="auto"/>
        </w:rPr>
        <w:t xml:space="preserve">U.S. Tax Compliance Certificate substantially in the form of Exhibit H-2 or Exhibit H-3, IRS Form W-9,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w:t>
      </w:r>
    </w:p>
    <w:p>
      <w:pPr>
        <w:spacing w:after="0" w:line="152" w:lineRule="exact"/>
        <w:rPr>
          <w:sz w:val="20"/>
          <w:szCs w:val="20"/>
          <w:color w:val="auto"/>
        </w:rPr>
      </w:pPr>
    </w:p>
    <w:p>
      <w:pPr>
        <w:jc w:val="both"/>
        <w:ind w:left="1300" w:firstLine="1300"/>
        <w:spacing w:after="0" w:line="212" w:lineRule="auto"/>
        <w:tabs>
          <w:tab w:leader="none" w:pos="323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Lender shall, to the extent it is legally entitled to do so, deliver to such Borrower and the Applicable Administrative Agent (in such copies as shall be requested by the recipient) on or prior to the date on which such Lender becomes a Lender under this Agreement (and from time to time thereafter upon the reasonable request of such Borrower or the Applicable Administrative Agent), duly completed copies of any other form prescribed by applicable law as a basis for claiming exemption from or a reduction in United States Federal withholding tax duly completed together with such supplementary documentation as may be prescribed by applicable law to permit the Applicable Borrower or the Applicable Administrative Agent to determine the withholding or deduction required to be made; and</w:t>
      </w:r>
    </w:p>
    <w:p>
      <w:pPr>
        <w:spacing w:after="0" w:line="156" w:lineRule="exact"/>
        <w:rPr>
          <w:rFonts w:ascii="Times New Roman" w:cs="Times New Roman" w:eastAsia="Times New Roman" w:hAnsi="Times New Roman"/>
          <w:sz w:val="20"/>
          <w:szCs w:val="20"/>
          <w:color w:val="auto"/>
        </w:rPr>
      </w:pPr>
    </w:p>
    <w:p>
      <w:pPr>
        <w:jc w:val="both"/>
        <w:ind w:left="1300" w:firstLine="1300"/>
        <w:spacing w:after="0" w:line="220" w:lineRule="auto"/>
        <w:tabs>
          <w:tab w:leader="none" w:pos="3235"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If a payment made to an Agent, Lender or Issuing Bank under any Loan Document would be subject to U.S. Federal withholding tax imposed by FATCA if such Agent, Lender or Issuing Bank fails to comply with the applicable reporting requirements of FATCA (including those contained in Section 1471(b) or 1472(b) of the Code, as applicable), such Agent, Lender or Issuing Bank shall deliver to the Applicable Borrower or the Applicable Administrative Agent, at the time or times prescribed by law and at such time or times reasonably requested by the Applicable Borrower or the Applicable Administrative Agent, such documentation prescribed by applicable law (including as prescribed by Section 1471(b)(3)(C)(i) of the Code) and such additional documentation reasonably requested by the Applicable Borrower or the Applicable Administrative Agent as may be necessary for the Applicable Borrower or the Applicable Administrative Agent to comply with its obligations under FATCA, to determine that such Agent, Lender or Issuing Bank has complied with its obligations under FATCA or to determine the amount to deduct and withhold from any such payments. Solely for purposes of this paragraph (i), “</w:t>
      </w:r>
      <w:r>
        <w:rPr>
          <w:rFonts w:ascii="Times New Roman" w:cs="Times New Roman" w:eastAsia="Times New Roman" w:hAnsi="Times New Roman"/>
          <w:sz w:val="21"/>
          <w:szCs w:val="21"/>
          <w:i w:val="1"/>
          <w:iCs w:val="1"/>
          <w:color w:val="auto"/>
        </w:rPr>
        <w:t>FATCA</w:t>
      </w:r>
      <w:r>
        <w:rPr>
          <w:rFonts w:ascii="Times New Roman" w:cs="Times New Roman" w:eastAsia="Times New Roman" w:hAnsi="Times New Roman"/>
          <w:sz w:val="21"/>
          <w:szCs w:val="21"/>
          <w:color w:val="auto"/>
        </w:rPr>
        <w:t>” shall include any amendments made to FATCA after the date of this Agreement.</w:t>
      </w:r>
    </w:p>
    <w:p>
      <w:pPr>
        <w:spacing w:after="0" w:line="151" w:lineRule="exact"/>
        <w:rPr>
          <w:rFonts w:ascii="Times New Roman" w:cs="Times New Roman" w:eastAsia="Times New Roman" w:hAnsi="Times New Roman"/>
          <w:sz w:val="19"/>
          <w:szCs w:val="19"/>
          <w:color w:val="auto"/>
        </w:rPr>
      </w:pPr>
    </w:p>
    <w:p>
      <w:pPr>
        <w:jc w:val="both"/>
        <w:ind w:left="1300" w:firstLine="1300"/>
        <w:spacing w:after="0" w:line="220" w:lineRule="auto"/>
        <w:tabs>
          <w:tab w:leader="none" w:pos="32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Solely for purposes of determining withholding Taxes imposed under FATCA, the Borrowers and the Administrative Agents shall treat (and the Lenders hereby authorize the Administrative Agents to treat) the Loans as not qualifying as a “grandfathered obligation” within the meaning of Treasury Regulation Section 1.1471-2(b)(2)(i).</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Parent Borrower and the Applicable Administrative Agent in writing of its legal inability to do so.</w:t>
      </w:r>
    </w:p>
    <w:p>
      <w:pPr>
        <w:spacing w:after="0" w:line="159" w:lineRule="exact"/>
        <w:rPr>
          <w:sz w:val="20"/>
          <w:szCs w:val="20"/>
          <w:color w:val="auto"/>
        </w:rPr>
      </w:pPr>
    </w:p>
    <w:p>
      <w:pPr>
        <w:ind w:firstLine="1304"/>
        <w:spacing w:after="0" w:line="236"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RBC, as Administrative Agent, shall deliver, on or before the date it becomes a party to this Agreement, to the U.S. Borrowers a duly completed copy of IRS Form</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8" w:name="page89"/>
    <w:bookmarkEnd w:id="88"/>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W-8IMY certifying that it is a “U.S. branch” of a foreign bank and that it agrees to be treated as a U.S. Person with respect to any payments made to it by the U.S. Borrowers under any Loan Document. RBC, as Administrative Agent agrees that if such IRS Form W-8IMY previously delivered expires or becomes obsolete or inaccurate in any respect, it shall update such form if it is legally able to do so or promptly notify the Parent Borrower in writing of its legal inability to do so (including as a result of a change in RBC’s operations). If the Administrative Agent (i) fails to deliver the form required by this Section 2.19(h) or is legally unable to update such form as required by this Section 2.19(h) and (ii) fails to appoint as a sub-agent pursuant to Section 8.05 any Affiliate of the Administrative Agent that is a U.S. Person or that can deliver the form required by this Section 2.19(h), then the Parent Borrower shall have the right to require the appointment of an agent that is a U.S. Person solely for the purposes of receiving U.S. tax forms and administering any required withholding for U.S. Taxes under this Section 2.19;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appointment shall not otherwise affect the rights and obligations of the Administrative Agent set forth in this Agreement.</w:t>
      </w:r>
    </w:p>
    <w:p>
      <w:pPr>
        <w:spacing w:after="0" w:line="152" w:lineRule="exact"/>
        <w:rPr>
          <w:sz w:val="20"/>
          <w:szCs w:val="20"/>
          <w:color w:val="auto"/>
        </w:rPr>
      </w:pPr>
    </w:p>
    <w:p>
      <w:pPr>
        <w:jc w:val="both"/>
        <w:ind w:firstLine="1304"/>
        <w:spacing w:after="0" w:line="209" w:lineRule="auto"/>
        <w:tabs>
          <w:tab w:leader="none" w:pos="193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agrees to repay to such indemnified party the amount paid over pursuant to this paragraph (plus any penalties, interest or other charges imposed by the relevant Governmental Authority) in the event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Lender or Issuing Bank to make available its tax returns (or any other information relating to its taxes that it deems confidential) to any Borrower or any other person.</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Unless expressly stated otherwise in the relevant Loan Document, the consideration payable for any supply made by or through a Lender or Issuing Bank under or in connection with any Loan Document does not include Australian GST.</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Australian GST is payable in respect of any supply made by or through a Lender or Issuing Bank (a “</w:t>
      </w:r>
      <w:r>
        <w:rPr>
          <w:rFonts w:ascii="Times New Roman" w:cs="Times New Roman" w:eastAsia="Times New Roman" w:hAnsi="Times New Roman"/>
          <w:sz w:val="22"/>
          <w:szCs w:val="22"/>
          <w:i w:val="1"/>
          <w:iCs w:val="1"/>
          <w:color w:val="auto"/>
        </w:rPr>
        <w:t>Supplier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under or in connection with any Loan Document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Australian GST Liability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then:</w:t>
      </w:r>
    </w:p>
    <w:p>
      <w:pPr>
        <w:spacing w:after="0" w:line="146" w:lineRule="exact"/>
        <w:rPr>
          <w:sz w:val="20"/>
          <w:szCs w:val="20"/>
          <w:color w:val="auto"/>
        </w:rPr>
      </w:pPr>
    </w:p>
    <w:p>
      <w:pPr>
        <w:jc w:val="both"/>
        <w:ind w:left="1300" w:firstLine="652"/>
        <w:spacing w:after="0" w:line="227" w:lineRule="auto"/>
        <w:tabs>
          <w:tab w:leader="none" w:pos="258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 consideration is provided by a party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Recipient Party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relation to that supply, the Recipient Party will pay an additional amount to the Supplier equal to the full amount of the Australian GST Liability; and</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8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the foregoing clause (A) applies, the Australian Borrower will indemnify and keep the Supplier indemnified for the full amount of the Australian GST Liability.</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89" w:name="page90"/>
    <w:bookmarkEnd w:id="89"/>
    <w:p>
      <w:pPr>
        <w:jc w:val="both"/>
        <w:ind w:left="1300"/>
        <w:spacing w:after="0" w:line="261" w:lineRule="auto"/>
        <w:rPr>
          <w:sz w:val="20"/>
          <w:szCs w:val="20"/>
          <w:color w:val="auto"/>
        </w:rPr>
      </w:pPr>
      <w:r>
        <w:rPr>
          <w:rFonts w:ascii="Times New Roman" w:cs="Times New Roman" w:eastAsia="Times New Roman" w:hAnsi="Times New Roman"/>
          <w:sz w:val="21"/>
          <w:szCs w:val="21"/>
          <w:color w:val="auto"/>
        </w:rPr>
        <w:t>However, (l) the relevant Recipient Party or the Australian Borrower, as applicable, need not pay the additional amount on account of the Australian GST Liability to a Supplier until that Supplier gives the Recipient Party or the Australian Borrower, as applicable, a tax invoice complying with the relevant law relating to any payment made to that Supplier in accordance with this Section 2.19(j)(ii) and (2) if an adjustment event arises in respect of any supply made by or through a Lender or Issuing Bank under or in connection with any Loan Document and (if required by law) the Lender or Issuing Bank gives the Recipient Party or the Australian Borrower, as applicable, a valid adjustment note, the additional amount must be adjusted to reflect the adjustment event and the Recipient Party or the Supplier (as the case may be) must make any payments necessary to reflect the adjustment; and (3) this Section 2.19(j)(ii) does not apply to the extent that the Australian GST Liability on a supply made by or through a Lender or Issuing Bank under or in connection with any Loan Document is payable by the Recipient Party or the Australian Borrower, as appropriate, under Division 83 or 84 of the A New Tax System (</w:t>
      </w:r>
      <w:r>
        <w:rPr>
          <w:rFonts w:ascii="Times New Roman" w:cs="Times New Roman" w:eastAsia="Times New Roman" w:hAnsi="Times New Roman"/>
          <w:sz w:val="21"/>
          <w:szCs w:val="21"/>
          <w:i w:val="1"/>
          <w:iCs w:val="1"/>
          <w:color w:val="auto"/>
        </w:rPr>
        <w:t>Goods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Services Tax</w:t>
      </w:r>
      <w:r>
        <w:rPr>
          <w:rFonts w:ascii="Times New Roman" w:cs="Times New Roman" w:eastAsia="Times New Roman" w:hAnsi="Times New Roman"/>
          <w:sz w:val="21"/>
          <w:szCs w:val="21"/>
          <w:color w:val="auto"/>
        </w:rPr>
        <w:t>) Act 1999 (</w:t>
      </w:r>
      <w:r>
        <w:rPr>
          <w:rFonts w:ascii="Times New Roman" w:cs="Times New Roman" w:eastAsia="Times New Roman" w:hAnsi="Times New Roman"/>
          <w:sz w:val="21"/>
          <w:szCs w:val="21"/>
          <w:i w:val="1"/>
          <w:iCs w:val="1"/>
          <w:color w:val="auto"/>
        </w:rPr>
        <w:t>Cth</w:t>
      </w:r>
      <w:r>
        <w:rPr>
          <w:rFonts w:ascii="Times New Roman" w:cs="Times New Roman" w:eastAsia="Times New Roman" w:hAnsi="Times New Roman"/>
          <w:sz w:val="21"/>
          <w:szCs w:val="21"/>
          <w:color w:val="auto"/>
        </w:rPr>
        <w:t>) and the Lender or Issuing Bank has no liability at all in relation to that payment.</w:t>
      </w:r>
    </w:p>
    <w:p>
      <w:pPr>
        <w:spacing w:after="0" w:line="143" w:lineRule="exact"/>
        <w:rPr>
          <w:sz w:val="20"/>
          <w:szCs w:val="20"/>
          <w:color w:val="auto"/>
        </w:rPr>
      </w:pPr>
    </w:p>
    <w:p>
      <w:pPr>
        <w:jc w:val="both"/>
        <w:ind w:left="660" w:firstLine="1292"/>
        <w:spacing w:after="0" w:line="217" w:lineRule="auto"/>
        <w:tabs>
          <w:tab w:leader="none" w:pos="260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or reimbursement required to be made to a Lender or Issuing Bank under any Loan Document that is calculated by reference to a cost or other amount paid or incurred will be limited to the total cost or other amount less the amount of any input tax credit or other credit to which the relevant Lender or Issuing Bank (or the representative member for a Australian GST group of which the relevant Lender or Issuing Bank is a member) is entitled for the acquisition to which the cost or other amount relates.</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used in this Section 2.19(j) which are not defined in this agreement but which have a defined meaning in the GST Law have the same meaning as in the GST Law unless the contrary intention appears.</w:t>
      </w:r>
    </w:p>
    <w:p>
      <w:pPr>
        <w:spacing w:after="0" w:line="13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2.20</w:t>
      </w:r>
      <w:r>
        <w:rPr>
          <w:sz w:val="20"/>
          <w:szCs w:val="20"/>
          <w:color w:val="auto"/>
        </w:rPr>
        <w:tab/>
      </w:r>
      <w:r>
        <w:rPr>
          <w:rFonts w:ascii="Times New Roman" w:cs="Times New Roman" w:eastAsia="Times New Roman" w:hAnsi="Times New Roman"/>
          <w:sz w:val="21"/>
          <w:szCs w:val="21"/>
          <w:b w:val="1"/>
          <w:bCs w:val="1"/>
          <w:i w:val="1"/>
          <w:iCs w:val="1"/>
          <w:color w:val="auto"/>
        </w:rPr>
        <w:t>Assignment of Commitments Under Certain Circumstances; Duty to Mitigate</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08" w:lineRule="auto"/>
        <w:tabs>
          <w:tab w:leader="none" w:pos="194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(i) any Lender or Issuing Bank delivers a certificate requesting compensation pursuant to Section 2.13, (ii) any Lender or Issuing Bank delivers a notice described in Section 2.14, (iii) a Borrower is required to pay any additional amount to any Lender or Issuing Bank or any Governmental Authority on account of any Lender or Issuing Bank pursuant to Section 2.19, (iv) any Lender becomes a Defaulting Lender or a Potential Defaulting Lender or (v) any Lender is a Non-Consenting Lender, then the Applicable Borrower may, at its sole expense and effort (including with respect to the processing and recordation fee referred to in Section 9.04(b)), upon notice to such Lender or Issuing Bank and the Applicable Administrative Agent, require such Lender or Issuing Bank to transfer and assign, without recourse (in accordance with and subject to the restrictions contained in Section 9.04), all of its interests, rights and obligations under this Agreement to an assignee that shall assume such assigned obligations (which assignee may be another Lender, if a Lender accepts such assignment);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assignment shall not conflict with any law, rule or regulation or order of any court or other Governmental Authority having jurisdiction, (B) the Applicable Borrower shall have received the prior written consent of the Applicable Administrative Agent, the Applicable Issuing Banks and the Applicable Swing Line Lender, if any, which consent shall</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10" w:lineRule="auto"/>
        <w:rPr>
          <w:sz w:val="20"/>
          <w:szCs w:val="20"/>
          <w:color w:val="auto"/>
        </w:rPr>
      </w:pPr>
      <w:r>
        <w:rPr>
          <w:rFonts w:ascii="Times New Roman" w:cs="Times New Roman" w:eastAsia="Times New Roman" w:hAnsi="Times New Roman"/>
          <w:sz w:val="22"/>
          <w:szCs w:val="22"/>
          <w:color w:val="auto"/>
        </w:rPr>
        <w:t>not unreasonably be withheld or delayed, (C) the affected Lender or Issuing Bank shall have received in immediately available funds an amount equal to the sum of the principal of and interest accrued to the date of such payment on the outstanding Loans and participations in L/C Disbursements of such Lender or Issuing Bank, respectively, plus all Fees and other amounts accrued for the account of such Lender or Issuing Bank hereunder (including any amounts under Section 2.13 and Section 2.15) from the assignee (to the extent of such outstanding principal and accrued interest and Fees) or the Applicable Borrower (in the case of all other amounts), (D) in the case of any such assignment resulting from a claim for compensation under Section 2.13 or payments required to be made pursuant to Section 2.19, such assignment is expected to result in a reduction in such compensation or payments thereafter and (E) in the case of any such assignment resulting from a Non-Consenting Lender, the applicable assignee shall have consented to the applicable amendment, waiver or consent. A Lender or Issuing Bank shall not be required to make any such assignment or delegation if, prior thereto, as a result of a waiver by such Lender, Issuing Bank or otherwise, the circumstances entitling such Borrower to require such assignment and delegation cease to apply.</w:t>
      </w:r>
    </w:p>
    <w:p>
      <w:pPr>
        <w:spacing w:after="0" w:line="157" w:lineRule="exact"/>
        <w:rPr>
          <w:sz w:val="20"/>
          <w:szCs w:val="20"/>
          <w:color w:val="auto"/>
        </w:rPr>
      </w:pPr>
    </w:p>
    <w:p>
      <w:pPr>
        <w:jc w:val="both"/>
        <w:ind w:firstLine="1304"/>
        <w:spacing w:after="0" w:line="210" w:lineRule="auto"/>
        <w:tabs>
          <w:tab w:leader="none" w:pos="19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Lender or Issuing Bank shall request compensation under Section 2.13, (ii) any Lender or Issuing Bank delivers a notice described in Section 2.14 or (iii) a Borrower is required to pay any additional amount to any Agent, Lender or Issuing Bank or any Governmental Authority on account of any Agent, Lender or Issuing Bank, pursuant to Section 2.19, then such Agent, Lender or Issuing Bank shall use reasonable efforts to designate a different lending office for funding or booking its Loans hereunder or to assign its rights and obligations hereunder to another of its offices, branches or affiliates, if, in the judgment of such Lender, such designation or assignment (A) would eliminate or reduce its claims for compensation under Section 2.13 or enable it to withdraw its notice pursuant to Section 2.14 or would reduce amounts payable pursuant to Section 2.19, as the case may be, in the future and (B) would not subject such Agent, Lender or Issuing Bank to incur an unreimbursed loss or unreimbursed cost or expense or otherwise take any action inconsistent with its internal policies or legal or regulatory restrictions. Each Borrower hereby agrees to pay all reasonable costs and expenses incurred by any Lender or Issuing Bank in connection with any such designation or assignment.</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2.21</w:t>
      </w:r>
      <w:r>
        <w:rPr>
          <w:sz w:val="20"/>
          <w:szCs w:val="20"/>
          <w:color w:val="auto"/>
        </w:rPr>
        <w:tab/>
      </w:r>
      <w:r>
        <w:rPr>
          <w:rFonts w:ascii="Times New Roman" w:cs="Times New Roman" w:eastAsia="Times New Roman" w:hAnsi="Times New Roman"/>
          <w:sz w:val="21"/>
          <w:szCs w:val="21"/>
          <w:b w:val="1"/>
          <w:bCs w:val="1"/>
          <w:i w:val="1"/>
          <w:iCs w:val="1"/>
          <w:color w:val="auto"/>
        </w:rPr>
        <w:t>Letters of Credit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0"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Each Borrower may request the issuance of a Letter of Credit denominated in U.S. dollars,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Canadian dollars, Australian dollars or in one or more Alternative Currencies for its own account or for the account of any of its Subsidiaries (in which case such Borrower and such Subsidiary shall be co-applicants with respect to such Letter of Credit), in a form reasonably acceptable to the Applicable Issuing Bank, at any time and from time to time while the Revolving Commitments remain in effect, but no later than five Business Days prior to the Maturity Date. This Section shall not be construed to impose an obligation upon any Issuing Bank to issue any Letter of Credit that is inconsistent with the terms and conditions of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3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Issuance, Amendment, Renewal, Extension; Certain Conditions</w:t>
      </w:r>
      <w:r>
        <w:rPr>
          <w:rFonts w:ascii="Times New Roman" w:cs="Times New Roman" w:eastAsia="Times New Roman" w:hAnsi="Times New Roman"/>
          <w:sz w:val="22"/>
          <w:szCs w:val="22"/>
          <w:color w:val="auto"/>
        </w:rPr>
        <w:t>. In order to request the issuance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 Letter of Credit denominated in U.S. dollars, Canadian dollars, Australian dollars or an Alternative Currency (or to amend, renew or extend an existing Letter of Credit issued in U.S. dollars, Australian dollars, Canadian dollars or an Alternative Currency), the Applicable Borrower shall hand deliver, fax or send by electronic communication (e-mail) (or by telephone notice promptly confirmed by a written, fax or electronic communication (e-mail)) to the Applicable Issuing Bank and the Applicable Administrative Agent (reasonably in advance of the requested date of issuance, amendment, renewal or extension) a notice requesting the issuance of a Letter of Credit, or identifying the Letter of</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79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91" w:name="page92"/>
    <w:bookmarkEnd w:id="91"/>
    <w:p>
      <w:pPr>
        <w:jc w:val="both"/>
        <w:spacing w:after="0" w:line="207" w:lineRule="auto"/>
        <w:rPr>
          <w:sz w:val="20"/>
          <w:szCs w:val="20"/>
          <w:color w:val="auto"/>
        </w:rPr>
      </w:pPr>
      <w:r>
        <w:rPr>
          <w:rFonts w:ascii="Times New Roman" w:cs="Times New Roman" w:eastAsia="Times New Roman" w:hAnsi="Times New Roman"/>
          <w:sz w:val="22"/>
          <w:szCs w:val="22"/>
          <w:color w:val="auto"/>
        </w:rPr>
        <w:t>Credit to be amended, renewed or extended, the date of issuance, amendment, renewal or extension (which date shall be (x) in the case of U.S. Letters of Credit and Canadian Letters of Credit, at least two Business Days after such notice is received by the Applicable Issuing Bank and the Applicable Administrative Agent or (y) in the case of Australian Letters of Credit, at least three Business Days after such notice is received by the Applicable Issuing Bank and the Australian Administrative Agent), the date on which such Letter of Credit is to expire (which shall comply with paragraph (c) below), the amount and currency of such Letter of Credit, whether the Letter of Credit is to be a U.S. Letter of Credit, a Canadian Letter of Credit or an Australian Letter of Credit, the name and address of the beneficiary thereof and such other information as shall be necessary to prepare such Letter of Credit. In order to request the issuance of a Letter of Credit in a currency other than those specifically listed in the definition of “Alternative Currency”, the Applicable Borrower shall follow the procedures set forth in Section 1.05 hereof. A U.S. Letter of Credit shall be denominated in U.S. dollars or an Alternative Currency and shall be issued, amended, renewed or extended only if, and upon issuance, amendment, renewal or extension of each Letter of Credit the U.S. Borrowers shall be deemed to represent and warrant that, after giving effect to such issuance, amendment, renewal or extension (i) the U.S. L/C Exposure shall not exceed U.S.$10,000,000, (ii) the aggregate U.S. Revolving Credit Exposure shall not exceed the Total U.S. Revolving Commitment, and (iii) the U.S. L/C Exposure related to U.S. Letters of Credit issued by an Issuing Bank shall not exceed an amount agreed to in writing between the U.S. Borrowers and such Issuing Bank and notified to the Administrative Agent. A Canadian Letter of Credit shall be denominated in Canadian dollars and shall be issued, amended, renewed or extended only if, and upon issuance, amendment, renewal or extension of each Canadian Letter of Credit, such Parent Borrower shall be deemed to represent and warrant that after giving effect to such issuance, amendment, renewal or extension (i) the Canadian L/C Exposure shall not exceed the Canadian Dollar Equivalent of U.S.$25,000,000, (ii) the aggregate Canadian Revolving Credit Exposure shall not exceed the Total Canadian Revolving Commitment and (iii) the portion of the Canadian L/C Exposure attributable to Letters of Credit issued by such Applicable Issuing Bank will not, unless such Applicable Issuing Bank shall so agree in its sole discretion, exceed the L/C Issuance Limit of such Applicable Issuing Bank. An Australian Letter of Credit shall be denominated in Australian dollars and shall be issued, amended, renewed or extended only if, and upon issuance, amendment, renewal or extension of each Australian Letter of Credit, such Australian Borrower shall be deemed to represent and warrant that after giving effect to such issuance, amendment, renewal or extension (i) the Australian L/C Exposure shall not exceed the Australian Dollar Equivalent of U.S.$10,000,000, and (ii) the aggregate Australian Revolving Credit Exposure shall not exceed the Total Australian Revolving Commitment.</w:t>
      </w:r>
    </w:p>
    <w:p>
      <w:pPr>
        <w:spacing w:after="0" w:line="153" w:lineRule="exact"/>
        <w:rPr>
          <w:sz w:val="20"/>
          <w:szCs w:val="20"/>
          <w:color w:val="auto"/>
        </w:rPr>
      </w:pPr>
    </w:p>
    <w:p>
      <w:pPr>
        <w:jc w:val="both"/>
        <w:ind w:firstLine="1304"/>
        <w:spacing w:after="0" w:line="210"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Expiration Date</w:t>
      </w:r>
      <w:r>
        <w:rPr>
          <w:rFonts w:ascii="Times New Roman" w:cs="Times New Roman" w:eastAsia="Times New Roman" w:hAnsi="Times New Roman"/>
          <w:sz w:val="22"/>
          <w:szCs w:val="22"/>
          <w:color w:val="auto"/>
        </w:rPr>
        <w:t>. Each U.S. Letter of Credit and Canadian Letter of Credit shall have an expiration date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later than the earlier of (y) three years after the date of the issuance of such Letter of Credit and (z) the date that is 24 months after the Maturity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60 days prior to the Maturity Date the Borrowers shall deposit in an account with the U.S. Collateral Agent or the Canadian Collateral Agent, as the case may be, for the benefit of the U.S. Revolving Lenders or Canadian Revolving Lenders, as the case may be, an amount in cash equal to 105% of the U.S. L/C Exposure or Canadian L/C Exposure, respectively, as of such date. Such deposit shall be held by the U.S. Collateral Agent or the Canadian Collateral Agent, as the case may be, as collateral for the payment and performance of the Obligations. Such Collateral Agent shall have exclusive dominion and control, including the exclusive right of withdrawal, over such account.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92" w:name="page93"/>
    <w:bookmarkEnd w:id="92"/>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or the Canadian L/C Exposure, as applicable, at such time, (iii) if the maturity of the Loans has been accelerated, be applied to satisfy the Obligations and (iv)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Event of Default has occurred and is continuing, be released to the Borrowers to the extent that the funds on deposit exceed 105% of the U.S. L/C Exposure or the Canadian L/C Exposure, respectively. Each Australian Letter of Credit shall have an expiration date not later than the Maturity Date.</w:t>
      </w:r>
    </w:p>
    <w:p>
      <w:pPr>
        <w:spacing w:after="0" w:line="152" w:lineRule="exact"/>
        <w:rPr>
          <w:sz w:val="20"/>
          <w:szCs w:val="20"/>
          <w:color w:val="auto"/>
        </w:rPr>
      </w:pPr>
    </w:p>
    <w:p>
      <w:pPr>
        <w:jc w:val="both"/>
        <w:ind w:firstLine="1304"/>
        <w:spacing w:after="0" w:line="208"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By the issuance of a Letter of Credit and without any further action on the part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Issuing Bank or the Lenders, the Applicable Issuing Bank hereby grants to each U.S. Revolving Lender, Canadian Revolving Lender or Australian Lender, as the case may be, and each such Revolving Lender hereby acquires from the Applicable Issuing Bank, a participation in such Letter of Credit equal to such Lender’s U.S. Revolving Pro Rata Percentage, Canadian Revolving Pro Rata Percentage or Australian Revolving Pro Rata Percentage, as applicable, of the aggregate amount available to be drawn under such Letter of Credit, effective upon the issuance of such Letter of Credit (or, in the case of the Rolled Letters of Credit, effective upon the Closing Date). In consideration and in furtherance of the foregoing, each Revolving Lender hereby absolutely and unconditionally agrees to pay to the Applicable Administrative Agent, for the account of the Applicable Issuing Bank, such Lender’s U.S. Revolving Pro Rata Percentage, Canadian Revolving Pro Rata Percentage or Australian Revolving Pro Rata Percentage, as applicable, of the U.S. Dollar Equivalent of each L/C Disbursement (except (i) in the case of Canadian Letter of Credit, in which case such payment shall be made in Canadian dollars or (ii) in the case of an Australian Letter of Credit, in which case such payment shall be made in Australian dollars), made by such Issuing Bank and not reimbursed by the Applicable Borrower (or, if applicable, another party pursuant to its obligations under any other Loan Document) forthwith on the date due as provided in Section 2.02(g). Each Revolving Lender acknowledges and agrees that its obligation to acquire participations pursuant to this paragraph in respect of Letters of Credit is absolute and unconditional and shall not be affected by any circumstance whatsoever, including the occurrence and continuance of a Default or an Event of Default, and that each such payment shall be made without any offset, abatement, withholding or reduction whatsoever.</w:t>
      </w:r>
    </w:p>
    <w:p>
      <w:pPr>
        <w:spacing w:after="0" w:line="160"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w:t>
      </w:r>
      <w:r>
        <w:rPr>
          <w:rFonts w:ascii="Times New Roman" w:cs="Times New Roman" w:eastAsia="Times New Roman" w:hAnsi="Times New Roman"/>
          <w:sz w:val="22"/>
          <w:szCs w:val="22"/>
          <w:color w:val="auto"/>
        </w:rPr>
        <w:t>. If an Issuing Bank shall make any L/C Disbursement in respect of a Letter of Credit,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Borrower shall pay to the Applicable Administrative Agent, for the account of the Applicable Issuing Bank, an amount equal to such L/C Disbursement in the same currency in which such L/C Disbursement is denominated (or, if such currency is not acceptable to the Applicable Administrative Agent, in U.S. dollars) not later than two hours after such Borrower shall have received notice from such Issuing Bank that payment of such draft will be made, or, if such Borrower shall have received such notice later than 11:00 a.m. (Standard Time) on any Business Day, not later than 11:00 a.m. (Standard Time) on the immediately following Business Day.</w:t>
      </w:r>
    </w:p>
    <w:p>
      <w:pPr>
        <w:spacing w:after="0" w:line="14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Absolute</w:t>
      </w:r>
      <w:r>
        <w:rPr>
          <w:rFonts w:ascii="Times New Roman" w:cs="Times New Roman" w:eastAsia="Times New Roman" w:hAnsi="Times New Roman"/>
          <w:sz w:val="22"/>
          <w:szCs w:val="22"/>
          <w:color w:val="auto"/>
        </w:rPr>
        <w:t>. Each Borrower’s obligations to reimburse L/C Disbursements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paragraph (e) above shall be absolute, unconditional and irrevocable, and shall be performed strictly in accordance with the terms of this Agreement, under any and all circumstances whatsoever, and irrespective of:</w:t>
      </w:r>
    </w:p>
    <w:p>
      <w:pPr>
        <w:spacing w:after="0" w:line="14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of validity or enforceability of any Letter of Credit or any Loan Document, or any term or</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provision therein;</w:t>
      </w: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93" w:name="page94"/>
    <w:bookmarkEnd w:id="93"/>
    <w:p>
      <w:pPr>
        <w:ind w:left="660" w:right="20" w:firstLine="1292"/>
        <w:spacing w:after="0" w:line="236" w:lineRule="auto"/>
        <w:tabs>
          <w:tab w:leader="none" w:pos="259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or waiver of or any consent to departure from all or any of the provisions of any Letter of Credit or any Loan Document;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such Borrower, any other party guaranteeing, or otherwise obligated with, such Borrower, any subsidiary or other Affiliate thereof or any other person may at any time have against the beneficiary under any Letter of Credit, the Applicable Issuing Bank, any Agent or any Lender or any other person, whether in connection with this Agreement, any other Loan Document or any other related or unrelated agreement or transaction;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59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1" w:lineRule="exact"/>
        <w:rPr>
          <w:rFonts w:ascii="Times New Roman" w:cs="Times New Roman" w:eastAsia="Times New Roman" w:hAnsi="Times New Roman"/>
          <w:sz w:val="21"/>
          <w:szCs w:val="21"/>
          <w:color w:val="auto"/>
        </w:rPr>
      </w:pPr>
    </w:p>
    <w:p>
      <w:pPr>
        <w:jc w:val="both"/>
        <w:ind w:left="660" w:firstLine="1292"/>
        <w:spacing w:after="0" w:line="215" w:lineRule="auto"/>
        <w:tabs>
          <w:tab w:leader="none" w:pos="259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the Applicable Issuing Bank under a Letter of Credit against presentation of a draft or other document that does not strictly comply with the 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Insolvency Law; and</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adverse change in the relevant exchange rates or in the availability of the relevant Alternative Currency to any Borrower, any Subsidiary or any other person, or in the relevant currency markets generally; or</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 or omission to act or delay of any kind of the Applicable Issuing Bank, the Lenders, the Agents or any other person or any other event or circumstance whatsoever, whether or not similar to any of the foregoing, that might, but for the provisions of this Section, constitute a legal or equitable discharge of such Borrower’s obligations hereunder.</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Without limiting the generality of the foregoing but subject to the proviso in subsection (g) below, it is expressly understood and agreed that the absolute and unconditional obligation of each Borrower hereunder to reimburse L/C Disbursements will not be excused by the gross negligence or willful misconduct of the Applicable Issuing Bank.</w:t>
      </w:r>
    </w:p>
    <w:p>
      <w:pPr>
        <w:spacing w:after="0" w:line="155" w:lineRule="exact"/>
        <w:rPr>
          <w:sz w:val="20"/>
          <w:szCs w:val="20"/>
          <w:color w:val="auto"/>
        </w:rPr>
      </w:pPr>
    </w:p>
    <w:p>
      <w:pPr>
        <w:jc w:val="both"/>
        <w:ind w:firstLine="1304"/>
        <w:spacing w:after="0" w:line="221" w:lineRule="auto"/>
        <w:tabs>
          <w:tab w:leader="none" w:pos="193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Role of Issuing Bank</w:t>
      </w:r>
      <w:r>
        <w:rPr>
          <w:rFonts w:ascii="Times New Roman" w:cs="Times New Roman" w:eastAsia="Times New Roman" w:hAnsi="Times New Roman"/>
          <w:sz w:val="22"/>
          <w:szCs w:val="22"/>
          <w:color w:val="auto"/>
        </w:rPr>
        <w:t>. Each Borrower assumes all risks of the acts or omissions of any beneficiary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transferee of any Letter of Credit with respect to its use of such Letter of Credit. None of the Issuing Banks, the Agents, any of their respective Related Parties or any correspondent, participant or assignee of any Issuing Bank shall be liable or responsible for:</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which may be made of any Letter of Credit or any acts or omissions of any beneficiary or transferee in connection therewith;</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sufficiency or genuineness of documents, or of any endorsement thereon, even if such documents should prove to be in any or all respects invalid, insufficient, fraudulent or forged; or</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94" w:name="page95"/>
    <w:bookmarkEnd w:id="94"/>
    <w:p>
      <w:pPr>
        <w:ind w:left="660" w:right="20" w:firstLine="1292"/>
        <w:spacing w:after="0" w:line="236" w:lineRule="auto"/>
        <w:tabs>
          <w:tab w:leader="none" w:pos="260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circumstances whatsoever in making or failing to make payment under any Letter of Credit (including the Issuing Bank’s own negligence),</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 Borrower shall have a claim against the Applicable Issuing Bank, and such Issuing Bank shall be liable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and shall promptly pay to, such Borrower, to the extent of any direct, as opposed to consequential (claims in respect of which are hereby waived by such Borrower to the extent permitted by applicable law), damages suffered by such Borrower that are caused by such Issuing Bank’s failure to comply with its duties as an issuing bank under applicable law or gross negligence or willful misconduct in determining whether drafts and other documents presented under a Letter of Credit strictly comply with the terms thereof. It is understood that the Applicable Issuing Bank may accept documents that appear on their face to be in order, without responsibility for further investigation, regardless of any notice or information to the contrary and, in making any payment under any Letter of Credit (i) such Issuing Bank’s exclusive reliance on the documents presented to it under such Letter of Credit as to any and all matters set forth therein, including reliance on the amount of any draft presented under such Letter of Credit, whether or not the amount due to the beneficiary thereunder equals the amount of such draft and whether or not any document presented pursuant to such Letter of Credit proves to be insufficient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the Applicable Issuing Bank. Each Revolving Lender and each Borrower agree that, in paying any drawing under a Letter of Credit, the Applicable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w:t>
      </w:r>
    </w:p>
    <w:p>
      <w:pPr>
        <w:spacing w:after="0" w:line="170" w:lineRule="exact"/>
        <w:rPr>
          <w:sz w:val="20"/>
          <w:szCs w:val="20"/>
          <w:color w:val="auto"/>
        </w:rPr>
      </w:pPr>
    </w:p>
    <w:p>
      <w:pPr>
        <w:jc w:val="both"/>
        <w:ind w:firstLine="1304"/>
        <w:spacing w:after="0" w:line="213" w:lineRule="auto"/>
        <w:tabs>
          <w:tab w:leader="none" w:pos="19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Disbursement Procedures</w:t>
      </w:r>
      <w:r>
        <w:rPr>
          <w:rFonts w:ascii="Times New Roman" w:cs="Times New Roman" w:eastAsia="Times New Roman" w:hAnsi="Times New Roman"/>
          <w:sz w:val="22"/>
          <w:szCs w:val="22"/>
          <w:color w:val="auto"/>
        </w:rPr>
        <w:t>. The Applicable Issuing Bank shall, promptly following its receipt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examine all documents purporting to represent a demand for payment under a Letter of Credit. The Applicable Issuing Bank shall as promptly as possible give telephonic notification, confirmed by fax or by electronic communication (e-mail), to the Applicable Administrative Agent and the Applicable Borrower of such demand for payment and whether the Applicable Issuing Bank has made or will make an L/C Disbursement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Applicable Borrower of its obligation to reimburse the Applicable Issuing Bank and the Revolving Lenders with respect to any such L/C Disbursement. The Applicable Administrative Agent shall promptly give each Applicable Lender notice thereof.</w:t>
      </w:r>
    </w:p>
    <w:p>
      <w:pPr>
        <w:spacing w:after="0" w:line="147"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3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Interim Interest</w:t>
      </w:r>
      <w:r>
        <w:rPr>
          <w:rFonts w:ascii="Times New Roman" w:cs="Times New Roman" w:eastAsia="Times New Roman" w:hAnsi="Times New Roman"/>
          <w:sz w:val="22"/>
          <w:szCs w:val="22"/>
          <w:color w:val="auto"/>
        </w:rPr>
        <w:t>. If an Issuing Bank shall make any L/C Disbursement in respect of a Letter of Credit, then,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unless the Applicable Borrower shall reimburse such L/C Disbursement in full on such date, the unpaid amount thereof shall bear interest for the account of the Applicable Issuing Bank, for each day from and including the date of such L/C Disbursement, to but excluding the earlier of the date of payment by such Borrower or the date on which interest shall commence to accrue thereon as provided in Section 2.02(e), at the rate per annum that would apply to such amount if such amount were an ABR Loan, a Canadian Prime</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95" w:name="page96"/>
    <w:bookmarkEnd w:id="95"/>
    <w:p>
      <w:pPr>
        <w:spacing w:after="0" w:line="236" w:lineRule="auto"/>
        <w:rPr>
          <w:sz w:val="20"/>
          <w:szCs w:val="20"/>
          <w:color w:val="auto"/>
        </w:rPr>
      </w:pPr>
      <w:r>
        <w:rPr>
          <w:rFonts w:ascii="Times New Roman" w:cs="Times New Roman" w:eastAsia="Times New Roman" w:hAnsi="Times New Roman"/>
          <w:sz w:val="22"/>
          <w:szCs w:val="22"/>
          <w:color w:val="auto"/>
        </w:rPr>
        <w:t>Rate Loan (for Canadian Letters of Credit) or, in the case of any L/C Disbursement with respect to an Australian Letter of Credit, a BBSY Rate Loan, as the case may be.</w:t>
      </w:r>
    </w:p>
    <w:p>
      <w:pPr>
        <w:spacing w:after="0" w:line="146" w:lineRule="exact"/>
        <w:rPr>
          <w:sz w:val="20"/>
          <w:szCs w:val="20"/>
          <w:color w:val="auto"/>
        </w:rPr>
      </w:pPr>
    </w:p>
    <w:p>
      <w:pPr>
        <w:jc w:val="both"/>
        <w:ind w:firstLine="1304"/>
        <w:spacing w:after="0" w:line="208" w:lineRule="auto"/>
        <w:tabs>
          <w:tab w:leader="none" w:pos="193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Resignation or Removal of an Issuing Bank</w:t>
      </w:r>
      <w:r>
        <w:rPr>
          <w:rFonts w:ascii="Times New Roman" w:cs="Times New Roman" w:eastAsia="Times New Roman" w:hAnsi="Times New Roman"/>
          <w:sz w:val="22"/>
          <w:szCs w:val="22"/>
          <w:color w:val="auto"/>
        </w:rPr>
        <w:t>. An Issuing Bank may resign at any time by giving 30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written notice to the Applicable Administrative Agent, the Applicable Lenders and the Parent Borrower, and may be removed at any time by the Parent Borrower by notice to such Issuing Bank, the Applicable Administrative Agent and the Applicable Lenders. Subject to the next succeeding paragraph, upon the acceptance of any appointment as an Issuing Bank hereunder by a Lender that shall agree to serve as successor Issuing Bank, such successor shall succeed to and become vested with all the interests, rights and obligations of the retiring Issuing Bank and the retiring Issuing Bank shall be discharged from its obligations to issue additional Letters of Credit hereunder. At the time such removal or resignation shall become effective, the Applicable Borrower shall pay all accrued and unpaid Issuing Bank Fees pursuant to Section 2.05(c). The acceptance of any appointment as an Issuing Bank hereunder by a successor Lender shall be evidenced by an agreement entered into by such successor, in a form satisfactory to each Applicable Borrower and the Applicable Administrative Agent, and, from and after the effective date of such agreement, (i) such successor Lender shall have all the rights and obligations of the previous Issuing 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or removal, but shall not be required to issue additional Letters of Credit.</w:t>
      </w:r>
    </w:p>
    <w:p>
      <w:pPr>
        <w:spacing w:after="0" w:line="160"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Collateralization</w:t>
      </w:r>
      <w:r>
        <w:rPr>
          <w:rFonts w:ascii="Times New Roman" w:cs="Times New Roman" w:eastAsia="Times New Roman" w:hAnsi="Times New Roman"/>
          <w:sz w:val="22"/>
          <w:szCs w:val="22"/>
          <w:color w:val="auto"/>
        </w:rPr>
        <w:t>. If (i) any Event of Default shall occur and be continuing, other than an event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 Borrower described in Sections 7.01(g) or (h) and a Borrower shall receive notice from Applicable Administrative Agent or the Required U.S. Lenders, the Required Canadian Revolving Lenders or the Required Australian Lenders, as applicable, requesting that it deposit Cash Collateral and specifying the amount to be deposited, or (ii) an Event of Default shall occur and be continuing with respect to a Borrower described in Sections 7.01(g) or (h) then such Borrower shall, on the Business Day it receives the notice referenced in clause (i) above or immediately upon the occurrence of the Event of Default referenced in clause (ii) above, deposit in an account with the U.S. Collateral Agent, the Canadian Collateral Agent or the Australian Collateral Agent, as the case may be, for the benefit of the U.S. Revolving Lenders, Canadian Revolving Lenders or Australian Lenders, as the case may be, an amount in cash equal to 105% of the U.S. L/C Exposure, the Canadian L/C Exposure or the Australian L/C Exposure, respectively, as of such date. At any time that there shall exist a Defaulting Lender, after reallocation pursuant to Section 2.24(c), promptly upon the request of an Administrative Agent or an Issuing Bank (which request may be a condition to the issuance amendment, renewal or extension of a Letter of Credit), the Applicable Borrower shall deliver to the U.S. Collateral Agent, the Canadian Collateral Agent or the Australian Collateral Agent, as the case may be, for the benefit of the U.S. Revolving Lenders, Canadian Revolving Lenders or Australian Lenders, as the case may be, Cash Collateral in an amount equal to the Fronting Exposure at such time (determined for the avoidance of doubt, after giving effect to Section 2.24(a) and any Cash Collateral provided by any Defaulting Lender). Such deposits shall be held by the U.S. Collateral Agent, the Canadian Collateral Agent or the Australian Collateral Agent, as the case may be, as collateral for the payment and performance of the Obligations. Such Collateral Agent shall have exclusive dominion and control, including the exclusive right of withdrawal, over such account. If a Borrower is required to Cash Collateralize the U.S. L/C Exposure, Canadian L/C Exposure, or Australian L/C Exposure, then such Borrower and the</w:t>
      </w: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96" w:name="page97"/>
    <w:bookmarkEnd w:id="96"/>
    <w:p>
      <w:pPr>
        <w:jc w:val="both"/>
        <w:spacing w:after="0" w:line="207" w:lineRule="auto"/>
        <w:rPr>
          <w:sz w:val="20"/>
          <w:szCs w:val="20"/>
          <w:color w:val="auto"/>
        </w:rPr>
      </w:pPr>
      <w:r>
        <w:rPr>
          <w:rFonts w:ascii="Times New Roman" w:cs="Times New Roman" w:eastAsia="Times New Roman" w:hAnsi="Times New Roman"/>
          <w:sz w:val="22"/>
          <w:szCs w:val="22"/>
          <w:color w:val="auto"/>
        </w:rPr>
        <w:t>Applicable Collateral Agent shall establish a cash collateral account (an “</w:t>
      </w:r>
      <w:r>
        <w:rPr>
          <w:rFonts w:ascii="Times New Roman" w:cs="Times New Roman" w:eastAsia="Times New Roman" w:hAnsi="Times New Roman"/>
          <w:sz w:val="22"/>
          <w:szCs w:val="22"/>
          <w:i w:val="1"/>
          <w:iCs w:val="1"/>
          <w:color w:val="auto"/>
        </w:rPr>
        <w:t>L/C Cash Collateral Account</w:t>
      </w:r>
      <w:r>
        <w:rPr>
          <w:rFonts w:ascii="Times New Roman" w:cs="Times New Roman" w:eastAsia="Times New Roman" w:hAnsi="Times New Roman"/>
          <w:sz w:val="22"/>
          <w:szCs w:val="22"/>
          <w:color w:val="auto"/>
        </w:rPr>
        <w:t xml:space="preserve">”) and the Applicable Borrower shall execute any documents and agreements that such Collateral Agent reasonably requests in connection therewith to establish the L/C Cash Collateral Account and grant such Collateral Agent a first-priority security interest in such account and the funds therein. Each Borrower hereby pledges to the Applicable Collateral Agent and grants such Collateral Agent a security interest in the L/C Cash Collateral Account, whenever established, all funds held in such L/C Cash Collateral Account from time to time and all proceeds thereof as security for the payment of the Obligations. Other than any interest earned on the investment of such deposits in Permitted Investments, which investments shall be made at the option and sole discretion of such Collateral Agent, such deposits shall not bear interest. Interest or profits, if any, on such investments shall accumulate in such account. The Applicable Administrative Agent may, at any time and from time to time after the initial deposit of such Cash Collateral, request that additional Cash Collateral be provided in order to protect against the results of exchange rate fluctuations. Moneys in such account shall (i) automatically be applied by the Applicable Administrative Agent to reimburse the Applicable Issuing Bank for L/C Disbursements for which it has not been reimbursed, (ii) be held for the satisfaction of the reimbursement obligations of the Applicable Borrower for the U.S. L/C Exposure, the Canadian L/C Exposure or the Australian L/C Exposure, as applicable, at such time and (iii) if the maturity of the Loans has been accelerated, be applied to satisfy the Obligations.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 Cash Collateral (or the appropriate portion thereof) provided to reduce Fronting Exposure shall be released promptly following (A) the elimination of the applicable Fronting Exposure or other obligations giving rise thereto (including by any Defaulting Lender ceasing to be a Defaulting Lender or ceasing to be a Revolving Lender) or (B) the Administrative Agent’s good faith determination that there exists excess Cash Collateral;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Cash Collateral furnished by or on behalf of a Loan Party shall not be released during the continuance of an Event of Default and may be otherwise applied in accordance with Section 7.05.</w:t>
      </w:r>
    </w:p>
    <w:p>
      <w:pPr>
        <w:spacing w:after="0" w:line="168" w:lineRule="exact"/>
        <w:rPr>
          <w:sz w:val="20"/>
          <w:szCs w:val="20"/>
          <w:color w:val="auto"/>
        </w:rPr>
      </w:pPr>
    </w:p>
    <w:p>
      <w:pPr>
        <w:jc w:val="both"/>
        <w:ind w:firstLine="1304"/>
        <w:spacing w:after="0" w:line="212" w:lineRule="auto"/>
        <w:tabs>
          <w:tab w:leader="none" w:pos="19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Issuing Banks</w:t>
      </w:r>
      <w:r>
        <w:rPr>
          <w:rFonts w:ascii="Times New Roman" w:cs="Times New Roman" w:eastAsia="Times New Roman" w:hAnsi="Times New Roman"/>
          <w:sz w:val="22"/>
          <w:szCs w:val="22"/>
          <w:color w:val="auto"/>
        </w:rPr>
        <w:t>. A Borrower may, at any time and from time to time with the consent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Administrative Agent (which consent shall not be unreasonably withheld or delayed) and such Revolving Lender, designate one or more additional Revolving Lenders to act as an issuing bank under the terms of this Agreement. The acceptance of any appointment as an Issuing Bank hereunder by a Revolving Lender shall be evidenced by an agreement entered into by such Revolving Lender, in a form satisfactory to each Applicable Borrower and the Applicable Administrative Agent, and, from and after the effective date of such agreement, any Lender designated as an issuing bank pursuant to this paragraph (l) shall be deemed (in addition to being a Lender) to be the Issuing Bank with respect to Letters of Credit issued or to be issued by such Lender, and all references herein and in the other Loan Documents to the term “Issuing Bank” shall, with respect to such Letters of Credit, be deemed to refer to such Lender in its capacity as Issuing Bank.</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terms hereof and the terms of any Letter of Credit Document, the terms hereof shall control.</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that a Letter of Credit issued or outstanding hereunder is in support of any obligations of, or is for the account of, a Borrower or any Subsidiary of such Borrower, each Borrower shall be obligated to reimburse the Applicable Issuing Bank hereunder for any and all L/C Disbursements under such Letter of Credit requested by such Borrower for its own account or for the account of any of its Subsidiaries. Each Borrower hereby acknowledges that the issuance of Letters of Credit for the account of any of its Subsidiaries (other than, with</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97" w:name="page98"/>
    <w:bookmarkEnd w:id="97"/>
    <w:p>
      <w:pPr>
        <w:jc w:val="both"/>
        <w:spacing w:after="0" w:line="225" w:lineRule="auto"/>
        <w:rPr>
          <w:sz w:val="20"/>
          <w:szCs w:val="20"/>
          <w:color w:val="auto"/>
        </w:rPr>
      </w:pPr>
      <w:r>
        <w:rPr>
          <w:rFonts w:ascii="Times New Roman" w:cs="Times New Roman" w:eastAsia="Times New Roman" w:hAnsi="Times New Roman"/>
          <w:sz w:val="22"/>
          <w:szCs w:val="22"/>
          <w:color w:val="auto"/>
        </w:rPr>
        <w:t>respect to the U.S. Borrowers, the Parent Borrower or any Subsidiary thereof or the Australian Borrower or any Subsidiary thereof) inures to the benefit of such Borrower, and that such Borrower’s business derives substantial benefits from the businesses of such Borrower’s Subsidiaries.</w:t>
      </w:r>
    </w:p>
    <w:p>
      <w:pPr>
        <w:spacing w:after="0" w:line="153" w:lineRule="exact"/>
        <w:rPr>
          <w:sz w:val="20"/>
          <w:szCs w:val="20"/>
          <w:color w:val="auto"/>
        </w:rPr>
      </w:pPr>
    </w:p>
    <w:p>
      <w:pPr>
        <w:jc w:val="both"/>
        <w:ind w:right="20" w:firstLine="1304"/>
        <w:spacing w:after="0" w:line="225" w:lineRule="auto"/>
        <w:tabs>
          <w:tab w:leader="none" w:pos="193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Issuing Bank, the Revolving Lenders and the Borrowers agree that effective as of the Closing Date, the Rolled Letters of Credit shall be deemed to have been issued and maintained under, and to be governed by the terms and conditions of, this Agreement.</w:t>
      </w:r>
    </w:p>
    <w:p>
      <w:pPr>
        <w:spacing w:after="0" w:line="13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2.22</w:t>
      </w:r>
      <w:r>
        <w:rPr>
          <w:sz w:val="20"/>
          <w:szCs w:val="20"/>
          <w:color w:val="auto"/>
        </w:rPr>
        <w:tab/>
      </w:r>
      <w:r>
        <w:rPr>
          <w:rFonts w:ascii="Times New Roman" w:cs="Times New Roman" w:eastAsia="Times New Roman" w:hAnsi="Times New Roman"/>
          <w:sz w:val="21"/>
          <w:szCs w:val="21"/>
          <w:b w:val="1"/>
          <w:bCs w:val="1"/>
          <w:i w:val="1"/>
          <w:iCs w:val="1"/>
          <w:color w:val="auto"/>
        </w:rPr>
        <w:t>[Reserved]</w:t>
      </w:r>
      <w:r>
        <w:rPr>
          <w:rFonts w:ascii="Times New Roman" w:cs="Times New Roman" w:eastAsia="Times New Roman" w:hAnsi="Times New Roman"/>
          <w:sz w:val="21"/>
          <w:szCs w:val="21"/>
          <w:color w:val="auto"/>
        </w:rPr>
        <w:t>.</w:t>
      </w:r>
    </w:p>
    <w:p>
      <w:pPr>
        <w:ind w:left="660"/>
        <w:spacing w:after="0" w:line="216"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2.23</w:t>
      </w:r>
      <w:r>
        <w:rPr>
          <w:sz w:val="20"/>
          <w:szCs w:val="20"/>
          <w:color w:val="auto"/>
        </w:rPr>
        <w:tab/>
      </w:r>
      <w:r>
        <w:rPr>
          <w:rFonts w:ascii="Times New Roman" w:cs="Times New Roman" w:eastAsia="Times New Roman" w:hAnsi="Times New Roman"/>
          <w:sz w:val="21"/>
          <w:szCs w:val="21"/>
          <w:b w:val="1"/>
          <w:bCs w:val="1"/>
          <w:i w:val="1"/>
          <w:iCs w:val="1"/>
          <w:color w:val="auto"/>
        </w:rPr>
        <w:t>Swing Line Loans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left="1940" w:hanging="636"/>
        <w:spacing w:after="0"/>
        <w:tabs>
          <w:tab w:leader="none" w:pos="1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08" w:lineRule="auto"/>
        <w:tabs>
          <w:tab w:leader="none" w:pos="259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U.S. Swing Line</w:t>
      </w:r>
      <w:r>
        <w:rPr>
          <w:rFonts w:ascii="Times New Roman" w:cs="Times New Roman" w:eastAsia="Times New Roman" w:hAnsi="Times New Roman"/>
          <w:sz w:val="22"/>
          <w:szCs w:val="22"/>
          <w:color w:val="auto"/>
        </w:rPr>
        <w:t>. Subject to the terms and conditions set forth herein, and if an AutoBorrow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is in effect, subject to the terms and conditions of such AutoBorrow Agreement, the U.S. Swing Line Lender may in its sole and absolute discretion, in reliance upon the agreements of the other U.S. Revolving Lenders set forth in this Section 2.23, make loans in U.S. dollars (each such loan, a “</w:t>
      </w:r>
      <w:r>
        <w:rPr>
          <w:rFonts w:ascii="Times New Roman" w:cs="Times New Roman" w:eastAsia="Times New Roman" w:hAnsi="Times New Roman"/>
          <w:sz w:val="22"/>
          <w:szCs w:val="22"/>
          <w:i w:val="1"/>
          <w:iCs w:val="1"/>
          <w:color w:val="auto"/>
        </w:rPr>
        <w:t>U.S. Swing Line Loan</w:t>
      </w:r>
      <w:r>
        <w:rPr>
          <w:rFonts w:ascii="Times New Roman" w:cs="Times New Roman" w:eastAsia="Times New Roman" w:hAnsi="Times New Roman"/>
          <w:sz w:val="22"/>
          <w:szCs w:val="22"/>
          <w:color w:val="auto"/>
        </w:rPr>
        <w:t xml:space="preserve">”) to the U.S. Borrowers from time to time on or after the Closing Date until the earlier of the Maturity Date and the termination of the Total U.S. Revolving Commitments in an aggregate amount not to exceed at any time outstanding the amount of the U.S. Swing Line Sublimit, notwithstanding the fact that such U.S. Swing Line Loans, when aggregated with the U.S. Revolving Credit Exposure of the Lender acting as U.S. Swing Line Lender, may exceed the amount of such Lender’s U.S. Revolving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after giving effect to any U.S. Swing Line Loan, (i) the aggregate U.S. Revolving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Exposure of all U.S. Revolving Lenders shall not exceed the Total U.S. Revolving Commitments at such time, and (ii) the U.S. Revolving Credit Exposure of each U.S. Revolving Lender at such time shall not exceed such Lender’s U.S. Revolving Commitment,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U.S. Borrowers shall not use the proceeds of any U.S. Swing Line Loan to refinance any outstanding U.S. Swing Line Loan. Within the foregoing limits, the U.S. Borrowers may borrow under this Section 2.23(a), prepay under Section 2.11, and reborrow under this Section 2.23(a). Immediately upon the making of a U.S. Swing Line Loan, each U.S. Revolving Lender shall be deemed to, and hereby irrevocably and unconditionally agrees to, purchase from the U.S. Swing Line Lender a risk participation in such U.S. Swing Line Loan in an amount equal to the product of such U.S. Revolving Lender’s U.S. Revolving Pro Rata Percentage (expressed as a decimal) times the amount of such U.S. Swing Line Loan. Each U.S. Revolving Lender shall have the obligation to purchase and fund risk participations in the U.S. Swing Line Loans and to refinance U.S. Swing Line Loans as provided in this Agreement.</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Canadian Swing Line</w:t>
      </w:r>
      <w:r>
        <w:rPr>
          <w:rFonts w:ascii="Times New Roman" w:cs="Times New Roman" w:eastAsia="Times New Roman" w:hAnsi="Times New Roman"/>
          <w:sz w:val="22"/>
          <w:szCs w:val="22"/>
          <w:color w:val="auto"/>
        </w:rPr>
        <w:t>. Subject to the terms and conditions set forth herein, and if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AutoBorrow Agreement is in effect, subject to the terms and conditions of such AutoBorrow Agreement, the Canadian Swing Line Lender may in its sole and absolute discretion, in reliance upon the agreements of the other Canadian Revolving Lenders set forth in this Section 2.23, make loans in Canadian dollars or U.S. dollars (each such loan, a “</w:t>
      </w:r>
      <w:r>
        <w:rPr>
          <w:rFonts w:ascii="Times New Roman" w:cs="Times New Roman" w:eastAsia="Times New Roman" w:hAnsi="Times New Roman"/>
          <w:sz w:val="22"/>
          <w:szCs w:val="22"/>
          <w:i w:val="1"/>
          <w:iCs w:val="1"/>
          <w:color w:val="auto"/>
        </w:rPr>
        <w:t>Canadian Swing Line Loan</w:t>
      </w:r>
      <w:r>
        <w:rPr>
          <w:rFonts w:ascii="Times New Roman" w:cs="Times New Roman" w:eastAsia="Times New Roman" w:hAnsi="Times New Roman"/>
          <w:sz w:val="22"/>
          <w:szCs w:val="22"/>
          <w:color w:val="auto"/>
        </w:rPr>
        <w:t>”) to the Parent Borrower from time to time on or after the Closing Date until the earlier of the Maturity Date and the termination of the Total Canadian Revolving Commitments in an aggregate amount not to exceed at any time outstanding the amount of the Canadian Swing Line Sublimit, notwithstanding the fact that such Canadian Swing Line Loans, when aggregated with the Canadian Revolving Credit Exposure of the Lender acting as Canadian Swing Line</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98" w:name="page99"/>
    <w:bookmarkEnd w:id="98"/>
    <w:p>
      <w:pPr>
        <w:jc w:val="both"/>
        <w:ind w:left="660"/>
        <w:spacing w:after="0" w:line="210" w:lineRule="auto"/>
        <w:rPr>
          <w:sz w:val="20"/>
          <w:szCs w:val="20"/>
          <w:color w:val="auto"/>
        </w:rPr>
      </w:pPr>
      <w:r>
        <w:rPr>
          <w:rFonts w:ascii="Times New Roman" w:cs="Times New Roman" w:eastAsia="Times New Roman" w:hAnsi="Times New Roman"/>
          <w:sz w:val="22"/>
          <w:szCs w:val="22"/>
          <w:color w:val="auto"/>
        </w:rPr>
        <w:t xml:space="preserve">Lender, may exceed the amount of such Lender’s Canadian Revolving Commitment;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after giving effect to any Canadian Swing Line Loan, (i) the aggregate Canadian Revolving Credit Exposure of all Canadian Revolving Lenders shall not exceed the Total Canadian Revolving Commitments at such time, and (ii) the Canadian Revolving Credit Exposure of each Canadian Revolving Lender at such time shall not exceed such Lender’s Canadian Revolving Commitment,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Parent Borrower shall not use the proceeds of any Canadian Swing Line Loan to refinance any outstanding Canadian Swing Line Loan. Within the foregoing limits, the Parent Borrower may borrow under this Section 2.23(a)(ii), prepay under Section 2.11, and reborrow under this Section 2.23(a) (ii). Immediately upon the making of a Canadian Swing Line Loan, each Canadian Revolving Lender shall be deemed to, and hereby irrevocably and unconditionally agrees to, purchase from the Canadian Swing Line Lender a risk participation in such Canadian Swing Line Loan in an amount equal to the product of such Canadian Revolving Lender’s Canadian Revolving Pro Rata Percentage (expressed as a decimal) times the amount of such Canadian Swing Line Loan. Each Canadian Revolving Lender shall have the obligation to purchase and fund risk participations in the Canadian Swing Line Loans and to refinance Canadian Swing Line Loans as provided in this Agreement.</w:t>
      </w:r>
    </w:p>
    <w:p>
      <w:pPr>
        <w:spacing w:after="0" w:line="146" w:lineRule="exact"/>
        <w:rPr>
          <w:sz w:val="20"/>
          <w:szCs w:val="20"/>
          <w:color w:val="auto"/>
        </w:rPr>
      </w:pPr>
    </w:p>
    <w:p>
      <w:pPr>
        <w:jc w:val="both"/>
        <w:ind w:firstLine="1304"/>
        <w:spacing w:after="0" w:line="207" w:lineRule="auto"/>
        <w:tabs>
          <w:tab w:leader="none" w:pos="193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Borrowing Procedures</w:t>
      </w:r>
      <w:r>
        <w:rPr>
          <w:rFonts w:ascii="Times New Roman" w:cs="Times New Roman" w:eastAsia="Times New Roman" w:hAnsi="Times New Roman"/>
          <w:sz w:val="22"/>
          <w:szCs w:val="22"/>
          <w:color w:val="auto"/>
        </w:rPr>
        <w:t>. If an AutoBorrow Agreement is in effect, each Swing Line Borrowing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as provided in such AutoBorrow Agreement. Otherwise, in order to request a Swing Line Borrowing, the Applicable Borrower shall hand deliver, fax or send by electronic communication (e-mail) (or by telephone notice promptly confirmed by a written, fax or electronic communication (e-mail)) to the Applicable Swing Line Lender and the Applicable Administrative Agent a duly completed Borrowing Request not later than 2:00 p.m. (Standard Time) on the day of the proposed Swing Line Borrowing. Each such Borrowing Request shall be irrevocable, shall be signed by or on behalf of the Applicable Borrower and shall specify the following information: (i) the date of such Swing Line Borrowing (which shall be a Business Day); (ii) in the case of a Canadian Swing Line Borrowing, whether such Canadian Swing Line Borrowing is to be denominated in Canadian dollars or U.S. dollars; and (iii) the amount of such Swing Line Borrowing, which shall be a minimum of U.S.$1,000,000, except as otherwise set forth in any AutoBorrow Agreement. Promptly after receipt by the Applicable Swing Line Lender of any Borrowing Request, the Applicable Swing Line Lender will confirm with the Applicable Administrative Agent (by telephone or in writing) that the Applicable Administrative Agent has also received such Borrowing Request and, if not, the Applicable Swing Line Lender will notify the Applicable Administrative Agent (by telephone or in writing) of the contents thereof. Unless the Applicable Swing Line Lender has received notice (by telephone or in writing) from the Applicable Administrative Agent (including at the request of any Applicable Lender) prior to 2:00 p.m. (Standard Time) on the date of the proposed Swing Line Borrowing (A) directing the Applicable Swing Line Lender not to make such Swing Line Loan as a result of the limitations set forth in the first proviso to the first sentence of either Section 2.23(a)(i) or Section 2.23(a)(ii), or (B) that one or more of the applicable conditions specified in Article IV is not then satisfied, then, subject to the terms and conditions hereof, the Applicable Swing Line Lender will, not later than 1:00 p.m. (Standard Time) on the borrowing date specified in such Borrowing Request, make the amount of its Swing Line Loan available to the Applicable Borrower at its office by crediting the account of the Applicable Borrower on the books of the Applicable Swing Line Lender in immediately available funds. If an AutoBorrow Agreement is in effect, such additional terms and conditions of such AutoBorrow Agreement shall have been satisfied, and in the event that any of the terms of this Section 2.23 conflict with such AutoBorrow Agreement, the terms of the AutoBorrow Agreement shall govern and control. No Applicable Lender shall have any rights or obligations under any AutoBorrow Agreement,</w:t>
      </w: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99" w:name="page100"/>
    <w:bookmarkEnd w:id="99"/>
    <w:p>
      <w:pPr>
        <w:spacing w:after="0" w:line="236" w:lineRule="auto"/>
        <w:rPr>
          <w:sz w:val="20"/>
          <w:szCs w:val="20"/>
          <w:color w:val="auto"/>
        </w:rPr>
      </w:pPr>
      <w:r>
        <w:rPr>
          <w:rFonts w:ascii="Times New Roman" w:cs="Times New Roman" w:eastAsia="Times New Roman" w:hAnsi="Times New Roman"/>
          <w:sz w:val="22"/>
          <w:szCs w:val="22"/>
          <w:color w:val="auto"/>
        </w:rPr>
        <w:t>but each Applicable Lender shall have the obligation to purchase and fund risk participations in the Swing Line Loans and to refinance Swing Line Loan as provided herein.</w:t>
      </w:r>
    </w:p>
    <w:p>
      <w:pPr>
        <w:spacing w:after="0" w:line="146" w:lineRule="exact"/>
        <w:rPr>
          <w:sz w:val="20"/>
          <w:szCs w:val="20"/>
          <w:color w:val="auto"/>
        </w:rPr>
      </w:pPr>
    </w:p>
    <w:p>
      <w:pPr>
        <w:ind w:left="1940" w:hanging="636"/>
        <w:spacing w:after="0"/>
        <w:tabs>
          <w:tab w:leader="none" w:pos="19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Refinancing of Swing Line Loans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60" w:firstLine="1292"/>
        <w:spacing w:after="0" w:line="207" w:lineRule="auto"/>
        <w:tabs>
          <w:tab w:leader="none" w:pos="264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Swing Line Lender at any time in its sole and absolute discretion may request, on behalf of the Applicable Borrower (which hereby irrevocably authorizes the Applicable Swing Line Lender to so request on its behalf), or the Applicable Borrower at any time in its sole and absolute discretion may request, that each Applicable Lender make (A) with respect to U.S. Swing Line Loans, an ABR Loan in an amount equal to such Lender’s U.S. Revolving Pro Rata Percentage of the amount of U.S. Swing Line Loans then outstanding and (B)(1) with respect to Canadian Swing Line Loans denominated in Canadian dollars, a Canadian Prime Rate Loan or (2) with respect to Canadian Swing Line Loans denominated in U.S. dollars, a U.S. Base Rate Loan, in each case in an amount equal to such Lender’s Canadian Revolving Pro Rata Percentage of the amount of Canadian Swing Line Loans then outstanding. Such request shall be made in writing (which written request shall be deemed to be a Borrowing Request for purposes hereof) and in accordance with the requirements of Section 2.02, without regard to the minimum and multiples specified therein for the principal amount of ABR Loans, Canadian Prime Rate Loans or U.S. Base Rate Loans, as applicable, but subject to the unutilized portion of the Total U.S. Revolving Commitments or Total Canadian Revolving Commitments, as applicable, and the conditions set forth in Section 4.01. The Applicable Swing Line Lender or the Applicable Borrower, as applicable, shall furnish to the other a copy of the applicable Borrowing Request promptly after delivering such notice to the Applicable Administrative Agent. Each Applicable Lender shall make an amount equal to its Applicable Pro Rata Percentage of the amount specified in such Borrowing Request available to the Applicable Administrative Agent in immediately available funds for the account of the Applicable Swing Line Lender at the office designated by the Applicable Administrative Agent not later than 1:00 p.m. (Standard Time) on the day specified in such Borrowing Request, whereupon, subject to Section 2.23(c)(ii), each Applicable Lender that so makes funds available shall be deemed to have made a ABR Loan, Canadian Prime Rate Loan or U.S. Base Rate Loan, as applicable, to the Applicable Borrower in such amount. The Applicable Administrative Agent shall remit the funds so received to the Applicable Swing Line Lender.</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any Swing Line Loan cannot be refinanced by a U.S. Revolving Borrowing or a Canadian Revolving Borrowing, as applicable, in accordance with Section 2.23(c)(i), the request for ABR Loans, Canadian Prime Rate Loans or U.S. Base Rate Loans, as applicable, submitted by the Applicable Swing Line Lender or the Applicable Borrower as set forth herein shall be deemed to be a request by the Applicable Swing Line Lender that each of the Applicable Lenders fund its risk participation in the relevant Swing Line Loan and each Applicable Lender’s payment to the Applicable Administrative Agent for the account of the Applicable Swing Line Lender pursuant to Section 2.23(c)(i) shall be deemed payment in respect of such participation.</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Applicable Lender fails to make available to the Applicable Administrative Agent for the account of the Applicable Swing Line Lender any amount required to be paid by such Lender pursuant to the foregoing provisions of this Section 2.23(c) by the time specified in Section 2.23(c)(i), the Applicable Swing Line Lender shall be entitled to recover from such Lender (acting through the Applicable Administrative Agent), on demand, such amount with interest thereon for the period from</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00" w:name="page101"/>
    <w:bookmarkEnd w:id="100"/>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the date such payment is required to the date on which such payment is immediately available to the Applicable Swing Line Lender at a rate per annum equal to the greater of the Federal Funds Effective Rate and a rate determined by the Applicable Swing Line Lender in accordance with banking industry rules on interbank compensation. If such Lender pays such amount (with interest and fees as aforesaid), the amount so paid shall constitute such Lender’s Loan included in the relevant Borrowing or funded participation in the relevant Swing Line Loan, as the case may be. A certificate of the Applicable Swing Line Lender submitted to any Lender (through the Applicable Administrative Agent) with respect to any amounts owing under this clause (iii) shall be presumed correct absent manifest error.</w:t>
      </w:r>
    </w:p>
    <w:p>
      <w:pPr>
        <w:spacing w:after="0" w:line="156" w:lineRule="exact"/>
        <w:rPr>
          <w:sz w:val="20"/>
          <w:szCs w:val="20"/>
          <w:color w:val="auto"/>
        </w:rPr>
      </w:pPr>
    </w:p>
    <w:p>
      <w:pPr>
        <w:jc w:val="both"/>
        <w:ind w:left="660" w:firstLine="1292"/>
        <w:spacing w:after="0" w:line="211" w:lineRule="auto"/>
        <w:tabs>
          <w:tab w:leader="none" w:pos="259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Applicable Lender’s obligation to make Revolving Credit Loans or to purchase and fund risk participations in Swing Line Loans pursuant to this Section 2.23(c) shall be absolute and unconditional and shall not be affected by any circumstance, including (A) any setoff, counterclaim, recoupment, defense or other right which such Lender may have against the Applicable Swing Line Lender, the Applicable Borrower or any other person for any reason whatsoever, (B) the occurrence or continuance of a Default or an Event of Default, or (C) any other occurrence, event or condition, whether or not similar to any of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each Applicable Lender’s obligation to make Revolving Credit Loans pursuant to this Section 2.23(c) is subject to the conditions set forth in Section 4.01. No such funding of risk participations shall relieve or otherwise impair the obligation of the Applicable Borrower to repay Swing Line Loans, together with interest as provided herein.</w:t>
      </w:r>
    </w:p>
    <w:p>
      <w:pPr>
        <w:spacing w:after="0" w:line="154"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Repayment of Participations</w:t>
      </w:r>
      <w:r>
        <w:rPr>
          <w:rFonts w:ascii="Times New Roman" w:cs="Times New Roman" w:eastAsia="Times New Roman" w:hAnsi="Times New Roman"/>
          <w:sz w:val="22"/>
          <w:szCs w:val="22"/>
          <w:color w:val="auto"/>
        </w:rPr>
        <w:t>. (i) At any time after any Applicable Lender has purchased and funded a risk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participation in a Swing Line Loan, if the Applicable Swing Line Lender receives any payment on account of such Swing Line Loan, the Applicable Swing Line Lender will distribute to such Applicable Lenders their Applicable Pro Rata Percentage thereof in the same funds as those received by the Applicable Swing Line Lender.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2" w:lineRule="auto"/>
        <w:tabs>
          <w:tab w:leader="none" w:pos="2598"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payment received by the Applicable Swing Line Lender in respect of principal or interest on any Swing Line Loan is required to be returned by the Applicable Swing Line Lender under any of the circumstances described in Section 9.19 (including pursuant to any settlement entered into by the Applicable Swing Line Lender in its discretion), each Applicable Lender shall pay to the Applicable Swing Line Lender its Applicable Pro Rata Percentage thereof on demand of the Applicable Administrative Agent, plus interest thereon from the date of such demand to the date such amount is returned, at a rate per annum equal to the Federal Funds Effective Rate. The Applicable Administrative Agent will make such demand upon the request of the Applicable Swing Line Lender. The obligations of the Lenders under this clause shall survive the payment in full of the Obligations and the termination of this Agreement.</w:t>
      </w:r>
    </w:p>
    <w:p>
      <w:pPr>
        <w:spacing w:after="0" w:line="153" w:lineRule="exact"/>
        <w:rPr>
          <w:rFonts w:ascii="Times New Roman" w:cs="Times New Roman" w:eastAsia="Times New Roman" w:hAnsi="Times New Roman"/>
          <w:sz w:val="21"/>
          <w:szCs w:val="21"/>
          <w:color w:val="auto"/>
        </w:rPr>
      </w:pPr>
    </w:p>
    <w:p>
      <w:pPr>
        <w:jc w:val="both"/>
        <w:ind w:firstLine="1304"/>
        <w:spacing w:after="0" w:line="218" w:lineRule="auto"/>
        <w:tabs>
          <w:tab w:leader="none" w:pos="194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for Account of Swing Line Lender</w:t>
      </w:r>
      <w:r>
        <w:rPr>
          <w:rFonts w:ascii="Times New Roman" w:cs="Times New Roman" w:eastAsia="Times New Roman" w:hAnsi="Times New Roman"/>
          <w:sz w:val="22"/>
          <w:szCs w:val="22"/>
          <w:color w:val="auto"/>
        </w:rPr>
        <w:t>. The Applicable Swing Line Lender shall be responsible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invoicing the Applicable Borrower for interest on the Swing Line Loans. Until each Applicable Lender funds its Loan or risk participation pursuant to this Section 2.23 to refinance such Applicable Lender’s Applicable Pro Rata Percentage of any Swing Line Loan, interest in respect of such Applicable Pro Rata Percentage shall be solely for the account of the Applicable Swing Line Lender.</w:t>
      </w:r>
    </w:p>
    <w:p>
      <w:pPr>
        <w:spacing w:after="0" w:line="147" w:lineRule="exact"/>
        <w:rPr>
          <w:rFonts w:ascii="Times New Roman" w:cs="Times New Roman" w:eastAsia="Times New Roman" w:hAnsi="Times New Roman"/>
          <w:sz w:val="22"/>
          <w:szCs w:val="22"/>
          <w:color w:val="auto"/>
        </w:rPr>
      </w:pPr>
    </w:p>
    <w:p>
      <w:pPr>
        <w:ind w:right="20" w:firstLine="1304"/>
        <w:spacing w:after="0" w:line="238" w:lineRule="auto"/>
        <w:tabs>
          <w:tab w:leader="none" w:pos="19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Payments Directly to Swing Line Lender</w:t>
      </w:r>
      <w:r>
        <w:rPr>
          <w:rFonts w:ascii="Times New Roman" w:cs="Times New Roman" w:eastAsia="Times New Roman" w:hAnsi="Times New Roman"/>
          <w:sz w:val="22"/>
          <w:szCs w:val="22"/>
          <w:color w:val="auto"/>
        </w:rPr>
        <w:t>. The Applicable Borrower shall make all payments of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interest in respect of the Swing Line Loans directly to the</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89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01" w:name="page102"/>
    <w:bookmarkEnd w:id="101"/>
    <w:p>
      <w:pPr>
        <w:spacing w:after="0" w:line="236" w:lineRule="auto"/>
        <w:rPr>
          <w:sz w:val="20"/>
          <w:szCs w:val="20"/>
          <w:color w:val="auto"/>
        </w:rPr>
      </w:pPr>
      <w:r>
        <w:rPr>
          <w:rFonts w:ascii="Times New Roman" w:cs="Times New Roman" w:eastAsia="Times New Roman" w:hAnsi="Times New Roman"/>
          <w:sz w:val="22"/>
          <w:szCs w:val="22"/>
          <w:color w:val="auto"/>
        </w:rPr>
        <w:t>Applicable Swing Line Lender, and, if an AutoBorrow Agreement is in effect, in accordance with the terms of such AutoBorrow Agreement.</w:t>
      </w:r>
    </w:p>
    <w:p>
      <w:pPr>
        <w:spacing w:after="0" w:line="146" w:lineRule="exact"/>
        <w:rPr>
          <w:sz w:val="20"/>
          <w:szCs w:val="20"/>
          <w:color w:val="auto"/>
        </w:rPr>
      </w:pPr>
    </w:p>
    <w:p>
      <w:pPr>
        <w:jc w:val="both"/>
        <w:ind w:firstLine="1304"/>
        <w:spacing w:after="0" w:line="221" w:lineRule="auto"/>
        <w:tabs>
          <w:tab w:leader="none" w:pos="193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Discretionary Nature of the Swing Line Facility</w:t>
      </w:r>
      <w:r>
        <w:rPr>
          <w:rFonts w:ascii="Times New Roman" w:cs="Times New Roman" w:eastAsia="Times New Roman" w:hAnsi="Times New Roman"/>
          <w:sz w:val="22"/>
          <w:szCs w:val="22"/>
          <w:color w:val="auto"/>
        </w:rPr>
        <w:t>. Notwithstanding any terms to the contrary contained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herein, the swing line facilities provided herein (i) are each an uncommitted facility and the Swing Line Lenders may, but shall not be obligated to, make Swing Line Loans, and (ii) may be terminated at any time by the Applicable Swing Line Lender or the Applicable Borrower upon written notice by the terminating party to the non-terminating party.</w:t>
      </w:r>
    </w:p>
    <w:p>
      <w:pPr>
        <w:spacing w:after="0" w:line="1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2.24</w:t>
      </w:r>
      <w:r>
        <w:rPr>
          <w:sz w:val="20"/>
          <w:szCs w:val="20"/>
          <w:color w:val="auto"/>
        </w:rPr>
        <w:tab/>
      </w:r>
      <w:r>
        <w:rPr>
          <w:rFonts w:ascii="Times New Roman" w:cs="Times New Roman" w:eastAsia="Times New Roman" w:hAnsi="Times New Roman"/>
          <w:sz w:val="21"/>
          <w:szCs w:val="21"/>
          <w:b w:val="1"/>
          <w:bCs w:val="1"/>
          <w:i w:val="1"/>
          <w:iCs w:val="1"/>
          <w:color w:val="auto"/>
        </w:rPr>
        <w:t>Defaulting Lenders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8" w:lineRule="auto"/>
        <w:tabs>
          <w:tab w:leader="none" w:pos="194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w:t>
      </w:r>
      <w:r>
        <w:rPr>
          <w:rFonts w:ascii="Times New Roman" w:cs="Times New Roman" w:eastAsia="Times New Roman" w:hAnsi="Times New Roman"/>
          <w:sz w:val="22"/>
          <w:szCs w:val="22"/>
          <w:color w:val="auto"/>
        </w:rPr>
        <w:t>. Notwithstanding anything to the contrary contained in this Agreement, if any Revolving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becomes a Defaulting Lender, then, until such time as that Lender is no longer a Defaulting Lender, to the extent permitted by applicable law:</w:t>
      </w:r>
    </w:p>
    <w:p>
      <w:pPr>
        <w:spacing w:after="0" w:line="150"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Defaulting Lender’s right to approve or disapprove any amendment, waiver or consent with respect to this Agreement or any other Loan Document shall be restricted as set forth in Section 9.08(b); and</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of principal, interest, fees or other amounts received by the Applicable Administrative Agent for the account of such Defaulting Lender (whether voluntary or mandatory, at maturity, pursuant to Article VII, or otherwise, or received by the Administrative Agent from a Defaulting Lender pursuant to Section 9.05), shall be applied at such time or times as may be determined by the Applicable Administrative Agent as follows:</w:t>
      </w:r>
    </w:p>
    <w:p>
      <w:pPr>
        <w:spacing w:after="0" w:line="148" w:lineRule="exact"/>
        <w:rPr>
          <w:rFonts w:ascii="Times New Roman" w:cs="Times New Roman" w:eastAsia="Times New Roman" w:hAnsi="Times New Roman"/>
          <w:sz w:val="22"/>
          <w:szCs w:val="22"/>
          <w:color w:val="auto"/>
        </w:rPr>
      </w:pPr>
    </w:p>
    <w:p>
      <w:pPr>
        <w:ind w:left="1300" w:right="20" w:firstLine="1300"/>
        <w:spacing w:after="0" w:line="238" w:lineRule="auto"/>
        <w:tabs>
          <w:tab w:leader="none" w:pos="3235"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amounts owing by such Defaulting Lender to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hereunder;</w:t>
      </w:r>
    </w:p>
    <w:p>
      <w:pPr>
        <w:spacing w:after="0" w:line="146" w:lineRule="exact"/>
        <w:rPr>
          <w:rFonts w:ascii="Times New Roman" w:cs="Times New Roman" w:eastAsia="Times New Roman" w:hAnsi="Times New Roman"/>
          <w:sz w:val="20"/>
          <w:szCs w:val="20"/>
          <w:color w:val="auto"/>
        </w:rPr>
      </w:pPr>
    </w:p>
    <w:p>
      <w:pPr>
        <w:ind w:left="1300" w:right="20" w:firstLine="1300"/>
        <w:spacing w:after="0" w:line="238" w:lineRule="auto"/>
        <w:tabs>
          <w:tab w:leader="none" w:pos="3238"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on a pro rata basis of any amounts owing by such Defaulting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Issuing Banks and the Swing Line Lenders hereunder;</w:t>
      </w:r>
    </w:p>
    <w:p>
      <w:pPr>
        <w:spacing w:after="0" w:line="146" w:lineRule="exact"/>
        <w:rPr>
          <w:rFonts w:ascii="Times New Roman" w:cs="Times New Roman" w:eastAsia="Times New Roman" w:hAnsi="Times New Roman"/>
          <w:sz w:val="20"/>
          <w:szCs w:val="20"/>
          <w:color w:val="auto"/>
        </w:rPr>
      </w:pPr>
    </w:p>
    <w:p>
      <w:pPr>
        <w:ind w:left="1300" w:firstLine="1300"/>
        <w:spacing w:after="0" w:line="238" w:lineRule="auto"/>
        <w:tabs>
          <w:tab w:leader="none" w:pos="3238"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Cash Collateralize the Issuing Banks’ Fronting Exposure with respect to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Defaulting Lender in accordance with Section 2.21(k);</w:t>
      </w:r>
    </w:p>
    <w:p>
      <w:pPr>
        <w:spacing w:after="0" w:line="146" w:lineRule="exact"/>
        <w:rPr>
          <w:rFonts w:ascii="Times New Roman" w:cs="Times New Roman" w:eastAsia="Times New Roman" w:hAnsi="Times New Roman"/>
          <w:sz w:val="20"/>
          <w:szCs w:val="20"/>
          <w:color w:val="auto"/>
        </w:rPr>
      </w:pPr>
    </w:p>
    <w:p>
      <w:pPr>
        <w:jc w:val="both"/>
        <w:ind w:left="1300" w:firstLine="1300"/>
        <w:spacing w:after="0" w:line="227" w:lineRule="auto"/>
        <w:tabs>
          <w:tab w:leader="none" w:pos="3235"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as the Applicable Borrower may request (so long as no Default or Event of Default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exists), to the funding of any Loan in respect of which such Defaulting Lender has failed to fund its portion thereof as required by this Agreement, as determined by the Applicable Administrative Agent;</w:t>
      </w:r>
    </w:p>
    <w:p>
      <w:pPr>
        <w:spacing w:after="0" w:line="146" w:lineRule="exact"/>
        <w:rPr>
          <w:rFonts w:ascii="Times New Roman" w:cs="Times New Roman" w:eastAsia="Times New Roman" w:hAnsi="Times New Roman"/>
          <w:sz w:val="20"/>
          <w:szCs w:val="20"/>
          <w:color w:val="auto"/>
        </w:rPr>
      </w:pPr>
    </w:p>
    <w:p>
      <w:pPr>
        <w:jc w:val="both"/>
        <w:ind w:left="1300" w:firstLine="1300"/>
        <w:spacing w:after="0" w:line="218" w:lineRule="auto"/>
        <w:tabs>
          <w:tab w:leader="none" w:pos="3240"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if so determined by the Administrative Agent and the applicable Borrower, to be held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2.21(k);</w:t>
      </w:r>
    </w:p>
    <w:p>
      <w:pPr>
        <w:spacing w:after="0" w:line="147" w:lineRule="exact"/>
        <w:rPr>
          <w:rFonts w:ascii="Times New Roman" w:cs="Times New Roman" w:eastAsia="Times New Roman" w:hAnsi="Times New Roman"/>
          <w:sz w:val="20"/>
          <w:szCs w:val="20"/>
          <w:color w:val="auto"/>
        </w:rPr>
      </w:pPr>
    </w:p>
    <w:p>
      <w:pPr>
        <w:jc w:val="both"/>
        <w:ind w:left="1300" w:firstLine="1300"/>
        <w:spacing w:after="0" w:line="227" w:lineRule="auto"/>
        <w:tabs>
          <w:tab w:leader="none" w:pos="3243" w:val="left"/>
        </w:tabs>
        <w:numPr>
          <w:ilvl w:val="2"/>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payment of any amounts owing to the Revolving Lenders,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Issuing Bank or the Applicable Swing Line Lender as a result of any judgment of a court of competent jurisdiction obtained</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02" w:name="page103"/>
    <w:bookmarkEnd w:id="102"/>
    <w:p>
      <w:pPr>
        <w:ind w:left="1300"/>
        <w:spacing w:after="0" w:line="236" w:lineRule="auto"/>
        <w:rPr>
          <w:sz w:val="20"/>
          <w:szCs w:val="20"/>
          <w:color w:val="auto"/>
        </w:rPr>
      </w:pPr>
      <w:r>
        <w:rPr>
          <w:rFonts w:ascii="Times New Roman" w:cs="Times New Roman" w:eastAsia="Times New Roman" w:hAnsi="Times New Roman"/>
          <w:sz w:val="22"/>
          <w:szCs w:val="22"/>
          <w:color w:val="auto"/>
        </w:rPr>
        <w:t>by any Revolving Lender or an Applicable Issuing Bank against such Defaulting Lender as a result of such Defaulting Lender’s breach of its obligations under this Agreement;</w:t>
      </w:r>
    </w:p>
    <w:p>
      <w:pPr>
        <w:spacing w:after="0" w:line="146" w:lineRule="exact"/>
        <w:rPr>
          <w:sz w:val="20"/>
          <w:szCs w:val="20"/>
          <w:color w:val="auto"/>
        </w:rPr>
      </w:pPr>
    </w:p>
    <w:p>
      <w:pPr>
        <w:jc w:val="both"/>
        <w:ind w:left="1300" w:firstLine="1300"/>
        <w:spacing w:after="0" w:line="221" w:lineRule="auto"/>
        <w:tabs>
          <w:tab w:leader="none" w:pos="323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so long as no Default or Event of Default exists, to the payment of any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owing to the Applicable Borrower as a result of any judgment of a court of competent jurisdiction obtained by the Applicable Borrower against such Defaulting Lender as a result of such Defaulting Lender’s breach of its obligations under this Agreement; and</w:t>
      </w:r>
    </w:p>
    <w:p>
      <w:pPr>
        <w:spacing w:after="0" w:line="148" w:lineRule="exact"/>
        <w:rPr>
          <w:rFonts w:ascii="Times New Roman" w:cs="Times New Roman" w:eastAsia="Times New Roman" w:hAnsi="Times New Roman"/>
          <w:sz w:val="20"/>
          <w:szCs w:val="20"/>
          <w:color w:val="auto"/>
        </w:rPr>
      </w:pPr>
    </w:p>
    <w:p>
      <w:pPr>
        <w:jc w:val="both"/>
        <w:ind w:left="1300" w:firstLine="1300"/>
        <w:spacing w:after="0" w:line="220" w:lineRule="auto"/>
        <w:tabs>
          <w:tab w:leader="none" w:pos="3235"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to such Defaulting Lender or as otherwise directed by a court of competent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jurisdiction;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(x) such payment is a payment of the principal amount of any Revolving Credit Loans or L/C Disbursements in respect of which that Defaulting Lender has not fully funded its appropriate share and (y) such Revolving Credit Loans were made or the related Letters of Credit were issued at a time when the conditions set forth in Section 4.01 were satisfied or waived, such payment shall be applied solely to pay the Revolving Credit Loans of, and L/C Disbursements owed to, all Non-Defaulting Lenders on a pro rata basis prior to being applied to the payment of any Revolving Credit Loans of, or L/C Disbursements owed to, such Defaulting Lender until such time as all Loans and funded and unfunded participations in Letters of Credit and Swing Line Loans are held by the Lenders pro rata in accordance with the Revolving Commitments without giving effect to Section 2.24(c). Any payments, prepayments or other amounts paid or payable to any Defaulting Lender that are applied (or held) to pay amounts owed by a Defaulting Lender or to post cash collateral pursuant to this Section 2.24(a)(ii) shall be deemed paid to and redirected by such Defaulting Lender, and each Lender irrevocably consents hereto.</w:t>
      </w:r>
    </w:p>
    <w:p>
      <w:pPr>
        <w:spacing w:after="0" w:line="18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Any payments, prepayments or other amounts paid or payable to any Defaulting Lender that are applied (or held) to pay amounts owed by such Defaulting Lender or to post cash collateral pursuant to this Section 2.24(a)(ii) shall be deemed paid to and redirected by such Defaulting Lender, and each Lender irrevocably consents hereto.</w:t>
      </w:r>
    </w:p>
    <w:p>
      <w:pPr>
        <w:spacing w:after="0" w:line="155" w:lineRule="exact"/>
        <w:rPr>
          <w:sz w:val="20"/>
          <w:szCs w:val="20"/>
          <w:color w:val="auto"/>
        </w:rPr>
      </w:pPr>
    </w:p>
    <w:p>
      <w:pPr>
        <w:jc w:val="both"/>
        <w:ind w:firstLine="1304"/>
        <w:spacing w:after="0" w:line="221" w:lineRule="auto"/>
        <w:tabs>
          <w:tab w:leader="none" w:pos="193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Fees</w:t>
      </w:r>
      <w:r>
        <w:rPr>
          <w:rFonts w:ascii="Times New Roman" w:cs="Times New Roman" w:eastAsia="Times New Roman" w:hAnsi="Times New Roman"/>
          <w:sz w:val="22"/>
          <w:szCs w:val="22"/>
          <w:color w:val="auto"/>
        </w:rPr>
        <w:t>. (i) No Defaulting Lender shall be entitled to receive any Commitment Fee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2.05(a) for any period during which such Lender is a Defaulting Lender (and, except as otherwise provided in Section 2.05(a), the Applicable Borrower shall not be required to pay any such fee that otherwise would have been required to have been paid to such Defaulting Lender).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Defaulting Lender shall be entitled to receive L/C Participation Fees for any period during which that Lender is a Defaulting Lender only to the extent allocable to its Applicable Pro Rata Percentage of the stated amount of Letters of Credit for which it has provided cash collateral pursuant to Section 2.21(k).</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60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L/C Participation Fee not required to be paid to any Defaulting Lender pursuant to clause (i) or (ii) above, the Applicable Borrower shall (x) pay to each Non-Defaulting Lender that portion of any such fee otherwise payable to such Defaulting Lender with respect to such Defaulting Lender’s L/C Exposure or participation in Swing Line Loans that has been reallocated to such Non-Defaulting Lender pursuant to clause (iv) below, (y) pay to each Issuing Bank and Swing Line Lender, as applicable, the amount of any such fee otherwise payable to such Defaulting</w:t>
      </w:r>
    </w:p>
    <w:p>
      <w:pPr>
        <w:spacing w:after="0" w:line="200" w:lineRule="exact"/>
        <w:rPr>
          <w:sz w:val="20"/>
          <w:szCs w:val="20"/>
          <w:color w:val="auto"/>
        </w:rPr>
      </w:pPr>
    </w:p>
    <w:p>
      <w:pPr>
        <w:spacing w:after="0" w:line="3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03" w:name="page104"/>
    <w:bookmarkEnd w:id="103"/>
    <w:p>
      <w:pPr>
        <w:ind w:left="660"/>
        <w:spacing w:after="0" w:line="236" w:lineRule="auto"/>
        <w:rPr>
          <w:sz w:val="20"/>
          <w:szCs w:val="20"/>
          <w:color w:val="auto"/>
        </w:rPr>
      </w:pPr>
      <w:r>
        <w:rPr>
          <w:rFonts w:ascii="Times New Roman" w:cs="Times New Roman" w:eastAsia="Times New Roman" w:hAnsi="Times New Roman"/>
          <w:sz w:val="22"/>
          <w:szCs w:val="22"/>
          <w:color w:val="auto"/>
        </w:rPr>
        <w:t>Lender to the extent allocable to such Issuing Bank’s or Swing Line Lender’s Fronting Exposure to such Defaulting Lender, and (z) not be required to pay the remaining amount of any such fee.</w:t>
      </w:r>
    </w:p>
    <w:p>
      <w:pPr>
        <w:spacing w:after="0" w:line="146" w:lineRule="exact"/>
        <w:rPr>
          <w:sz w:val="20"/>
          <w:szCs w:val="20"/>
          <w:color w:val="auto"/>
        </w:rPr>
      </w:pPr>
    </w:p>
    <w:p>
      <w:pPr>
        <w:jc w:val="both"/>
        <w:ind w:firstLine="1304"/>
        <w:spacing w:after="0" w:line="211" w:lineRule="auto"/>
        <w:tabs>
          <w:tab w:leader="none" w:pos="19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Reallocation of Ratable Portions to Reduce Fronting Exposure</w:t>
      </w:r>
      <w:r>
        <w:rPr>
          <w:rFonts w:ascii="Times New Roman" w:cs="Times New Roman" w:eastAsia="Times New Roman" w:hAnsi="Times New Roman"/>
          <w:sz w:val="22"/>
          <w:szCs w:val="22"/>
          <w:color w:val="auto"/>
        </w:rPr>
        <w:t>. During any period in which there is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Defaulting Lender, solely for purposes of computing the amount of the obligation of each non-Defaulting Lender to acquire, refinance or fund participations in Letters of Credit and Swing Line Loans pursuant to Sections 2.21 and 2.23, the “U.S. Revolving Pro Rata Percentage”, “Canadian Revolving Pro Rata Percentage” or “Australian Revolving Pro Rata Percentage”, as applicable, of each non-Defaulting Lender shall be computed without giving effect to the Revolving Commitment of such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 each such reallocation shall be given effect only if, at the date the applicable Lender becomes a Defaulting Lender, no Default or Event of Default exists; and (B) the aggregate obligation of any non-Defaulting Lender to acquire, refinance or fund participations in Letters of Credit and Swing Line Loans shall not exceed the positive difference, if any, of (1) the Revolving Commitments of such non-Defaulting Lender minus (2) the aggregate Revolving Credit Loans of such non-Defaulting Lender.</w:t>
      </w:r>
    </w:p>
    <w:p>
      <w:pPr>
        <w:spacing w:after="0" w:line="151"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Collateral, Repayment of Swing Line Loans</w:t>
      </w:r>
      <w:r>
        <w:rPr>
          <w:rFonts w:ascii="Times New Roman" w:cs="Times New Roman" w:eastAsia="Times New Roman" w:hAnsi="Times New Roman"/>
          <w:sz w:val="22"/>
          <w:szCs w:val="22"/>
          <w:color w:val="auto"/>
        </w:rPr>
        <w:t>. If the reallocation described in clause (c) above cannot,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can only partially, be effected, the applicable Borrower shall, without prejudice to any right or remedy available to it hereunder or under law, (x) first, prepay Swing Line Loans in an amount equal to the applicable Swing Line Lender’s Fronting Exposure and (y) second, cash collateralize the applicable Issuing Banks’ Fronting Exposure in accordance with the procedures set forth in Section 2.21(k).</w:t>
      </w:r>
    </w:p>
    <w:p>
      <w:pPr>
        <w:spacing w:after="0" w:line="147"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Defaulting Lender Cure</w:t>
      </w:r>
      <w:r>
        <w:rPr>
          <w:rFonts w:ascii="Times New Roman" w:cs="Times New Roman" w:eastAsia="Times New Roman" w:hAnsi="Times New Roman"/>
          <w:sz w:val="22"/>
          <w:szCs w:val="22"/>
          <w:color w:val="auto"/>
        </w:rPr>
        <w:t>. If the Applicable Borrower, the Applicable Administrative Agent,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Swing Line Lenders and the Applicable Issuing Banks agree in writing that a Defaulting Lender should no longer be deemed to be a Defaulting Lender, the Applicable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Revolving Credit Loans of the other Revolving Lenders of the same Class or take such other actions as the Applicable Administrative Agent may determine to be necessary to cause the Revolving Credit Loans and funded and unfunded participations in Letters of Credit and Swing Line Loans to be held on a pro rata basis by the Revolving Lenders of the same Class in accordance with their “U.S. Revolving Pro Rata Percentage”, “Canadian Revolving Pro Rata Percentage” or “Australian Revolving Pro Rata Percentage”, as applicable, (without giving effect to clause (a)(ii) above), whereupon such Lender will cease to be a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Applicable Borrower while such Lender was a Defaulting Lender;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5"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New Swing Line Loans/Letters of Credit</w:t>
      </w:r>
      <w:r>
        <w:rPr>
          <w:rFonts w:ascii="Times New Roman" w:cs="Times New Roman" w:eastAsia="Times New Roman" w:hAnsi="Times New Roman"/>
          <w:sz w:val="22"/>
          <w:szCs w:val="22"/>
          <w:color w:val="auto"/>
        </w:rPr>
        <w:t>. So long as any Lender is a Defaulting Lender, (i) the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Swing Line Lender shall not be required to fund any Swing Line Loans unless it is satisfied that it will have no Fronting Exposure after giving effect to such Swing Line Loan and (ii) no Issuing Bank shall be required to issue, extend, renew or increase any Letter of Credit unless it is satisfied that it will have no Fronting Exposure after giving effect thereto.</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04" w:name="page105"/>
    <w:bookmarkEnd w:id="104"/>
    <w:p>
      <w:pPr>
        <w:jc w:val="both"/>
        <w:ind w:firstLine="1304"/>
        <w:spacing w:after="0" w:line="218" w:lineRule="auto"/>
        <w:tabs>
          <w:tab w:leader="none" w:pos="193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Defaulting Lender Revolving Commitment</w:t>
      </w:r>
      <w:r>
        <w:rPr>
          <w:rFonts w:ascii="Times New Roman" w:cs="Times New Roman" w:eastAsia="Times New Roman" w:hAnsi="Times New Roman"/>
          <w:sz w:val="22"/>
          <w:szCs w:val="22"/>
          <w:color w:val="auto"/>
        </w:rPr>
        <w:t>. A Borrower may terminate the unused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the Revolving Commitment of a Defaulting Lender upon not less than three (3) Business Days’ prior notice to the Applicable Administrative Agent (which will promptly notify the Revolving Lenders of the same Class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termination will not be deemed to be a waiver or release of any claim a Borrower, an Administrative Agent, an Issuing Bank or any Lender may have against such Defaulting Lender.</w:t>
      </w:r>
    </w:p>
    <w:p>
      <w:pPr>
        <w:spacing w:after="0" w:line="13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2.25</w:t>
      </w:r>
      <w:r>
        <w:rPr>
          <w:sz w:val="20"/>
          <w:szCs w:val="20"/>
          <w:color w:val="auto"/>
        </w:rPr>
        <w:tab/>
      </w:r>
      <w:r>
        <w:rPr>
          <w:rFonts w:ascii="Times New Roman" w:cs="Times New Roman" w:eastAsia="Times New Roman" w:hAnsi="Times New Roman"/>
          <w:sz w:val="21"/>
          <w:szCs w:val="21"/>
          <w:b w:val="1"/>
          <w:bCs w:val="1"/>
          <w:i w:val="1"/>
          <w:iCs w:val="1"/>
          <w:color w:val="auto"/>
        </w:rPr>
        <w:t>Incremental Revolving Credit Increase</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7" w:lineRule="auto"/>
        <w:tabs>
          <w:tab w:leader="none" w:pos="1941"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after the Closing Date, any Borrower may by written notice to the Applicable Administrative Agent elect to request the establishment of one or more increases in one or more of the Revolving Commitments (an “</w:t>
      </w:r>
      <w:r>
        <w:rPr>
          <w:rFonts w:ascii="Times New Roman" w:cs="Times New Roman" w:eastAsia="Times New Roman" w:hAnsi="Times New Roman"/>
          <w:sz w:val="21"/>
          <w:szCs w:val="21"/>
          <w:i w:val="1"/>
          <w:iCs w:val="1"/>
          <w:color w:val="auto"/>
        </w:rPr>
        <w:t>Incremental Revolving Commitment</w:t>
      </w:r>
      <w:r>
        <w:rPr>
          <w:rFonts w:ascii="Times New Roman" w:cs="Times New Roman" w:eastAsia="Times New Roman" w:hAnsi="Times New Roman"/>
          <w:sz w:val="21"/>
          <w:szCs w:val="21"/>
          <w:color w:val="auto"/>
        </w:rPr>
        <w:t>”) to make incremental Revolving Credit Loans (any Revolving Credit Loans made pursuant to such Incremental Revolving Commitments, the “</w:t>
      </w:r>
      <w:r>
        <w:rPr>
          <w:rFonts w:ascii="Times New Roman" w:cs="Times New Roman" w:eastAsia="Times New Roman" w:hAnsi="Times New Roman"/>
          <w:sz w:val="21"/>
          <w:szCs w:val="21"/>
          <w:i w:val="1"/>
          <w:iCs w:val="1"/>
          <w:color w:val="auto"/>
        </w:rPr>
        <w:t>Incremental Revolving Credit Increase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(1) the aggregate amount for all such Incremental Revolving Commitments shall not exceed $100,000,000 and (2) the aggregate amount for each Incremental Revolving Commitment shall not be less than a minimum principal amount of $10,000,000 or, if less, the remaining amount permitted pursuant to the foregoing clause (1). Each such notice shall specify the date (each, an “</w:t>
      </w:r>
      <w:r>
        <w:rPr>
          <w:rFonts w:ascii="Times New Roman" w:cs="Times New Roman" w:eastAsia="Times New Roman" w:hAnsi="Times New Roman"/>
          <w:sz w:val="21"/>
          <w:szCs w:val="21"/>
          <w:i w:val="1"/>
          <w:iCs w:val="1"/>
          <w:color w:val="auto"/>
        </w:rPr>
        <w:t>Increased Amount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Date</w:t>
      </w:r>
      <w:r>
        <w:rPr>
          <w:rFonts w:ascii="Times New Roman" w:cs="Times New Roman" w:eastAsia="Times New Roman" w:hAnsi="Times New Roman"/>
          <w:sz w:val="21"/>
          <w:szCs w:val="21"/>
          <w:color w:val="auto"/>
        </w:rPr>
        <w:t>”) on which the Applicable Borrower proposes that any Incremental Revolving Commitment shall be effective, which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 a date not less than twenty (20) Business Days after the date on which such notice is delivered to Administrative Agent. The Applicable Borrower may invite any Lender, any Affiliate of any Lender and/or any Approved Fund, and/or any other person reasonably satisfactory to the Applicable Administrative Agent, the Applicable Issuing Bank and the Applicable Swing Line Lender, if any, to provide an Incremental Revolving Commitment (any such person that provides an Incremental Revolving Commitment, an “</w:t>
      </w:r>
      <w:r>
        <w:rPr>
          <w:rFonts w:ascii="Times New Roman" w:cs="Times New Roman" w:eastAsia="Times New Roman" w:hAnsi="Times New Roman"/>
          <w:sz w:val="21"/>
          <w:szCs w:val="21"/>
          <w:i w:val="1"/>
          <w:iCs w:val="1"/>
          <w:color w:val="auto"/>
        </w:rPr>
        <w:t>Incremental Lender</w:t>
      </w:r>
      <w:r>
        <w:rPr>
          <w:rFonts w:ascii="Times New Roman" w:cs="Times New Roman" w:eastAsia="Times New Roman" w:hAnsi="Times New Roman"/>
          <w:sz w:val="21"/>
          <w:szCs w:val="21"/>
          <w:color w:val="auto"/>
        </w:rPr>
        <w:t xml:space="preserve">”). Any Lender or any Incremental Lender offered or approached to provide all or a portion of any Incremental Revolving Commitment may elect or decline, in its sole discretion, to provide such Incremental Revolving Commitment. Any Incremental Revolving Commitment shall become effective as of such Increased Amount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56" w:lineRule="exact"/>
        <w:rPr>
          <w:rFonts w:ascii="Times New Roman" w:cs="Times New Roman" w:eastAsia="Times New Roman" w:hAnsi="Times New Roman"/>
          <w:sz w:val="21"/>
          <w:szCs w:val="21"/>
          <w:color w:val="auto"/>
        </w:rPr>
      </w:pPr>
    </w:p>
    <w:p>
      <w:pPr>
        <w:jc w:val="both"/>
        <w:ind w:left="1300" w:firstLine="1300"/>
        <w:spacing w:after="0" w:line="225" w:lineRule="auto"/>
        <w:tabs>
          <w:tab w:leader="none" w:pos="3235"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Default or Event of Default shall exist on such Increased Amount Date before or after giving effect to (1) any Incremental Revolving Commitment and (2) the making of any Incremental Revolving Credit Increase pursuant thereto;</w:t>
      </w:r>
    </w:p>
    <w:p>
      <w:pPr>
        <w:spacing w:after="0" w:line="152" w:lineRule="exact"/>
        <w:rPr>
          <w:rFonts w:ascii="Times New Roman" w:cs="Times New Roman" w:eastAsia="Times New Roman" w:hAnsi="Times New Roman"/>
          <w:sz w:val="20"/>
          <w:szCs w:val="20"/>
          <w:color w:val="auto"/>
        </w:rPr>
      </w:pPr>
    </w:p>
    <w:p>
      <w:pPr>
        <w:jc w:val="both"/>
        <w:ind w:left="1300" w:firstLine="1300"/>
        <w:spacing w:after="0" w:line="224" w:lineRule="auto"/>
        <w:tabs>
          <w:tab w:leader="none" w:pos="3238"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Applicable Borrower shall have delivered to the Administrative Agent (which shall promptly make such information available to the Lenders in accordance with its customary practice) a Compliance Certificate demonstrating that the Parent Borrower will be in compliance on a pro forma basis (using the criteria therefor described in Section 6.04(i)) with the Financial Covenants after giving effect to (1) any Incremental Revolving Commitment (and assuming that the Revolving Commitments (including any Incremental Revolving Commitments) are fully drawn), (2) the making of any Incremental Revolving Credit Increase pursuant thereto and (3) any Permitted Acquisition or other contemplated use of proceeds consummated in connection therewith;</w:t>
      </w:r>
    </w:p>
    <w:p>
      <w:pPr>
        <w:spacing w:after="0" w:line="150" w:lineRule="exact"/>
        <w:rPr>
          <w:rFonts w:ascii="Times New Roman" w:cs="Times New Roman" w:eastAsia="Times New Roman" w:hAnsi="Times New Roman"/>
          <w:sz w:val="19"/>
          <w:szCs w:val="19"/>
          <w:color w:val="auto"/>
        </w:rPr>
      </w:pPr>
    </w:p>
    <w:p>
      <w:pPr>
        <w:jc w:val="both"/>
        <w:ind w:left="1300" w:firstLine="1300"/>
        <w:spacing w:after="0" w:line="225" w:lineRule="auto"/>
        <w:tabs>
          <w:tab w:leader="none" w:pos="323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proceeds of any Incremental Revolving Credit Increase shall be used for ongoing working capital requirements and other general corporate purposes of the Applicable Borrower and its Subsidiaries (including Permitted Acquisitions);</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05" w:name="page106"/>
    <w:bookmarkEnd w:id="105"/>
    <w:p>
      <w:pPr>
        <w:jc w:val="both"/>
        <w:ind w:left="1300" w:firstLine="1300"/>
        <w:spacing w:after="0" w:line="225" w:lineRule="auto"/>
        <w:tabs>
          <w:tab w:leader="none" w:pos="323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Incremental Revolving Commitment (and the Incremental Revolving Credit Increase made thereunder) shall constitute Obligations of the Applicable Borrower and shall be secured and guaranteed with the other Revolving Credit Loans of such Class on a pari passu basis;</w:t>
      </w:r>
    </w:p>
    <w:p>
      <w:pPr>
        <w:spacing w:after="0" w:line="152" w:lineRule="exact"/>
        <w:rPr>
          <w:rFonts w:ascii="Times New Roman" w:cs="Times New Roman" w:eastAsia="Times New Roman" w:hAnsi="Times New Roman"/>
          <w:sz w:val="20"/>
          <w:szCs w:val="20"/>
          <w:color w:val="auto"/>
        </w:rPr>
      </w:pPr>
    </w:p>
    <w:p>
      <w:pPr>
        <w:ind w:left="1300" w:firstLine="1300"/>
        <w:spacing w:after="0" w:line="236" w:lineRule="auto"/>
        <w:tabs>
          <w:tab w:leader="none" w:pos="32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case of each Incremental Revolving Commitment (the terms of which shall be set forth the relevant Lender Joinder Agreement):</w:t>
      </w:r>
    </w:p>
    <w:p>
      <w:pPr>
        <w:spacing w:after="0" w:line="150" w:lineRule="exact"/>
        <w:rPr>
          <w:rFonts w:ascii="Times New Roman" w:cs="Times New Roman" w:eastAsia="Times New Roman" w:hAnsi="Times New Roman"/>
          <w:sz w:val="20"/>
          <w:szCs w:val="20"/>
          <w:color w:val="auto"/>
        </w:rPr>
      </w:pPr>
    </w:p>
    <w:p>
      <w:pPr>
        <w:jc w:val="both"/>
        <w:ind w:left="1960" w:firstLine="1288"/>
        <w:spacing w:after="0" w:line="215" w:lineRule="auto"/>
        <w:tabs>
          <w:tab w:leader="none" w:pos="389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any Incremental Revolving Credit Increase made pursuant to such Incremental Revolving Commitment shall mature on the Maturity Date, shall bear interest at the rate applicable to the Revolving Credit Loans and shall be subject to the same terms and conditions as the Revolving Credit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Incremental Lenders in respect of any Incremental Revolving Commitment may receive upfront fees determined by the Applicable Administrative Agent, the applicable Incremental Lenders and the Applicable Borrower;</w:t>
      </w:r>
    </w:p>
    <w:p>
      <w:pPr>
        <w:spacing w:after="0" w:line="152" w:lineRule="exact"/>
        <w:rPr>
          <w:rFonts w:ascii="Times New Roman" w:cs="Times New Roman" w:eastAsia="Times New Roman" w:hAnsi="Times New Roman"/>
          <w:sz w:val="20"/>
          <w:szCs w:val="20"/>
          <w:color w:val="auto"/>
        </w:rPr>
      </w:pPr>
    </w:p>
    <w:p>
      <w:pPr>
        <w:jc w:val="both"/>
        <w:ind w:left="1960" w:firstLine="1288"/>
        <w:spacing w:after="0" w:line="211" w:lineRule="auto"/>
        <w:tabs>
          <w:tab w:leader="none" w:pos="389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outstanding Revolving Credit Loans and Applicable Pro Rata Percentages of Swing Line Loans and the aggregate amount available to be drawn under all applicable Letters of Credit of the applicable Class will be reallocated by the Applicable Administrative Agent on the applicable Increased Amount Date among the Applicable Lenders (including the Incremental Lenders providing such Incremental Revolving Commitment) in accordance with their revised Applicable Pro Rata Percentages (and the Revolving Lenders (including the Incremental Lenders providing such Incremental Revolving Commitment) agree to make all payments and adjustments necessary to effect such reallocation and the Applicable Borrower shall pay any and all costs required pursuant to Section 2.15 in connection with such reallocation as if such reallocation were a repayment); and</w:t>
      </w:r>
    </w:p>
    <w:p>
      <w:pPr>
        <w:spacing w:after="0" w:line="158" w:lineRule="exact"/>
        <w:rPr>
          <w:rFonts w:ascii="Times New Roman" w:cs="Times New Roman" w:eastAsia="Times New Roman" w:hAnsi="Times New Roman"/>
          <w:sz w:val="20"/>
          <w:szCs w:val="20"/>
          <w:color w:val="auto"/>
        </w:rPr>
      </w:pPr>
    </w:p>
    <w:p>
      <w:pPr>
        <w:jc w:val="both"/>
        <w:ind w:left="1960" w:firstLine="1288"/>
        <w:spacing w:after="0" w:line="220" w:lineRule="auto"/>
        <w:tabs>
          <w:tab w:leader="none" w:pos="389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of the other terms and conditions applicable to such Incremental Revolving Commitment shall, except to the extent otherwise provided in this Section 2.25, be identical to the terms and conditions applicable to the U.S. Revolving Credit Facility, the Canadian Revolving Credit Facility or the Australian Revolving Credit Facility, as the case may be;</w:t>
      </w:r>
    </w:p>
    <w:p>
      <w:pPr>
        <w:spacing w:after="0" w:line="152" w:lineRule="exact"/>
        <w:rPr>
          <w:rFonts w:ascii="Times New Roman" w:cs="Times New Roman" w:eastAsia="Times New Roman" w:hAnsi="Times New Roman"/>
          <w:sz w:val="20"/>
          <w:szCs w:val="20"/>
          <w:color w:val="auto"/>
        </w:rPr>
      </w:pPr>
    </w:p>
    <w:p>
      <w:pPr>
        <w:jc w:val="both"/>
        <w:ind w:left="1300" w:firstLine="1300"/>
        <w:spacing w:after="0" w:line="217" w:lineRule="auto"/>
        <w:tabs>
          <w:tab w:leader="none" w:pos="324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Incremental Lender shall be entitled to the same voting rights as the existing Revolving Lenders under the U.S. Revolving Credit Facility, the Canadian Revolving Credit Facility or the Australian Revolving Credit Facility, as the case may be, and any Loans or issuances of Letters of Credit made in connection with each Incremental Revolving Credit Increase shall receive proceeds of prepayments on the same basis as the other Revolving Credit Loans made hereunder;</w:t>
      </w:r>
    </w:p>
    <w:p>
      <w:pPr>
        <w:spacing w:after="0" w:line="152" w:lineRule="exact"/>
        <w:rPr>
          <w:rFonts w:ascii="Times New Roman" w:cs="Times New Roman" w:eastAsia="Times New Roman" w:hAnsi="Times New Roman"/>
          <w:sz w:val="20"/>
          <w:szCs w:val="20"/>
          <w:color w:val="auto"/>
        </w:rPr>
      </w:pPr>
    </w:p>
    <w:p>
      <w:pPr>
        <w:jc w:val="both"/>
        <w:ind w:left="1300" w:firstLine="1300"/>
        <w:spacing w:after="0" w:line="217" w:lineRule="auto"/>
        <w:tabs>
          <w:tab w:leader="none" w:pos="323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such Incremental Revolving Commitments shall be effected pursuant to one or more Lender Joinder Agreements executed and delivered by the Applicable Borrower, the Applicable Administrative Agent and the applicable Incremental Lenders (which Lender Joinder Agreement may, without the consent of any other Lenders, effect such amendments to this Agreement and the other Loan Documents as may be necessary or appropriate, in the opinion of the</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06" w:name="page107"/>
    <w:bookmarkEnd w:id="106"/>
    <w:p>
      <w:pPr>
        <w:ind w:left="1300"/>
        <w:spacing w:after="0"/>
        <w:rPr>
          <w:sz w:val="20"/>
          <w:szCs w:val="20"/>
          <w:color w:val="auto"/>
        </w:rPr>
      </w:pPr>
      <w:r>
        <w:rPr>
          <w:rFonts w:ascii="Times New Roman" w:cs="Times New Roman" w:eastAsia="Times New Roman" w:hAnsi="Times New Roman"/>
          <w:sz w:val="22"/>
          <w:szCs w:val="22"/>
          <w:color w:val="auto"/>
        </w:rPr>
        <w:t>Applicable Administrative Agent, to effect the provisions of this Section 2.25); and</w:t>
      </w:r>
    </w:p>
    <w:p>
      <w:pPr>
        <w:spacing w:after="0" w:line="179" w:lineRule="exact"/>
        <w:rPr>
          <w:sz w:val="20"/>
          <w:szCs w:val="20"/>
          <w:color w:val="auto"/>
        </w:rPr>
      </w:pPr>
    </w:p>
    <w:p>
      <w:pPr>
        <w:jc w:val="both"/>
        <w:ind w:left="1300" w:firstLine="1300"/>
        <w:spacing w:after="0" w:line="220" w:lineRule="auto"/>
        <w:tabs>
          <w:tab w:leader="none" w:pos="3235"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Applicable Borrower shall deliver or cause to be delivered any customary legal opinions or other documents (including, without limitation, a resolution duly adopted by the board of directors (or equivalent governing body) of each Loan Party authorizing such Incremental Loan) reasonably requested by Applicable Administrative Agent in connection with any such transaction.</w:t>
      </w:r>
    </w:p>
    <w:p>
      <w:pPr>
        <w:spacing w:after="0" w:line="152" w:lineRule="exact"/>
        <w:rPr>
          <w:rFonts w:ascii="Times New Roman" w:cs="Times New Roman" w:eastAsia="Times New Roman" w:hAnsi="Times New Roman"/>
          <w:sz w:val="20"/>
          <w:szCs w:val="20"/>
          <w:color w:val="auto"/>
        </w:rPr>
      </w:pPr>
    </w:p>
    <w:p>
      <w:pPr>
        <w:jc w:val="both"/>
        <w:ind w:firstLine="1304"/>
        <w:spacing w:after="0" w:line="225" w:lineRule="auto"/>
        <w:tabs>
          <w:tab w:leader="none" w:pos="193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Incremental Lenders shall be included in any determination of the Required U.S. Lenders, the Required Canadian Revolving Lenders or the Required Australian Lenders, as the case may be, and the Incremental Lenders will not constitute a separate voting class for any purposes under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Increased Amount Date on which any Incremental Revolving Credit Increase becomes effective, subject to the foregoing terms and conditions, each Incremental Lender with an Incremental Revolving Commitment shall become a Revolving Lender hereunder with respect to such Incremental Revolving Commitment.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any Incremental Revolving Credit Increase established for use by the Australian Borrower may be structured so as to obtain an exemption under section 128F of the Australian Tax Act (including by way of an issuance of loan notes to the extent required).</w:t>
      </w:r>
    </w:p>
    <w:p>
      <w:pPr>
        <w:spacing w:after="0" w:line="14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2.26</w:t>
      </w:r>
      <w:r>
        <w:rPr>
          <w:sz w:val="20"/>
          <w:szCs w:val="20"/>
          <w:color w:val="auto"/>
        </w:rPr>
        <w:tab/>
      </w:r>
      <w:r>
        <w:rPr>
          <w:rFonts w:ascii="Times New Roman" w:cs="Times New Roman" w:eastAsia="Times New Roman" w:hAnsi="Times New Roman"/>
          <w:sz w:val="21"/>
          <w:szCs w:val="21"/>
          <w:b w:val="1"/>
          <w:bCs w:val="1"/>
          <w:i w:val="1"/>
          <w:iCs w:val="1"/>
          <w:color w:val="auto"/>
        </w:rPr>
        <w:t>Benchmark Replacement</w:t>
      </w:r>
      <w:r>
        <w:rPr>
          <w:rFonts w:ascii="Times New Roman" w:cs="Times New Roman" w:eastAsia="Times New Roman" w:hAnsi="Times New Roman"/>
          <w:sz w:val="21"/>
          <w:szCs w:val="21"/>
          <w:color w:val="auto"/>
        </w:rPr>
        <w:t>.</w:t>
      </w:r>
    </w:p>
    <w:p>
      <w:pPr>
        <w:spacing w:after="0" w:line="20" w:lineRule="exact"/>
        <w:rPr>
          <w:sz w:val="20"/>
          <w:szCs w:val="20"/>
          <w:color w:val="auto"/>
        </w:rPr>
      </w:pPr>
    </w:p>
    <w:p>
      <w:pPr>
        <w:ind w:left="1940" w:hanging="636"/>
        <w:spacing w:after="0"/>
        <w:tabs>
          <w:tab w:leader="none" w:pos="19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0"/>
          <w:szCs w:val="20"/>
          <w:color w:val="auto"/>
        </w:rPr>
      </w:pPr>
    </w:p>
    <w:p>
      <w:pPr>
        <w:jc w:val="both"/>
        <w:ind w:left="660" w:firstLine="1292"/>
        <w:spacing w:after="0" w:line="205" w:lineRule="auto"/>
        <w:tabs>
          <w:tab w:leader="none" w:pos="259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upon the occurrence of a Benchmark Transition Event, the Administrative Agent and the Borrowers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after the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Section 2.26(a) will occur prior to the applicable Benchmark Transition Start Date.</w:t>
      </w:r>
    </w:p>
    <w:p>
      <w:pPr>
        <w:spacing w:after="0" w:line="143"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Hedging Agreement shall be deemed to be a “Loan Document” for purposes of this Section</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2.26.</w:t>
      </w:r>
    </w:p>
    <w:p>
      <w:pPr>
        <w:spacing w:after="0" w:line="16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Benchmark Replacement Conforming Changes</w:t>
      </w:r>
      <w:r>
        <w:rPr>
          <w:rFonts w:ascii="Times New Roman" w:cs="Times New Roman" w:eastAsia="Times New Roman" w:hAnsi="Times New Roman"/>
          <w:sz w:val="22"/>
          <w:szCs w:val="22"/>
          <w:color w:val="auto"/>
        </w:rPr>
        <w:t>. In connection with the use, administration, adoption</w:t>
      </w:r>
    </w:p>
    <w:p>
      <w:pPr>
        <w:spacing w:after="0" w:line="18" w:lineRule="exact"/>
        <w:rPr>
          <w:sz w:val="20"/>
          <w:szCs w:val="20"/>
          <w:color w:val="auto"/>
        </w:rPr>
      </w:pPr>
    </w:p>
    <w:p>
      <w:pPr>
        <w:jc w:val="both"/>
        <w:ind w:right="600"/>
        <w:spacing w:after="0"/>
        <w:rPr>
          <w:sz w:val="20"/>
          <w:szCs w:val="20"/>
          <w:color w:val="auto"/>
        </w:rPr>
      </w:pPr>
      <w:r>
        <w:rPr>
          <w:rFonts w:ascii="Times New Roman" w:cs="Times New Roman" w:eastAsia="Times New Roman" w:hAnsi="Times New Roman"/>
          <w:sz w:val="22"/>
          <w:szCs w:val="22"/>
          <w:color w:val="auto"/>
        </w:rPr>
        <w:t>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07" w:name="page108"/>
    <w:bookmarkEnd w:id="107"/>
    <w:p>
      <w:pPr>
        <w:jc w:val="both"/>
        <w:ind w:right="20" w:firstLine="1304"/>
        <w:spacing w:after="0" w:line="249" w:lineRule="auto"/>
        <w:tabs>
          <w:tab w:leader="none" w:pos="193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 promptly notify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Parent Borrower and the Lenders of (i) the implementation of any Benchmark Replacement and (ii) the effectiveness of any Conforming Changes in connection with the use, administration, adoption or implementation of a Benchmark Replacement. The Administrative Agent will promptly notify the Parent Borrower of (x) the removal or reinstatement of any tenor of a Benchmark pursuant to Section 2.26(d) and (y) the commencement of any Benchmark Unavailability Period. Any determination, decision or election that may be made by the Administrative Agent or, if applicable, any Lender (or group of Lenders) pursuant to this Section 2.26,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2.26.</w:t>
      </w:r>
    </w:p>
    <w:p>
      <w:pPr>
        <w:spacing w:after="0" w:line="217" w:lineRule="exact"/>
        <w:rPr>
          <w:rFonts w:ascii="Times New Roman" w:cs="Times New Roman" w:eastAsia="Times New Roman" w:hAnsi="Times New Roman"/>
          <w:sz w:val="20"/>
          <w:szCs w:val="20"/>
          <w:color w:val="auto"/>
        </w:rPr>
      </w:pPr>
    </w:p>
    <w:p>
      <w:pPr>
        <w:jc w:val="both"/>
        <w:ind w:firstLine="1304"/>
        <w:spacing w:after="0" w:line="248" w:lineRule="auto"/>
        <w:tabs>
          <w:tab w:leader="none" w:pos="193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(or any similar or analogous definition) for all Benchmark settings at or after such time to reinstate such previously removed tenor.</w:t>
      </w:r>
    </w:p>
    <w:p>
      <w:pPr>
        <w:spacing w:after="0" w:line="21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3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Upon the Borrowers’ receipt of notice of the commencement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Unavailability Period, the Borrowers may revoke any request for a SOFR Loan of, conversion to or continuation of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Alternate Base Rate or U.S. Base Rate, respectively, based upon the then-current Benchmark or such tenor for such Benchmark, as applicable, will not be used in any determination of Alternate Base Rate or U.S. Base Rate, respectively.</w:t>
      </w:r>
    </w:p>
    <w:p>
      <w:pPr>
        <w:spacing w:after="0" w:line="3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0820"/>
          </w:cols>
          <w:pgMar w:left="320" w:top="1418" w:right="759" w:bottom="1440" w:gutter="0" w:footer="0" w:header="0"/>
        </w:sectPr>
      </w:pPr>
    </w:p>
    <w:bookmarkStart w:id="108" w:name="page109"/>
    <w:bookmarkEnd w:id="108"/>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2.27</w:t>
      </w:r>
      <w:r>
        <w:rPr>
          <w:sz w:val="20"/>
          <w:szCs w:val="20"/>
          <w:color w:val="auto"/>
        </w:rPr>
        <w:tab/>
      </w:r>
      <w:r>
        <w:rPr>
          <w:rFonts w:ascii="Times New Roman" w:cs="Times New Roman" w:eastAsia="Times New Roman" w:hAnsi="Times New Roman"/>
          <w:sz w:val="21"/>
          <w:szCs w:val="21"/>
          <w:b w:val="1"/>
          <w:bCs w:val="1"/>
          <w:i w:val="1"/>
          <w:iCs w:val="1"/>
          <w:color w:val="auto"/>
        </w:rPr>
        <w:t>Canadian Benchmark Replacement</w:t>
      </w:r>
      <w:r>
        <w:rPr>
          <w:rFonts w:ascii="Times New Roman" w:cs="Times New Roman" w:eastAsia="Times New Roman" w:hAnsi="Times New Roman"/>
          <w:sz w:val="21"/>
          <w:szCs w:val="21"/>
          <w:color w:val="auto"/>
        </w:rPr>
        <w:t>.</w:t>
      </w:r>
    </w:p>
    <w:p>
      <w:pPr>
        <w:spacing w:after="0" w:line="20" w:lineRule="exact"/>
        <w:rPr>
          <w:sz w:val="20"/>
          <w:szCs w:val="20"/>
          <w:color w:val="auto"/>
        </w:rPr>
      </w:pPr>
    </w:p>
    <w:p>
      <w:pPr>
        <w:ind w:left="1940" w:hanging="636"/>
        <w:spacing w:after="0"/>
        <w:tabs>
          <w:tab w:leader="none" w:pos="19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Canadian Benchmark Replacement</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20"/>
          <w:szCs w:val="20"/>
          <w:color w:val="auto"/>
        </w:rPr>
      </w:pPr>
    </w:p>
    <w:p>
      <w:pPr>
        <w:jc w:val="both"/>
        <w:ind w:left="1120" w:firstLine="832"/>
        <w:spacing w:after="0" w:line="258" w:lineRule="auto"/>
        <w:tabs>
          <w:tab w:leader="none" w:pos="2518" w:val="left"/>
        </w:tabs>
        <w:numPr>
          <w:ilvl w:val="2"/>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if a Canadian Benchmark Transition Event and its related Canadian Benchmark Replacement Date have occurred prior to any setting of the then-current Canadian Benchmark, then (x) if a Canadian Benchmark Replacement is determined in accordance with clause (a) of the definition of “Canadian Benchmark Replacement” for such Canadian Benchmark Replacement Date, such Canadian Benchmark Replacement will replace such Canadian Benchmark for all purposes hereunder and under any Loan Document in respect of such Canadian Benchmark setting and subsequent Canadian Benchmark settings without any amendment to, or further action or consent of any other party to, this Agreement or any other Loan Document and (y) if a Canadian Benchmark Replacement is determined in accordance with clause</w:t>
      </w:r>
    </w:p>
    <w:p>
      <w:pPr>
        <w:jc w:val="both"/>
        <w:ind w:left="1120" w:firstLine="4"/>
        <w:spacing w:after="0" w:line="247" w:lineRule="auto"/>
        <w:tabs>
          <w:tab w:leader="none" w:pos="143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“Canadian Benchmark Replacement” for such Canadian Benchmark Replacement Date, such Canadian Benchmark Replacement will replace such Canadian Benchmark for all purposes hereunder and under any Loan Document in respect of any Canadian Benchmark setting at or after 5:00 p.m. (Toronto time) on the fifth (5th) Business Day after the date notice of such Canadian Benchmark Replacement is provided to the Lenders without any amendment to, or further action or consent of any other party to, this Agreement or any other Loan Document so long as the Canadian Administrative Agent has not received, by such time, written notice of objection to such Canadian Benchmark Replacement from Lenders comprising the Applicable Required Lenders. If the Canadian Benchmark Replacement is Daily Compounded CORRA, all interest payments will be payable on the last day of each Interest Period.</w:t>
      </w:r>
    </w:p>
    <w:p>
      <w:pPr>
        <w:spacing w:after="0" w:line="211"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2"/>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Hedging Agreement shall be deemed to be a “Loan Document” for purposes of this Section 2.27.</w:t>
      </w:r>
    </w:p>
    <w:p>
      <w:pPr>
        <w:spacing w:after="0" w:line="240" w:lineRule="exact"/>
        <w:rPr>
          <w:rFonts w:ascii="Times New Roman" w:cs="Times New Roman" w:eastAsia="Times New Roman" w:hAnsi="Times New Roman"/>
          <w:sz w:val="21"/>
          <w:szCs w:val="21"/>
          <w:color w:val="auto"/>
        </w:rPr>
      </w:pPr>
    </w:p>
    <w:p>
      <w:pPr>
        <w:jc w:val="both"/>
        <w:ind w:firstLine="1304"/>
        <w:spacing w:after="0" w:line="248" w:lineRule="auto"/>
        <w:tabs>
          <w:tab w:leader="none" w:pos="193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Canadian Conforming Changes</w:t>
      </w:r>
      <w:r>
        <w:rPr>
          <w:rFonts w:ascii="Times New Roman" w:cs="Times New Roman" w:eastAsia="Times New Roman" w:hAnsi="Times New Roman"/>
          <w:sz w:val="22"/>
          <w:szCs w:val="22"/>
          <w:color w:val="auto"/>
        </w:rPr>
        <w:t>. In connection with the use, administration, adoption or implementation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Canadian Benchmark Replacement, the Canadian Administrative Agent will have the right to make such Canadian Conforming Changes from time to time in consultation with the Borrowers and, notwithstanding anything to the contrary herein or in any other Loan Document, any amendments implementing such Canadian Conforming Changes will become effective without any further action or consent of any other party to this Agreement or any other Loan Document.</w:t>
      </w:r>
    </w:p>
    <w:p>
      <w:pPr>
        <w:spacing w:after="0" w:line="218"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Canadian Administrative Agent will promptly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notify the Borrowers and the Lenders of (i) the implementation of any Canadian Benchmark Replacement and (ii) the effectiveness of any such Canadian Conforming Changes in connection with the use, administration, adoption or implementation of a Canadian Benchmark Replacement. The Canadian Administrative Agent will notify the Borrowers of (x) the removal or reinstatement of any tenor of a Canadian</w:t>
      </w:r>
    </w:p>
    <w:p>
      <w:pPr>
        <w:spacing w:after="0" w:line="3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89" w:right="339" w:bottom="1440" w:gutter="0" w:footer="0" w:header="0"/>
        </w:sectPr>
      </w:pPr>
    </w:p>
    <w:bookmarkStart w:id="109" w:name="page110"/>
    <w:bookmarkEnd w:id="109"/>
    <w:p>
      <w:pPr>
        <w:jc w:val="both"/>
        <w:spacing w:after="0" w:line="250" w:lineRule="auto"/>
        <w:rPr>
          <w:sz w:val="20"/>
          <w:szCs w:val="20"/>
          <w:color w:val="auto"/>
        </w:rPr>
      </w:pPr>
      <w:r>
        <w:rPr>
          <w:rFonts w:ascii="Times New Roman" w:cs="Times New Roman" w:eastAsia="Times New Roman" w:hAnsi="Times New Roman"/>
          <w:sz w:val="22"/>
          <w:szCs w:val="22"/>
          <w:color w:val="auto"/>
        </w:rPr>
        <w:t>Benchmark pursuant to Section 2.27(d) and (y) the commencement of any Canadian Benchmark Unavailability Period. Any determination, decision or election that may be made by the Canadian Administrative Agent or, if applicable, any Lender (or group of Lenders) pursuant to this Section 2.27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2.27.</w:t>
      </w:r>
    </w:p>
    <w:p>
      <w:pPr>
        <w:spacing w:after="0" w:line="203" w:lineRule="exact"/>
        <w:rPr>
          <w:sz w:val="20"/>
          <w:szCs w:val="20"/>
          <w:color w:val="auto"/>
        </w:rPr>
      </w:pPr>
    </w:p>
    <w:p>
      <w:pPr>
        <w:jc w:val="both"/>
        <w:ind w:firstLine="1304"/>
        <w:spacing w:after="0" w:line="248"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Unavailability of Tenor Canadian Benchmark</w:t>
      </w:r>
      <w:r>
        <w:rPr>
          <w:rFonts w:ascii="Times New Roman" w:cs="Times New Roman" w:eastAsia="Times New Roman" w:hAnsi="Times New Roman"/>
          <w:sz w:val="22"/>
          <w:szCs w:val="22"/>
          <w:color w:val="auto"/>
        </w:rPr>
        <w:t>. Notwithstanding anything to the contrary herein or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Loan Document, at any time (including in connection with the implementation of a Canadian Benchmark Replacement), (i) if the then-current Canadian Benchmark is a term rate (including Term CORRA) and either (A) any tenor for such Canadian Benchmark is not displayed on a screen or other information service that publishes such rate from time to time as selected by the Canadian Administrative Agent in its reasonable discretion or (B) the regulatory supervisor for the administrator of such Canadian Benchmark has provided a public statement or publication of information announcing that any tenor for such Canadian Benchmark is not or will not be representative, then the Canadian Administrative Agent may modify the definition of “Interest Period” (or any similar or analogous definition) for any Canadian Benchmark settings at or after such time to remove such unavailable or non-representative tenor and (ii) if a tenor that was removed pursuant to clause (i) above either (A) is subsequently displayed on a screen or information service for a Canadian Benchmark (including a Canadian Benchmark Replacement) or (B) is not, or is no longer, subject to an announcement that it is not or will not be representative for a Canadian Benchmark (including a Canadian Benchmark Replacement), then the Canadian Administrative Agent may modify the definition of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(or any similar or analogous definition) for all Canadian Benchmark settings at or after such time to reinstate such previously removed tenor.</w:t>
      </w:r>
    </w:p>
    <w:p>
      <w:pPr>
        <w:spacing w:after="0" w:line="214"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Canadian Benchmark Unavailability Period</w:t>
      </w:r>
      <w:r>
        <w:rPr>
          <w:rFonts w:ascii="Times New Roman" w:cs="Times New Roman" w:eastAsia="Times New Roman" w:hAnsi="Times New Roman"/>
          <w:sz w:val="22"/>
          <w:szCs w:val="22"/>
          <w:color w:val="auto"/>
        </w:rPr>
        <w:t>. Upon the Borrowers’ receipt of notice of the commencement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 Canadian Benchmark Unavailability Period, the Borrowers may revoke any pending request for a Borrowing of, conversion to or continuation of Loans, which are of the Type that have a rate of interest determined by reference to the then-current Canadian Benchmark, to be made, converted or continued during any Canadian Benchmark Unavailability Period and, failing that, the Borrowers will be deemed to have converted any such request into a request for a Borrowing of or conversion to, (i) for a Canadian Benchmark Unavailability Period in respect of Term CORRA, Daily Compounded CORRA Loans, and (ii) for a Canadian Benchmark Unavailability Period in respect of a Canadian Benchmark other than Term CORRA, Canadian Prime Rate Loans.</w:t>
      </w:r>
    </w:p>
    <w:p>
      <w:pPr>
        <w:spacing w:after="0" w:line="109" w:lineRule="exact"/>
        <w:rPr>
          <w:sz w:val="20"/>
          <w:szCs w:val="20"/>
          <w:color w:val="auto"/>
        </w:rPr>
      </w:pPr>
    </w:p>
    <w:p>
      <w:pPr>
        <w:jc w:val="both"/>
        <w:ind w:left="120" w:right="160" w:firstLine="647"/>
        <w:spacing w:after="0" w:line="27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Adjusted Daily Compounded CORRA</w:t>
      </w:r>
      <w:r>
        <w:rPr>
          <w:rFonts w:ascii="Times New Roman" w:cs="Times New Roman" w:eastAsia="Times New Roman" w:hAnsi="Times New Roman"/>
          <w:sz w:val="22"/>
          <w:szCs w:val="22"/>
          <w:color w:val="auto"/>
        </w:rPr>
        <w:t>” means, for purposes of any calculation, the rate per annum equal to (a) Daily Compounded CORRA for such calculation plus (b) the Daily Compounded CORRA Adjustment; provided, that to the extent if Adjusted Daily</w:t>
      </w:r>
    </w:p>
    <w:p>
      <w:pPr>
        <w:spacing w:after="0" w:line="3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110" w:name="page111"/>
    <w:bookmarkEnd w:id="110"/>
    <w:p>
      <w:pPr>
        <w:spacing w:after="0" w:line="131" w:lineRule="exact"/>
        <w:rPr>
          <w:sz w:val="20"/>
          <w:szCs w:val="20"/>
          <w:color w:val="auto"/>
        </w:rPr>
      </w:pPr>
    </w:p>
    <w:p>
      <w:pPr>
        <w:jc w:val="both"/>
        <w:ind w:left="120"/>
        <w:spacing w:after="0" w:line="284" w:lineRule="auto"/>
        <w:rPr>
          <w:sz w:val="20"/>
          <w:szCs w:val="20"/>
          <w:color w:val="auto"/>
        </w:rPr>
      </w:pPr>
      <w:r>
        <w:rPr>
          <w:rFonts w:ascii="Times New Roman" w:cs="Times New Roman" w:eastAsia="Times New Roman" w:hAnsi="Times New Roman"/>
          <w:sz w:val="22"/>
          <w:szCs w:val="22"/>
          <w:color w:val="auto"/>
        </w:rPr>
        <w:t>Compounded CORRA as so determined shall be less than the Floor, then Adjusted Daily Compounded CORRA shall be deemed to be the Floor.</w:t>
      </w:r>
    </w:p>
    <w:p>
      <w:pPr>
        <w:spacing w:after="0" w:line="84" w:lineRule="exact"/>
        <w:rPr>
          <w:sz w:val="20"/>
          <w:szCs w:val="20"/>
          <w:color w:val="auto"/>
        </w:rPr>
      </w:pPr>
    </w:p>
    <w:p>
      <w:pPr>
        <w:jc w:val="both"/>
        <w:ind w:left="120" w:firstLine="647"/>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Available Tenor</w:t>
      </w:r>
      <w:r>
        <w:rPr>
          <w:rFonts w:ascii="Times New Roman" w:cs="Times New Roman" w:eastAsia="Times New Roman" w:hAnsi="Times New Roman"/>
          <w:sz w:val="21"/>
          <w:szCs w:val="21"/>
          <w:color w:val="auto"/>
        </w:rPr>
        <w:t>” means, as of any date of determination and with respect to the then-current Canadian Benchmark, as applicable, (x) if such Canadian Benchmark is a term rate, any tenor for such Canadian Benchmark (or component thereof) that is or may be used for determining the length of an interest period pursuant to this Agreement or (y) otherwise, any payment period for interest calculated with reference to such Canadian Benchmark (or component thereof) that is or may be used for determining any frequency of making payments of interest calculated with reference to such Canadian Benchmark pursuant to this Agreement, in each case, as of such date and not including, for the avoidance of doubt, any tenor for such Canadian Benchmark that is then-removed from the definition of “Interest Period” pursuant to Section 2.27(d).</w:t>
      </w:r>
    </w:p>
    <w:p>
      <w:pPr>
        <w:spacing w:after="0" w:line="80" w:lineRule="exact"/>
        <w:rPr>
          <w:sz w:val="20"/>
          <w:szCs w:val="20"/>
          <w:color w:val="auto"/>
        </w:rPr>
      </w:pPr>
    </w:p>
    <w:p>
      <w:pPr>
        <w:jc w:val="both"/>
        <w:ind w:left="120"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Benchmark</w:t>
      </w:r>
      <w:r>
        <w:rPr>
          <w:rFonts w:ascii="Times New Roman" w:cs="Times New Roman" w:eastAsia="Times New Roman" w:hAnsi="Times New Roman"/>
          <w:sz w:val="21"/>
          <w:szCs w:val="21"/>
          <w:color w:val="auto"/>
        </w:rPr>
        <w:t>” means, initially, the Term CORRA Reference Rate; provided that if a Canadian Benchmark Transition Event has occurred with respect to the Term CORRA Reference Rate, Daily Compounded CORRA, or the then-current Canadian Benchmark, then “Canadian Benchmark” means the applicable Canadian Benchmark Replacement to the extent that such Canadian Benchmark Replacement has replaced such prior benchmark rate pursuant to Section 2.27(a).</w:t>
      </w:r>
    </w:p>
    <w:p>
      <w:pPr>
        <w:spacing w:after="0" w:line="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Benchmark Replacement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means, with respect to any Canadian Benchmark Transition Event:</w:t>
      </w:r>
    </w:p>
    <w:p>
      <w:pPr>
        <w:spacing w:after="0" w:line="32" w:lineRule="exact"/>
        <w:rPr>
          <w:sz w:val="20"/>
          <w:szCs w:val="20"/>
          <w:color w:val="auto"/>
        </w:rPr>
      </w:pPr>
    </w:p>
    <w:p>
      <w:pPr>
        <w:ind w:left="1740" w:right="20" w:hanging="330"/>
        <w:spacing w:after="0" w:line="261" w:lineRule="auto"/>
        <w:tabs>
          <w:tab w:leader="none" w:pos="173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where a Canadian Benchmark Transition Event has occurred with respect to the Term CORRA Reference Rate, Daily Compounded CORRA; and</w:t>
      </w:r>
    </w:p>
    <w:p>
      <w:pPr>
        <w:spacing w:after="0" w:line="114" w:lineRule="exact"/>
        <w:rPr>
          <w:rFonts w:ascii="Times New Roman" w:cs="Times New Roman" w:eastAsia="Times New Roman" w:hAnsi="Times New Roman"/>
          <w:sz w:val="20"/>
          <w:szCs w:val="20"/>
          <w:color w:val="auto"/>
        </w:rPr>
      </w:pPr>
    </w:p>
    <w:p>
      <w:pPr>
        <w:jc w:val="both"/>
        <w:ind w:left="1740" w:hanging="329"/>
        <w:spacing w:after="0" w:line="258" w:lineRule="auto"/>
        <w:tabs>
          <w:tab w:leader="none" w:pos="173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where a Canadian Benchmark Transition Event has occurred with respect to a Canadian Benchmark other than the Term CORRA Reference Rate, the sum of: (i) the alternate benchmark rate that has been selected by the Canadian Administrative Agent and the Borrowers giving due consideration to (A) any selection or recommendation of a replacement benchmark rate or the mechanism for determining such a rate by the Relevant Canadian Governmental Body or (B) any evolving or then-prevailing market convention for determining a benchmark rate as a replacement to the then-current Canadian Benchmark for Canadian Dollar-denominated syndicated credit facilities and (ii) the related Canadian Benchmark Replacement Adjustment;</w:t>
      </w:r>
    </w:p>
    <w:p>
      <w:pPr>
        <w:spacing w:after="0" w:line="10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Canadian Benchmark Replacement as determined pursuant to clause (a) or (b) above would be less than the Floor, the Canadian Benchmark Replacement will be deemed to be the Floor for the purposes of this Agreement and the other Loan Documents.</w:t>
      </w:r>
    </w:p>
    <w:p>
      <w:pPr>
        <w:spacing w:after="0" w:line="86" w:lineRule="exact"/>
        <w:rPr>
          <w:sz w:val="20"/>
          <w:szCs w:val="20"/>
          <w:color w:val="auto"/>
        </w:rPr>
      </w:pPr>
    </w:p>
    <w:p>
      <w:pPr>
        <w:ind w:left="120" w:firstLine="647"/>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Benchmark Replacement Adjustment</w:t>
      </w:r>
      <w:r>
        <w:rPr>
          <w:rFonts w:ascii="Times New Roman" w:cs="Times New Roman" w:eastAsia="Times New Roman" w:hAnsi="Times New Roman"/>
          <w:sz w:val="22"/>
          <w:szCs w:val="22"/>
          <w:color w:val="auto"/>
        </w:rPr>
        <w:t>” means, with respect to any replacement of the then-current Canadian Benchmark with an Unadjusted Canadian</w:t>
      </w: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99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080"/>
          </w:cols>
          <w:pgMar w:left="320" w:top="1440" w:right="499" w:bottom="1440" w:gutter="0" w:footer="0" w:header="0"/>
        </w:sectPr>
      </w:pPr>
    </w:p>
    <w:bookmarkStart w:id="111" w:name="page112"/>
    <w:bookmarkEnd w:id="111"/>
    <w:p>
      <w:pPr>
        <w:spacing w:after="0" w:line="10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22"/>
          <w:szCs w:val="22"/>
          <w:color w:val="auto"/>
        </w:rPr>
        <w:t>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Canadian Benchmark with the applicable Unadjusted Canadian Benchmark Replacement by the Relevant Canadian Governmental Body or (b) any evolving or then-prevailing market convention for determining a spread adjustment, or method for calculating or determining such spread adjustment, for the replacement of such Canadian Benchmark with the applicable Unadjusted Canadian Benchmark Replacement for Canadian Dollar-denominated syndicated credit facilities at such time.</w:t>
      </w:r>
    </w:p>
    <w:p>
      <w:pPr>
        <w:spacing w:after="0" w:line="102" w:lineRule="exact"/>
        <w:rPr>
          <w:sz w:val="20"/>
          <w:szCs w:val="20"/>
          <w:color w:val="auto"/>
        </w:rPr>
      </w:pPr>
    </w:p>
    <w:p>
      <w:pPr>
        <w:jc w:val="both"/>
        <w:ind w:left="120" w:firstLine="647"/>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Benchmark Replacement Date</w:t>
      </w:r>
      <w:r>
        <w:rPr>
          <w:rFonts w:ascii="Times New Roman" w:cs="Times New Roman" w:eastAsia="Times New Roman" w:hAnsi="Times New Roman"/>
          <w:sz w:val="21"/>
          <w:szCs w:val="21"/>
          <w:color w:val="auto"/>
        </w:rPr>
        <w:t>” means a date and time determined by the Canadian Administrative Agent, which date shall be no later than the earliest to occur of the following events with respect to the then-current Canadian Benchmark: (a) in the case of clause (a) or (b) of the definition of “Canadian Benchmark Transition Event,” the later of (i) the date of the public statement or publication of information referenced therein and (ii) the date on which the administrator of such Canadian Benchmark (or the published component used in the calculation thereof) permanently or indefinitely ceases to provide all Canadian Available Tenors of such Canadian Benchmark (or such component thereof) or (b) in the case of clause</w:t>
      </w:r>
    </w:p>
    <w:p>
      <w:pPr>
        <w:spacing w:after="0" w:line="4" w:lineRule="exact"/>
        <w:rPr>
          <w:sz w:val="20"/>
          <w:szCs w:val="20"/>
          <w:color w:val="auto"/>
        </w:rPr>
      </w:pPr>
    </w:p>
    <w:p>
      <w:pPr>
        <w:jc w:val="both"/>
        <w:ind w:left="120" w:hanging="4"/>
        <w:spacing w:after="0" w:line="259" w:lineRule="auto"/>
        <w:tabs>
          <w:tab w:leader="none" w:pos="4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“Canadian Benchmark Transition Event,” the first date on which such Canadian Benchmark (or the published component used in the calculation thereof) has been determined and announced by the regulatory supervisor for the administrator of such Canadian Benchmark (or such component thereof) to be non-representative; provided that such non-representativeness will be determined by reference to the most recent statement or publication referenced in such clause (c) and even if any Canadian Available Tenor of such Canadian Benchmark (or such component thereof) continues to be provided on such date. For the avoidance of doubt, the “Canadian Benchmark Replacement Date” will be deemed to have occurred in the case of clause (a) or (b) above with respect to any Canadian Benchmark upon the occurrence of the applicable event or events set forth therein with respect to all then-current Canadian Available Tenors of such Canadian Benchmark (or the published component used in the calculation thereof).</w:t>
      </w:r>
    </w:p>
    <w:p>
      <w:pPr>
        <w:spacing w:after="0" w:line="89" w:lineRule="exact"/>
        <w:rPr>
          <w:sz w:val="20"/>
          <w:szCs w:val="20"/>
          <w:color w:val="auto"/>
        </w:rPr>
      </w:pPr>
    </w:p>
    <w:p>
      <w:pPr>
        <w:jc w:val="both"/>
        <w:ind w:left="120" w:right="20" w:firstLine="734"/>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Benchmark Transition Event</w:t>
      </w:r>
      <w:r>
        <w:rPr>
          <w:rFonts w:ascii="Times New Roman" w:cs="Times New Roman" w:eastAsia="Times New Roman" w:hAnsi="Times New Roman"/>
          <w:sz w:val="22"/>
          <w:szCs w:val="22"/>
          <w:color w:val="auto"/>
        </w:rPr>
        <w:t>” the occurrence of one or more of the following events with respect to the then-current Canadian Benchmark: (a) a public statement or publication of information by or on behalf of the administrator of such Canadian Benchmark (or the published component used in the calculation thereof) announcing that such administrator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(b) a public statement or publication of information by the regulatory supervisor for the administrator of such Canadian Benchmark (or the published component</w:t>
      </w:r>
    </w:p>
    <w:p>
      <w:pPr>
        <w:spacing w:after="0" w:line="3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080"/>
          </w:cols>
          <w:pgMar w:left="320" w:top="1440" w:right="499" w:bottom="1440" w:gutter="0" w:footer="0" w:header="0"/>
        </w:sectPr>
      </w:pPr>
    </w:p>
    <w:bookmarkStart w:id="112" w:name="page113"/>
    <w:bookmarkEnd w:id="112"/>
    <w:p>
      <w:pPr>
        <w:spacing w:after="0" w:line="90" w:lineRule="exact"/>
        <w:rPr>
          <w:sz w:val="20"/>
          <w:szCs w:val="20"/>
          <w:color w:val="auto"/>
        </w:rPr>
      </w:pPr>
    </w:p>
    <w:p>
      <w:pPr>
        <w:jc w:val="both"/>
        <w:ind w:left="120"/>
        <w:spacing w:after="0" w:line="260" w:lineRule="auto"/>
        <w:rPr>
          <w:sz w:val="20"/>
          <w:szCs w:val="20"/>
          <w:color w:val="auto"/>
        </w:rPr>
      </w:pPr>
      <w:r>
        <w:rPr>
          <w:rFonts w:ascii="Times New Roman" w:cs="Times New Roman" w:eastAsia="Times New Roman" w:hAnsi="Times New Roman"/>
          <w:sz w:val="22"/>
          <w:szCs w:val="22"/>
          <w:color w:val="auto"/>
        </w:rPr>
        <w:t>used in the calculation thereof), the Bank of Canada, an insolvency official with jurisdiction over the administrator for such Canadian Benchmark (or such component), a resolution authority with jurisdiction over the administrator for such Canadian Benchmark (or such component) or a court or an entity with similar insolvency or resolution authority over the administrator for such Canadian Benchmark (or such component), which states that the administrator of such Canadian Benchmark (or such component)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or (c) a public statement or publication of information by the regulatory supervisor for the administrator of such Canadian Benchmark (or the published component used in the calculation thereof) announcing that all Canadian Available Tenors of such Canadian Benchmark (or such component thereof) are not, or as of a specified future date will not be, representative. For the avoidance of doubt, a “Canadian Benchmark Transition Event” will be deemed to have occurred with respect to any Canadian Benchmark if a public statement or publication of information set forth above has occurred with respect to each then-current Canadian Available Tenor of such Canadian Benchmark (or the published component used in the calculation thereof).</w:t>
      </w:r>
    </w:p>
    <w:p>
      <w:pPr>
        <w:spacing w:after="0" w:line="32" w:lineRule="exact"/>
        <w:rPr>
          <w:sz w:val="20"/>
          <w:szCs w:val="20"/>
          <w:color w:val="auto"/>
        </w:rPr>
      </w:pPr>
    </w:p>
    <w:p>
      <w:pPr>
        <w:jc w:val="both"/>
        <w:ind w:left="120" w:firstLine="647"/>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Canadian Benchmark Unavailability Period</w:t>
      </w:r>
      <w:r>
        <w:rPr>
          <w:rFonts w:ascii="Times New Roman" w:cs="Times New Roman" w:eastAsia="Times New Roman" w:hAnsi="Times New Roman"/>
          <w:sz w:val="21"/>
          <w:szCs w:val="21"/>
          <w:color w:val="auto"/>
        </w:rPr>
        <w:t>” means, the period (if any) (a) beginning at the time that a Canadian Benchmark Replacement Date has occurred if, at such time, no Canadian Benchmark Replacement has replaced the then-current Canadian Benchmark for all purposes hereunder and under any Loan Document in accordance with Section 2.27 and</w:t>
      </w:r>
    </w:p>
    <w:p>
      <w:pPr>
        <w:spacing w:after="0" w:line="2" w:lineRule="exact"/>
        <w:rPr>
          <w:sz w:val="20"/>
          <w:szCs w:val="20"/>
          <w:color w:val="auto"/>
        </w:rPr>
      </w:pPr>
    </w:p>
    <w:p>
      <w:pPr>
        <w:ind w:left="120" w:hanging="4"/>
        <w:spacing w:after="0" w:line="278" w:lineRule="auto"/>
        <w:tabs>
          <w:tab w:leader="none" w:pos="45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ending at the time that a Canadian Benchmark Replacement has replaced the then-current Canadian Benchmark for all purposes hereunder and under any Loan Document in accordance with Section 2.27.</w:t>
      </w:r>
    </w:p>
    <w:p>
      <w:pPr>
        <w:spacing w:after="0" w:line="2" w:lineRule="exact"/>
        <w:rPr>
          <w:sz w:val="20"/>
          <w:szCs w:val="20"/>
          <w:color w:val="auto"/>
        </w:rPr>
      </w:pPr>
    </w:p>
    <w:p>
      <w:pPr>
        <w:jc w:val="both"/>
        <w:ind w:left="120" w:firstLine="64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Conforming Changes</w:t>
      </w:r>
      <w:r>
        <w:rPr>
          <w:rFonts w:ascii="Times New Roman" w:cs="Times New Roman" w:eastAsia="Times New Roman" w:hAnsi="Times New Roman"/>
          <w:sz w:val="22"/>
          <w:szCs w:val="22"/>
          <w:color w:val="auto"/>
        </w:rPr>
        <w:t>” means, with respect to the use or administration of a Canadian Benchmark or the use, administration, adoption or implementation of any Canadian Benchmark Replacement, any technical, administrative or operational changes (including changes to the definition of “Canadian Prime Rate,”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Canadian Administrative Agent decides may be appropriate to reflect the adoption and implementation of any such rate or to permit the use and administration thereof by the Canadian Administrative Agent in a manner substantially consistent with market practice (or, if the Administrative Agent decides that adoption of any portion of such market practice is not administratively feasible or if the Canadian Administrative Agent determines that no market practice for the administration of any such rate exists, in such other manner of administration</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080"/>
          </w:cols>
          <w:pgMar w:left="320" w:top="1440" w:right="499" w:bottom="1440" w:gutter="0" w:footer="0" w:header="0"/>
        </w:sectPr>
      </w:pPr>
    </w:p>
    <w:bookmarkStart w:id="113" w:name="page114"/>
    <w:bookmarkEnd w:id="113"/>
    <w:p>
      <w:pPr>
        <w:spacing w:after="0" w:line="36" w:lineRule="exact"/>
        <w:rPr>
          <w:sz w:val="20"/>
          <w:szCs w:val="20"/>
          <w:color w:val="auto"/>
        </w:rPr>
      </w:pPr>
    </w:p>
    <w:p>
      <w:pPr>
        <w:jc w:val="both"/>
        <w:ind w:left="120" w:right="180"/>
        <w:spacing w:after="0" w:line="285" w:lineRule="auto"/>
        <w:rPr>
          <w:sz w:val="20"/>
          <w:szCs w:val="20"/>
          <w:color w:val="auto"/>
        </w:rPr>
      </w:pPr>
      <w:r>
        <w:rPr>
          <w:rFonts w:ascii="Times New Roman" w:cs="Times New Roman" w:eastAsia="Times New Roman" w:hAnsi="Times New Roman"/>
          <w:sz w:val="22"/>
          <w:szCs w:val="22"/>
          <w:color w:val="auto"/>
        </w:rPr>
        <w:t>as the Canadian Administrative Agent decides is reasonably necessary in connection with the administration of this Agreement and the other Loan Documents).</w:t>
      </w:r>
    </w:p>
    <w:p>
      <w:pPr>
        <w:spacing w:after="0" w:line="1" w:lineRule="exact"/>
        <w:rPr>
          <w:sz w:val="20"/>
          <w:szCs w:val="20"/>
          <w:color w:val="auto"/>
        </w:rPr>
      </w:pPr>
    </w:p>
    <w:p>
      <w:pPr>
        <w:jc w:val="both"/>
        <w:ind w:left="120" w:right="160" w:firstLine="64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Daily Compounded CORRA</w:t>
      </w:r>
      <w:r>
        <w:rPr>
          <w:rFonts w:ascii="Times New Roman" w:cs="Times New Roman" w:eastAsia="Times New Roman" w:hAnsi="Times New Roman"/>
          <w:sz w:val="21"/>
          <w:szCs w:val="21"/>
          <w:color w:val="auto"/>
        </w:rPr>
        <w:t>” means, for any day, CORRA with interest accruing on a compounded daily basis, with the methodology and conventions for this rate (which will include compounding in arrears with a lookback of five Business Days) being established by the Canadian Administrative Agent in accordance with the methodology and conventions for this rate selected or recommended by the Relevant Canadian Governmental Body for determining compounded CORRA for business loans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provided that if the Canadian Administrative Agent decides that any such convention is not administratively feasible for the Canadian Administrative Agent, then the Canadian Administrative Agent may establish another convention in its reasonable discretion; and provided that if the administrator has not provided or published CORRA and a Canadian Benchmark Replacement Date with respect to CORRA has not occurred, then, in respect of any day for which CORRA is required, references to CORRA will be deemed to be references to the last provided or published CORRA.</w:t>
      </w:r>
    </w:p>
    <w:p>
      <w:pPr>
        <w:spacing w:after="0" w:line="21" w:lineRule="exact"/>
        <w:rPr>
          <w:sz w:val="20"/>
          <w:szCs w:val="20"/>
          <w:color w:val="auto"/>
        </w:rPr>
      </w:pPr>
    </w:p>
    <w:p>
      <w:pPr>
        <w:jc w:val="both"/>
        <w:ind w:left="120" w:right="160" w:firstLine="647"/>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Daily Compounded CORRA Adjustment</w:t>
      </w:r>
      <w:r>
        <w:rPr>
          <w:rFonts w:ascii="Times New Roman" w:cs="Times New Roman" w:eastAsia="Times New Roman" w:hAnsi="Times New Roman"/>
          <w:sz w:val="22"/>
          <w:szCs w:val="22"/>
          <w:color w:val="auto"/>
        </w:rPr>
        <w:t>” means, with respect to Daily Compounded CORRA, for an Interest Period of a duration of (a) one-month, a percentage equal to 0.29547% per annum (29.547 basis points), and (b) three-months, a percentage equal to 0.32138% per annum (32.138 basis points).</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Daily Compounded CORRA Loan</w:t>
      </w:r>
      <w:r>
        <w:rPr>
          <w:rFonts w:ascii="Times New Roman" w:cs="Times New Roman" w:eastAsia="Times New Roman" w:hAnsi="Times New Roman"/>
          <w:sz w:val="22"/>
          <w:szCs w:val="22"/>
          <w:color w:val="auto"/>
        </w:rPr>
        <w:t>” means a Loan that bears interest at a rate based on Daily Compounded CORRA.</w:t>
      </w:r>
    </w:p>
    <w:p>
      <w:pPr>
        <w:spacing w:after="0" w:line="125" w:lineRule="exact"/>
        <w:rPr>
          <w:sz w:val="20"/>
          <w:szCs w:val="20"/>
          <w:color w:val="auto"/>
        </w:rPr>
      </w:pPr>
    </w:p>
    <w:p>
      <w:pPr>
        <w:jc w:val="both"/>
        <w:ind w:left="120" w:right="160" w:firstLine="647"/>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Relevant Canadian Governmental Body</w:t>
      </w:r>
      <w:r>
        <w:rPr>
          <w:rFonts w:ascii="Times New Roman" w:cs="Times New Roman" w:eastAsia="Times New Roman" w:hAnsi="Times New Roman"/>
          <w:sz w:val="22"/>
          <w:szCs w:val="22"/>
          <w:color w:val="auto"/>
        </w:rPr>
        <w:t>” means the Bank of Canada, or a committee officially endorsed or convened by the Bank of Canada, or any successor thereto.</w:t>
      </w:r>
    </w:p>
    <w:p>
      <w:pPr>
        <w:spacing w:after="0" w:line="53" w:lineRule="exact"/>
        <w:rPr>
          <w:sz w:val="20"/>
          <w:szCs w:val="20"/>
          <w:color w:val="auto"/>
        </w:rPr>
      </w:pPr>
    </w:p>
    <w:p>
      <w:pPr>
        <w:jc w:val="both"/>
        <w:ind w:left="120" w:right="180" w:firstLine="64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Unadjusted Canadian Benchmark Replacement</w:t>
      </w:r>
      <w:r>
        <w:rPr>
          <w:rFonts w:ascii="Times New Roman" w:cs="Times New Roman" w:eastAsia="Times New Roman" w:hAnsi="Times New Roman"/>
          <w:sz w:val="22"/>
          <w:szCs w:val="22"/>
          <w:color w:val="auto"/>
        </w:rPr>
        <w:t>” means the applicable Canadian Benchmark Replacement excluding the related Canadian Benchmark Replacement Adjustment.</w:t>
      </w:r>
    </w:p>
    <w:p>
      <w:pPr>
        <w:spacing w:after="0" w:line="19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40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Borrower represents and warrants to the Agents, the Issuing Banks and each of the Lenders that:</w:t>
      </w:r>
    </w:p>
    <w:p>
      <w:pPr>
        <w:spacing w:after="0" w:line="18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Section 3.01 </w:t>
      </w:r>
      <w:r>
        <w:rPr>
          <w:rFonts w:ascii="Times New Roman" w:cs="Times New Roman" w:eastAsia="Times New Roman" w:hAnsi="Times New Roman"/>
          <w:sz w:val="21"/>
          <w:szCs w:val="21"/>
          <w:b w:val="1"/>
          <w:bCs w:val="1"/>
          <w:i w:val="1"/>
          <w:iCs w:val="1"/>
          <w:color w:val="auto"/>
        </w:rPr>
        <w:t>Organization; Powers</w:t>
      </w:r>
      <w:r>
        <w:rPr>
          <w:rFonts w:ascii="Times New Roman" w:cs="Times New Roman" w:eastAsia="Times New Roman" w:hAnsi="Times New Roman"/>
          <w:sz w:val="21"/>
          <w:szCs w:val="21"/>
          <w:color w:val="auto"/>
        </w:rPr>
        <w:t>. Each Borrower and each of its respective Subsidiaries (a) is duly organized, validly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existing and in good standing under the laws of the 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each other agreement or instrument</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4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contemplated hereby or thereby to which it is or will be a party and, in the case of the Borrowers, to borrow hereunder.</w:t>
      </w: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3.02 </w:t>
      </w:r>
      <w:r>
        <w:rPr>
          <w:rFonts w:ascii="Times New Roman" w:cs="Times New Roman" w:eastAsia="Times New Roman" w:hAnsi="Times New Roman"/>
          <w:sz w:val="22"/>
          <w:szCs w:val="22"/>
          <w:b w:val="1"/>
          <w:bCs w:val="1"/>
          <w:i w:val="1"/>
          <w:iCs w:val="1"/>
          <w:color w:val="auto"/>
        </w:rPr>
        <w:t>Authorization</w:t>
      </w:r>
      <w:r>
        <w:rPr>
          <w:rFonts w:ascii="Times New Roman" w:cs="Times New Roman" w:eastAsia="Times New Roman" w:hAnsi="Times New Roman"/>
          <w:sz w:val="22"/>
          <w:szCs w:val="22"/>
          <w:color w:val="auto"/>
        </w:rPr>
        <w:t>. The execution, delivery and performance by each Loan Party of each of the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to which it is a party and the consummation of the Transactions (i) have been (or will have been on, prior to or substantially contemporaneously with the Closing Date) duly authorized by all requisite organizational action on the part of such Loan Party and (ii) do not and will not (x) violate (A) any provision of law, statute, rule or regulation, (B) the terms of the organizational documents of any Loan Party, (C) any order, injunction, writ or decree of any Governmental Authority or any binding and enforceable arbitral award to which such Loan Party or its property is subject, or (D) any provision of any indenture or other instrument in respect of any Material Indebtedness or other material agreement to which any Borrower or any Subsidiary is a party or by which any of them or any of their property is or may be bound, (y) be in conflict with, result in a breach of or constitute (alone or with notice or lapse of time or both) a default under, or give rise to any right to accelerate or to require the prepayment, repurchase or redemption of any obligation under any such indenture or other instrument in respect of Material Indebtedness or other material agreement or (z) result in the creation or imposition of any Lien upon or with respect to any property or assets now owned or hereafter acquired by any Borrower or any Subsidiary (other than any Lien created hereunder or under the Security Documents).</w:t>
      </w:r>
    </w:p>
    <w:p>
      <w:pPr>
        <w:spacing w:after="0" w:line="1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3.03 </w:t>
      </w:r>
      <w:r>
        <w:rPr>
          <w:rFonts w:ascii="Times New Roman" w:cs="Times New Roman" w:eastAsia="Times New Roman" w:hAnsi="Times New Roman"/>
          <w:sz w:val="22"/>
          <w:szCs w:val="22"/>
          <w:b w:val="1"/>
          <w:bCs w:val="1"/>
          <w:i w:val="1"/>
          <w:iCs w:val="1"/>
          <w:color w:val="auto"/>
        </w:rPr>
        <w:t>Enforceability</w:t>
      </w:r>
      <w:r>
        <w:rPr>
          <w:rFonts w:ascii="Times New Roman" w:cs="Times New Roman" w:eastAsia="Times New Roman" w:hAnsi="Times New Roman"/>
          <w:sz w:val="22"/>
          <w:szCs w:val="22"/>
          <w:color w:val="auto"/>
        </w:rPr>
        <w:t>. This Agreement has been, and each other Loan Document to which any Loan Party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when executed and delivered by such Loan Party, will have been, duly executed and delivered by the Borrowers and constitutes, and each other Loan Document when executed and delivered by each Loan Party thereto will constitute, a legal, valid and binding obligation of such Loan Party enforceable against such Loan Party in accordance with its terms (subject to any necessary stamping and registration requirements,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Section 3.04 </w:t>
      </w:r>
      <w:r>
        <w:rPr>
          <w:rFonts w:ascii="Times New Roman" w:cs="Times New Roman" w:eastAsia="Times New Roman" w:hAnsi="Times New Roman"/>
          <w:sz w:val="21"/>
          <w:szCs w:val="21"/>
          <w:b w:val="1"/>
          <w:bCs w:val="1"/>
          <w:i w:val="1"/>
          <w:iCs w:val="1"/>
          <w:color w:val="auto"/>
        </w:rPr>
        <w:t>Governmental Approvals</w:t>
      </w:r>
      <w:r>
        <w:rPr>
          <w:rFonts w:ascii="Times New Roman" w:cs="Times New Roman" w:eastAsia="Times New Roman" w:hAnsi="Times New Roman"/>
          <w:sz w:val="21"/>
          <w:szCs w:val="21"/>
          <w:color w:val="auto"/>
        </w:rPr>
        <w:t>. No authorization, action, exemption, consent or approval of, registration,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filing with or any other action by any Governmental Authority is necessary or will be required in connection with the Loan Documents and the consummation of the Transactions, except for (i) the filing of Uniform Commercial Code financing statements, filing of financing statements at the applicable provincial or territorial personal property security registries in Canada, filing of financing statements at the PPS Register, other filings required to perfect Liens created under the Security Documents and filing for Australian mortgage stamp duty payments, (ii) those which will have been made or obtained and be in full force and effect and (iii) actions by, and notices to or filings with, Governmental Authorities (including, without limitation, the SEC) that may be required in the ordinary course of business from time to time or that may be required to comply with the express requirements of the Loan Documents (including, without limitation, to release existing Liens on the Collateral or to comply with requirements to perfect, and/or maintain the perfection of, Liens created under the Loan Documents).</w:t>
      </w:r>
    </w:p>
    <w:p>
      <w:pPr>
        <w:spacing w:after="0" w:line="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3.05 </w:t>
      </w:r>
      <w:r>
        <w:rPr>
          <w:rFonts w:ascii="Times New Roman" w:cs="Times New Roman" w:eastAsia="Times New Roman" w:hAnsi="Times New Roman"/>
          <w:sz w:val="22"/>
          <w:szCs w:val="22"/>
          <w:b w:val="1"/>
          <w:bCs w:val="1"/>
          <w:i w:val="1"/>
          <w:iCs w:val="1"/>
          <w:color w:val="auto"/>
        </w:rPr>
        <w:t>Financial Statements</w:t>
      </w:r>
      <w:r>
        <w:rPr>
          <w:rFonts w:ascii="Times New Roman" w:cs="Times New Roman" w:eastAsia="Times New Roman" w:hAnsi="Times New Roman"/>
          <w:sz w:val="22"/>
          <w:szCs w:val="22"/>
          <w:color w:val="auto"/>
        </w:rPr>
        <w:t>. As of the Closing Date, the audited consolidated balance sheets and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consolidated statements of operations, comprehensive income, changes in shareholder equity, and cash flows of the Parent Borrower, as of and for the year ended December 31, 2025 are available on the website of the SEC at http://www.sec.gov or posted on the Internet at http://www.civeo.com. Such financial statements in each case present fairly, in all material respects, the financial condition of the Parent Borrower, as of such date and for such period. Such financial statements and the notes thereto, disclose all material liabilities, direct or contingent, of the Parent Borrower, as applicable, as of the date thereof. Such financial statements were prepared in accordance with GAAP.</w:t>
      </w:r>
    </w:p>
    <w:p>
      <w:pPr>
        <w:spacing w:after="0" w:line="3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82" w:right="339" w:bottom="1440" w:gutter="0" w:footer="0" w:header="0"/>
        </w:sectPr>
      </w:pPr>
    </w:p>
    <w:bookmarkStart w:id="115" w:name="page116"/>
    <w:bookmarkEnd w:id="115"/>
    <w:p>
      <w:pPr>
        <w:ind w:firstLine="648"/>
        <w:spacing w:after="0" w:line="219" w:lineRule="auto"/>
        <w:rPr>
          <w:sz w:val="20"/>
          <w:szCs w:val="20"/>
          <w:color w:val="auto"/>
        </w:rPr>
      </w:pPr>
      <w:r>
        <w:rPr>
          <w:rFonts w:ascii="Times New Roman" w:cs="Times New Roman" w:eastAsia="Times New Roman" w:hAnsi="Times New Roman"/>
          <w:sz w:val="22"/>
          <w:szCs w:val="22"/>
          <w:b w:val="1"/>
          <w:bCs w:val="1"/>
          <w:color w:val="auto"/>
        </w:rPr>
        <w:t xml:space="preserve">Section 3.06 </w:t>
      </w:r>
      <w:r>
        <w:rPr>
          <w:rFonts w:ascii="Times New Roman" w:cs="Times New Roman" w:eastAsia="Times New Roman" w:hAnsi="Times New Roman"/>
          <w:sz w:val="22"/>
          <w:szCs w:val="22"/>
          <w:b w:val="1"/>
          <w:bCs w:val="1"/>
          <w:i w:val="1"/>
          <w:iCs w:val="1"/>
          <w:color w:val="auto"/>
        </w:rPr>
        <w:t>No Material Adverse Change</w:t>
      </w:r>
      <w:r>
        <w:rPr>
          <w:rFonts w:ascii="Times New Roman" w:cs="Times New Roman" w:eastAsia="Times New Roman" w:hAnsi="Times New Roman"/>
          <w:sz w:val="22"/>
          <w:szCs w:val="22"/>
          <w:color w:val="auto"/>
        </w:rPr>
        <w:t>. Since December 31, 2025, there has been no material adverse effect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assets, operations or condition (financial or otherwise) of the Borrowers and the Subsidiaries, taken as a whole.</w:t>
      </w:r>
    </w:p>
    <w:p>
      <w:pPr>
        <w:ind w:left="660"/>
        <w:spacing w:after="0" w:line="214"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3.07</w:t>
      </w:r>
      <w:r>
        <w:rPr>
          <w:sz w:val="20"/>
          <w:szCs w:val="20"/>
          <w:color w:val="auto"/>
        </w:rPr>
        <w:tab/>
      </w:r>
      <w:r>
        <w:rPr>
          <w:rFonts w:ascii="Times New Roman" w:cs="Times New Roman" w:eastAsia="Times New Roman" w:hAnsi="Times New Roman"/>
          <w:sz w:val="21"/>
          <w:szCs w:val="21"/>
          <w:b w:val="1"/>
          <w:bCs w:val="1"/>
          <w:i w:val="1"/>
          <w:iCs w:val="1"/>
          <w:color w:val="auto"/>
        </w:rPr>
        <w:t>Title to Properties; Possession Under Leases and Licenses</w:t>
      </w:r>
      <w:r>
        <w:rPr>
          <w:rFonts w:ascii="Times New Roman" w:cs="Times New Roman" w:eastAsia="Times New Roman" w:hAnsi="Times New Roman"/>
          <w:sz w:val="21"/>
          <w:szCs w:val="21"/>
          <w:color w:val="auto"/>
        </w:rPr>
        <w:t>.</w:t>
      </w:r>
    </w:p>
    <w:p>
      <w:pPr>
        <w:jc w:val="both"/>
        <w:ind w:firstLine="1304"/>
        <w:spacing w:after="0" w:line="212" w:lineRule="auto"/>
        <w:tabs>
          <w:tab w:leader="none" w:pos="19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Borrowers and the Subsidiaries has good and indefeasible title to, or valid leases or licenses to access, use and occupy the material properties and assets it requires for the conduct of its business, except for minor defects in title that do not interfere with its ability to conduct its business as currently conducted or to utilize such properties and assets for their intended purposes. All such material properties and assets are free and clear of Liens, other than Permitted Liens or those registered by the Agents on behalf of the Secured Parties.</w:t>
      </w:r>
    </w:p>
    <w:p>
      <w:pPr>
        <w:spacing w:after="0" w:line="154"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Borrowers and the Subsidiaries has complied with all obligations under all leases and licenses to access, use and occupy property to which it is a party and all such leases and licenses are in full force and effect except where the failure to so comply could not reasonably be expected to have a Material Adverse Effect. Each of the Borrowers and the Subsidiaries enjoys peaceful and undisturbed possession under all leases and licenses where the failure could not reasonably be expected to have a Material Adverse Effect.</w:t>
      </w:r>
    </w:p>
    <w:p>
      <w:pPr>
        <w:spacing w:after="0" w:line="146" w:lineRule="exact"/>
        <w:rPr>
          <w:sz w:val="20"/>
          <w:szCs w:val="20"/>
          <w:color w:val="auto"/>
        </w:rPr>
      </w:pPr>
    </w:p>
    <w:p>
      <w:pPr>
        <w:jc w:val="both"/>
        <w:ind w:right="20"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Section 3.08 </w:t>
      </w:r>
      <w:r>
        <w:rPr>
          <w:rFonts w:ascii="Times New Roman" w:cs="Times New Roman" w:eastAsia="Times New Roman" w:hAnsi="Times New Roman"/>
          <w:sz w:val="22"/>
          <w:szCs w:val="22"/>
          <w:b w:val="1"/>
          <w:bCs w:val="1"/>
          <w:i w:val="1"/>
          <w:iCs w:val="1"/>
          <w:color w:val="auto"/>
        </w:rPr>
        <w:t>Subsidiaries</w:t>
      </w:r>
      <w:r>
        <w:rPr>
          <w:rFonts w:ascii="Times New Roman" w:cs="Times New Roman" w:eastAsia="Times New Roman" w:hAnsi="Times New Roman"/>
          <w:sz w:val="22"/>
          <w:szCs w:val="22"/>
          <w:color w:val="auto"/>
        </w:rPr>
        <w:t>. As of the date such schedule was most recently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3.08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sets forth a list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Subsidiaries and Special Purpose Business Entities and, as to each such Subsidiary, the jurisdiction of formation, the outstanding Equity Interests therein and the percentage ownership interest of each class of such Equity Interests owned by the Parent Borrower and its Subsidiaries therein. As of the Closing Date, the Equity Interests indicated as owned by the Parent Borrower and its Subsidiaries on </w:t>
      </w:r>
      <w:r>
        <w:rPr>
          <w:rFonts w:ascii="Times New Roman" w:cs="Times New Roman" w:eastAsia="Times New Roman" w:hAnsi="Times New Roman"/>
          <w:sz w:val="22"/>
          <w:szCs w:val="22"/>
          <w:u w:val="single" w:color="auto"/>
          <w:color w:val="auto"/>
        </w:rPr>
        <w:t>Schedule 3.08</w:t>
      </w:r>
      <w:r>
        <w:rPr>
          <w:rFonts w:ascii="Times New Roman" w:cs="Times New Roman" w:eastAsia="Times New Roman" w:hAnsi="Times New Roman"/>
          <w:sz w:val="22"/>
          <w:szCs w:val="22"/>
          <w:color w:val="auto"/>
        </w:rPr>
        <w:t xml:space="preserve"> are owned by the Borrowers, directly or indirectly, free and clear of all Liens (other than Permitted Liens).</w:t>
      </w:r>
    </w:p>
    <w:p>
      <w:pPr>
        <w:ind w:left="660"/>
        <w:spacing w:after="0" w:line="218"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3.09</w:t>
      </w:r>
      <w:r>
        <w:rPr>
          <w:sz w:val="20"/>
          <w:szCs w:val="20"/>
          <w:color w:val="auto"/>
        </w:rPr>
        <w:tab/>
      </w:r>
      <w:r>
        <w:rPr>
          <w:rFonts w:ascii="Times New Roman" w:cs="Times New Roman" w:eastAsia="Times New Roman" w:hAnsi="Times New Roman"/>
          <w:sz w:val="21"/>
          <w:szCs w:val="21"/>
          <w:b w:val="1"/>
          <w:bCs w:val="1"/>
          <w:i w:val="1"/>
          <w:iCs w:val="1"/>
          <w:color w:val="auto"/>
        </w:rPr>
        <w:t>Litigation; Compliance with Laws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11" w:lineRule="auto"/>
        <w:tabs>
          <w:tab w:leader="none" w:pos="199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3.09</w:t>
      </w:r>
      <w:r>
        <w:rPr>
          <w:rFonts w:ascii="Times New Roman" w:cs="Times New Roman" w:eastAsia="Times New Roman" w:hAnsi="Times New Roman"/>
          <w:sz w:val="22"/>
          <w:szCs w:val="22"/>
          <w:color w:val="auto"/>
        </w:rPr>
        <w:t>, there are no actions, suits, proceedings, claims or disputes at law, in equity, in arbitration, by or before any Governmental Authority now pending or, to the knowledge of any Borrower, threatened or contemplated against a Borrower or any Subsidiary or any business, property or rights of any such person (i) that involve any Loan Document or any of the Transactions or (ii) as to which there is a reasonable possibility of an adverse determination and that, if adversely determined, could reasonably be expected, individually or in the aggregate, to result in a Material Adverse Effect.</w:t>
      </w:r>
    </w:p>
    <w:p>
      <w:pPr>
        <w:spacing w:after="0" w:line="15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Since December 31, 2025, there has been no adverse change in the status or financial effect on the Parent Borrower and the Subsidiaries of the matters disclosed on </w:t>
      </w:r>
      <w:r>
        <w:rPr>
          <w:rFonts w:ascii="Times New Roman" w:cs="Times New Roman" w:eastAsia="Times New Roman" w:hAnsi="Times New Roman"/>
          <w:sz w:val="22"/>
          <w:szCs w:val="22"/>
          <w:u w:val="single" w:color="auto"/>
          <w:color w:val="auto"/>
        </w:rPr>
        <w:t>Schedule 3.09</w:t>
      </w:r>
      <w:r>
        <w:rPr>
          <w:rFonts w:ascii="Times New Roman" w:cs="Times New Roman" w:eastAsia="Times New Roman" w:hAnsi="Times New Roman"/>
          <w:sz w:val="22"/>
          <w:szCs w:val="22"/>
          <w:color w:val="auto"/>
        </w:rPr>
        <w:t xml:space="preserve"> that, individually or in the aggregate, has resulted in, or materially increased the likelihood of,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Borrowers, any of the Subsidiaries or any of their respective material properties or assets is in violation of, nor will the continued operation of their material properties (including licensed properties) and assets as currently conducted violate, any law, rule or regulation (including any zoning, building, Environmental Law, ordinance, code or approval or any building permits), or is in default with respect to any judgment, writ, injunction, decree or order of any Governmental Authority, in each case where such violation or default could, individually or in the aggregate, reasonably be expected to result in a Material Adverse Effect.</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3.10 </w:t>
      </w:r>
      <w:r>
        <w:rPr>
          <w:rFonts w:ascii="Times New Roman" w:cs="Times New Roman" w:eastAsia="Times New Roman" w:hAnsi="Times New Roman"/>
          <w:sz w:val="22"/>
          <w:szCs w:val="22"/>
          <w:b w:val="1"/>
          <w:bCs w:val="1"/>
          <w:i w:val="1"/>
          <w:iCs w:val="1"/>
          <w:color w:val="auto"/>
        </w:rPr>
        <w:t>Agreements</w:t>
      </w:r>
      <w:r>
        <w:rPr>
          <w:rFonts w:ascii="Times New Roman" w:cs="Times New Roman" w:eastAsia="Times New Roman" w:hAnsi="Times New Roman"/>
          <w:sz w:val="22"/>
          <w:szCs w:val="22"/>
          <w:color w:val="auto"/>
        </w:rPr>
        <w:t>. None of the Borrowers or any of the Subsidiaries is in default in any manner under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any indenture or other agreement or instrument, where such default has resulted in, or could, either individually or in the aggregate, reasonably be expected to result in a Material Adverse Effect.</w:t>
      </w:r>
    </w:p>
    <w:p>
      <w:pPr>
        <w:spacing w:after="0" w:line="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3.11</w:t>
      </w:r>
      <w:r>
        <w:rPr>
          <w:sz w:val="20"/>
          <w:szCs w:val="20"/>
          <w:color w:val="auto"/>
        </w:rPr>
        <w:tab/>
      </w:r>
      <w:r>
        <w:rPr>
          <w:rFonts w:ascii="Times New Roman" w:cs="Times New Roman" w:eastAsia="Times New Roman" w:hAnsi="Times New Roman"/>
          <w:sz w:val="21"/>
          <w:szCs w:val="21"/>
          <w:b w:val="1"/>
          <w:bCs w:val="1"/>
          <w:i w:val="1"/>
          <w:iCs w:val="1"/>
          <w:color w:val="auto"/>
        </w:rPr>
        <w:t>Federal Reserve Regulations</w:t>
      </w:r>
      <w:r>
        <w:rPr>
          <w:rFonts w:ascii="Times New Roman" w:cs="Times New Roman" w:eastAsia="Times New Roman" w:hAnsi="Times New Roman"/>
          <w:sz w:val="21"/>
          <w:szCs w:val="21"/>
          <w:color w:val="auto"/>
        </w:rPr>
        <w:t>.</w:t>
      </w:r>
    </w:p>
    <w:p>
      <w:pPr>
        <w:spacing w:after="0" w:line="3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89" w:right="339" w:bottom="1440" w:gutter="0" w:footer="0" w:header="0"/>
        </w:sectPr>
      </w:pPr>
    </w:p>
    <w:bookmarkStart w:id="116" w:name="page117"/>
    <w:bookmarkEnd w:id="116"/>
    <w:p>
      <w:pPr>
        <w:ind w:firstLine="1304"/>
        <w:spacing w:after="0" w:line="236" w:lineRule="auto"/>
        <w:tabs>
          <w:tab w:leader="none" w:pos="200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is engaged principally, or as one of its important activities, in the business of extending credit for the purpose of buying or carrying Margin Stock.</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of any Loan or any Letter of Credit will be used, whether directly or indirectly, and whether immediately, incidentally or ultimately, to purchase or carry Margin Stock or to extend credit to others for purpose of purchasing or carrying Margin Stock or for any other purpose, in each case to the extent that such use of proceeds would result in a violation of, or be inconsistent with, the provisions of the regulations of the Board, including Regulations T, U or X.</w:t>
      </w:r>
    </w:p>
    <w:p>
      <w:pPr>
        <w:spacing w:after="0" w:line="146" w:lineRule="exact"/>
        <w:rPr>
          <w:sz w:val="20"/>
          <w:szCs w:val="20"/>
          <w:color w:val="auto"/>
        </w:rPr>
      </w:pPr>
    </w:p>
    <w:p>
      <w:pPr>
        <w:jc w:val="both"/>
        <w:ind w:right="20" w:firstLine="648"/>
        <w:spacing w:after="0" w:line="219" w:lineRule="auto"/>
        <w:rPr>
          <w:sz w:val="20"/>
          <w:szCs w:val="20"/>
          <w:color w:val="auto"/>
        </w:rPr>
      </w:pPr>
      <w:r>
        <w:rPr>
          <w:rFonts w:ascii="Times New Roman" w:cs="Times New Roman" w:eastAsia="Times New Roman" w:hAnsi="Times New Roman"/>
          <w:sz w:val="22"/>
          <w:szCs w:val="22"/>
          <w:b w:val="1"/>
          <w:bCs w:val="1"/>
          <w:color w:val="auto"/>
        </w:rPr>
        <w:t xml:space="preserve">Section 3.12 </w:t>
      </w:r>
      <w:r>
        <w:rPr>
          <w:rFonts w:ascii="Times New Roman" w:cs="Times New Roman" w:eastAsia="Times New Roman" w:hAnsi="Times New Roman"/>
          <w:sz w:val="22"/>
          <w:szCs w:val="22"/>
          <w:b w:val="1"/>
          <w:bCs w:val="1"/>
          <w:i w:val="1"/>
          <w:iCs w:val="1"/>
          <w:color w:val="auto"/>
        </w:rPr>
        <w:t>Investment Company Act</w:t>
      </w:r>
      <w:r>
        <w:rPr>
          <w:rFonts w:ascii="Times New Roman" w:cs="Times New Roman" w:eastAsia="Times New Roman" w:hAnsi="Times New Roman"/>
          <w:sz w:val="22"/>
          <w:szCs w:val="22"/>
          <w:color w:val="auto"/>
        </w:rPr>
        <w:t>. Neither the Parent Borrower nor any Subsidiary is or is required to be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an “investment company” as defined in, or subject to regulation under, the Investment Company Act of 1940.</w:t>
      </w:r>
    </w:p>
    <w:p>
      <w:pPr>
        <w:jc w:val="both"/>
        <w:ind w:right="20"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3.13 </w:t>
      </w:r>
      <w:r>
        <w:rPr>
          <w:rFonts w:ascii="Times New Roman" w:cs="Times New Roman" w:eastAsia="Times New Roman" w:hAnsi="Times New Roman"/>
          <w:sz w:val="22"/>
          <w:szCs w:val="22"/>
          <w:b w:val="1"/>
          <w:bCs w:val="1"/>
          <w:i w:val="1"/>
          <w:iCs w:val="1"/>
          <w:color w:val="auto"/>
        </w:rPr>
        <w:t>Use of Proceeds</w:t>
      </w:r>
      <w:r>
        <w:rPr>
          <w:rFonts w:ascii="Times New Roman" w:cs="Times New Roman" w:eastAsia="Times New Roman" w:hAnsi="Times New Roman"/>
          <w:sz w:val="22"/>
          <w:szCs w:val="22"/>
          <w:color w:val="auto"/>
        </w:rPr>
        <w:t>. The Borrowers will use the proceeds of the Loans and will request the issuance of Letters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Credit for general corporate purposes of the Parent Borrower and its Subsidiaries.</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3.14 </w:t>
      </w:r>
      <w:r>
        <w:rPr>
          <w:rFonts w:ascii="Times New Roman" w:cs="Times New Roman" w:eastAsia="Times New Roman" w:hAnsi="Times New Roman"/>
          <w:sz w:val="22"/>
          <w:szCs w:val="22"/>
          <w:b w:val="1"/>
          <w:bCs w:val="1"/>
          <w:i w:val="1"/>
          <w:iCs w:val="1"/>
          <w:color w:val="auto"/>
        </w:rPr>
        <w:t>Tax Matters</w:t>
      </w:r>
      <w:r>
        <w:rPr>
          <w:rFonts w:ascii="Times New Roman" w:cs="Times New Roman" w:eastAsia="Times New Roman" w:hAnsi="Times New Roman"/>
          <w:sz w:val="22"/>
          <w:szCs w:val="22"/>
          <w:color w:val="auto"/>
        </w:rPr>
        <w:t>. Each of the Borrowers and the Subsidiaries has filed or caused to be filed all federal,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provincial, local and foreign Tax returns required to have been filed by it and has paid or caused to be paid all Taxes due and payable by it and all assessments received by it, except Taxes that are being contested in good faith by appropriate proceedings and for which the Borrowers or such Subsidiary, as applicable, shall have set aside on its books adequate reserves with respect thereto in accordance with GAAP or other applicable accounting principles. There is no proposed tax assessment against any Borrower or any Subsidiary thereof that could reasonably be expected to have a Material Adverse Effect. None of the Material Subsidiaries on the Closing Date will be a U.S. Owned Subsidiary.</w:t>
      </w:r>
    </w:p>
    <w:p>
      <w:pPr>
        <w:spacing w:after="0" w:line="7"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3.15 </w:t>
      </w:r>
      <w:r>
        <w:rPr>
          <w:rFonts w:ascii="Times New Roman" w:cs="Times New Roman" w:eastAsia="Times New Roman" w:hAnsi="Times New Roman"/>
          <w:sz w:val="22"/>
          <w:szCs w:val="22"/>
          <w:b w:val="1"/>
          <w:bCs w:val="1"/>
          <w:i w:val="1"/>
          <w:iCs w:val="1"/>
          <w:color w:val="auto"/>
        </w:rPr>
        <w:t>No Material Misstatements</w:t>
      </w:r>
      <w:r>
        <w:rPr>
          <w:rFonts w:ascii="Times New Roman" w:cs="Times New Roman" w:eastAsia="Times New Roman" w:hAnsi="Times New Roman"/>
          <w:sz w:val="22"/>
          <w:szCs w:val="22"/>
          <w:color w:val="auto"/>
        </w:rPr>
        <w:t>. No information, report, financial statement, exhibit or schedule furnished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on behalf of the Parent Borrower and the Subsidiaries to an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such information, report, financial statement, exhibit or schedule was based upon or constitutes a forecast or projection, each of the Borrowers represents only that it acted in good faith and utilized reasonable assumptions and due care in the preparation of such information, report, financial statement, exhibit or schedule.</w:t>
      </w:r>
    </w:p>
    <w:p>
      <w:pPr>
        <w:ind w:left="660"/>
        <w:spacing w:after="0" w:line="222"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3.16</w:t>
      </w:r>
      <w:r>
        <w:rPr>
          <w:sz w:val="20"/>
          <w:szCs w:val="20"/>
          <w:color w:val="auto"/>
        </w:rPr>
        <w:tab/>
      </w:r>
      <w:r>
        <w:rPr>
          <w:rFonts w:ascii="Times New Roman" w:cs="Times New Roman" w:eastAsia="Times New Roman" w:hAnsi="Times New Roman"/>
          <w:sz w:val="21"/>
          <w:szCs w:val="21"/>
          <w:b w:val="1"/>
          <w:bCs w:val="1"/>
          <w:i w:val="1"/>
          <w:iCs w:val="1"/>
          <w:color w:val="auto"/>
        </w:rPr>
        <w:t>Employee Benefit Plans</w:t>
      </w:r>
      <w:r>
        <w:rPr>
          <w:rFonts w:ascii="Times New Roman" w:cs="Times New Roman" w:eastAsia="Times New Roman" w:hAnsi="Times New Roman"/>
          <w:sz w:val="21"/>
          <w:szCs w:val="21"/>
          <w:color w:val="auto"/>
        </w:rPr>
        <w:t>.</w:t>
      </w:r>
    </w:p>
    <w:p>
      <w:pPr>
        <w:jc w:val="both"/>
        <w:ind w:firstLine="1304"/>
        <w:spacing w:after="0" w:line="209" w:lineRule="auto"/>
        <w:tabs>
          <w:tab w:leader="none" w:pos="199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Borrowers that is subject to ERISA and such Borrower’s ERISA Affiliates is in compliance in all material respects with the applicable provisions of ERISA and the Code and the regulations and published interpretations thereunder, except where such noncompliance could not reasonably be expected to result in a Material Adverse Effect. No ERISA Event has occurred or is reasonably expected to occur that, when taken together with all other such ERISA Events, could reasonably be expected to result in liability of any Borrower, as applicable, or any of its ERISA Affiliates that could reasonably be expected to have a Material Adverse Effect. Except as disclosed in </w:t>
      </w:r>
      <w:r>
        <w:rPr>
          <w:rFonts w:ascii="Times New Roman" w:cs="Times New Roman" w:eastAsia="Times New Roman" w:hAnsi="Times New Roman"/>
          <w:sz w:val="22"/>
          <w:szCs w:val="22"/>
          <w:u w:val="single" w:color="auto"/>
          <w:color w:val="auto"/>
        </w:rPr>
        <w:t>Schedule 3.16(a)</w:t>
      </w:r>
      <w:r>
        <w:rPr>
          <w:rFonts w:ascii="Times New Roman" w:cs="Times New Roman" w:eastAsia="Times New Roman" w:hAnsi="Times New Roman"/>
          <w:sz w:val="22"/>
          <w:szCs w:val="22"/>
          <w:color w:val="auto"/>
        </w:rPr>
        <w:t>, the present value of all benefit liabilities under each Plan (based on those assumptions used for purposes of Accounting Standards Codification at 715-20) did not, as of the last annual valuation preceding the Closing Date, exceed the fair market value of the assets of such Plan.</w:t>
      </w:r>
    </w:p>
    <w:p>
      <w:pPr>
        <w:spacing w:after="0" w:line="157"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3.16(b)</w:t>
      </w:r>
      <w:r>
        <w:rPr>
          <w:rFonts w:ascii="Times New Roman" w:cs="Times New Roman" w:eastAsia="Times New Roman" w:hAnsi="Times New Roman"/>
          <w:sz w:val="22"/>
          <w:szCs w:val="22"/>
          <w:color w:val="auto"/>
        </w:rPr>
        <w:t xml:space="preserve"> sets forth all Canadian Benefit Plans (other than, for greater certainty, universal plans created by and to which the Parent Borrower is obligated to contribute by statute) and Canadian Pension Plans and Defined Benefit Plans as of the Closing</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17" w:name="page118"/>
    <w:bookmarkEnd w:id="117"/>
    <w:p>
      <w:pPr>
        <w:jc w:val="both"/>
        <w:spacing w:after="0" w:line="218" w:lineRule="auto"/>
        <w:rPr>
          <w:sz w:val="20"/>
          <w:szCs w:val="20"/>
          <w:color w:val="auto"/>
        </w:rPr>
      </w:pPr>
      <w:r>
        <w:rPr>
          <w:rFonts w:ascii="Times New Roman" w:cs="Times New Roman" w:eastAsia="Times New Roman" w:hAnsi="Times New Roman"/>
          <w:sz w:val="21"/>
          <w:szCs w:val="21"/>
          <w:color w:val="auto"/>
        </w:rPr>
        <w:t>Date. The Canadian Pension Plans are duly registered under the ITA and any other applicable laws which require registration, have been administered in all material respects in accordance with the ITA and such other applicable laws and no event has occurred which is reasonably likely to cause the loss of such registered status. All material obligations of the Parent Borrower and the Canadian Subsidiaries (including fiduciary, funding, investment and administration obligations) required to be performed in connection with the Canadian Pension Plans and the funding agreements therefor have been performed on a timely basis. There are no outstanding disputes concerning the assets of the Canadian Pension Plans or to the knowledge of the Parent Borrower, the Canadian Benefit Plans. No promises of benefit improvements under the Canadian Pension Plans or the Canadian Benefit Plans have been made except where such improvement could not reasonably be expected to have a Material Adverse Effect. All contributions or premiums required to be made or paid by the Parent Borrower and the Canadian Subsidiaries to the Canadian Pension Plans, the Defined Benefit Plans or the Canadian Benefit Plans have been made on a timely basis in accordance with the terms of such plans and all applicable laws. There have been no improper withdrawals or applications of the assets of the Canadian Pension Plans and there have been no improper withdrawals by the Parent Borrower under the Canadian Benefit Plans. None of the Canadian Pension Plans contains a defined benefit provision (within the meaning of section 147.1(1) of the ITA). The obligations of the Parent Borrower and the Canadian Subsidiaries in respect of the Defined Benefit Plans are limited to making fixed contributions to the Defined Benefit Plans pursuant to the terms of the collective agreements entered into between them and the unions representing their employees and, for greater certainty, the Parent Borrower and the Canadian Subsidiaries have no obligation to administer, or fund any deficit in, any Defined Benefit Plan.</w:t>
      </w:r>
    </w:p>
    <w:p>
      <w:pPr>
        <w:spacing w:after="0" w:line="159" w:lineRule="exact"/>
        <w:rPr>
          <w:sz w:val="20"/>
          <w:szCs w:val="20"/>
          <w:color w:val="auto"/>
        </w:rPr>
      </w:pPr>
    </w:p>
    <w:p>
      <w:pPr>
        <w:jc w:val="both"/>
        <w:ind w:firstLine="1304"/>
        <w:spacing w:after="0" w:line="220" w:lineRule="auto"/>
        <w:tabs>
          <w:tab w:leader="none" w:pos="194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scheme or arrangement mandated by a government other than the United States or Canada (a “</w:t>
      </w:r>
      <w:r>
        <w:rPr>
          <w:rFonts w:ascii="Times New Roman" w:cs="Times New Roman" w:eastAsia="Times New Roman" w:hAnsi="Times New Roman"/>
          <w:sz w:val="22"/>
          <w:szCs w:val="22"/>
          <w:i w:val="1"/>
          <w:iCs w:val="1"/>
          <w:color w:val="auto"/>
        </w:rPr>
        <w:t>Foreign Government Scheme or Arrangement</w:t>
      </w:r>
      <w:r>
        <w:rPr>
          <w:rFonts w:ascii="Times New Roman" w:cs="Times New Roman" w:eastAsia="Times New Roman" w:hAnsi="Times New Roman"/>
          <w:sz w:val="22"/>
          <w:szCs w:val="22"/>
          <w:color w:val="auto"/>
        </w:rPr>
        <w:t>”) and with respect to each employee benefit plan maintained or contributed to by any Loan Party or any Subsidiary of any Loan Party that is not subject to United States or Canadian law (a “</w:t>
      </w:r>
      <w:r>
        <w:rPr>
          <w:rFonts w:ascii="Times New Roman" w:cs="Times New Roman" w:eastAsia="Times New Roman" w:hAnsi="Times New Roman"/>
          <w:sz w:val="22"/>
          <w:szCs w:val="22"/>
          <w:i w:val="1"/>
          <w:iCs w:val="1"/>
          <w:color w:val="auto"/>
        </w:rPr>
        <w:t>Foreign Plan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employer and employee contributions required by law or by the terms of any Foreign Government Scheme or Arrangement or any Foreign Plan have been made, or, if applicable, accrued, in accordance with normal accounting practices, except where the failure could not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where the failure could not reasonably be expected to have a Material Adverse Effect;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Foreign Plan required to be registered has been registered and has been maintained in good standing with applicable regulatory authorities, except where the failure could not reasonably be expected to have a Material Adverse Effect.</w:t>
      </w:r>
    </w:p>
    <w:p>
      <w:pPr>
        <w:spacing w:after="0" w:line="13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3.17</w:t>
      </w:r>
      <w:r>
        <w:rPr>
          <w:sz w:val="20"/>
          <w:szCs w:val="20"/>
          <w:color w:val="auto"/>
        </w:rPr>
        <w:tab/>
      </w:r>
      <w:r>
        <w:rPr>
          <w:rFonts w:ascii="Times New Roman" w:cs="Times New Roman" w:eastAsia="Times New Roman" w:hAnsi="Times New Roman"/>
          <w:sz w:val="21"/>
          <w:szCs w:val="21"/>
          <w:b w:val="1"/>
          <w:bCs w:val="1"/>
          <w:i w:val="1"/>
          <w:iCs w:val="1"/>
          <w:color w:val="auto"/>
        </w:rPr>
        <w:t>Environmental Matters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ind w:firstLine="1304"/>
        <w:spacing w:after="0" w:line="225" w:lineRule="auto"/>
        <w:tabs>
          <w:tab w:leader="none" w:pos="200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3.17</w:t>
      </w:r>
      <w:r>
        <w:rPr>
          <w:rFonts w:ascii="Times New Roman" w:cs="Times New Roman" w:eastAsia="Times New Roman" w:hAnsi="Times New Roman"/>
          <w:sz w:val="22"/>
          <w:szCs w:val="22"/>
          <w:color w:val="auto"/>
        </w:rPr>
        <w:t xml:space="preserve"> and except with respect to any other matters that, individually or in the aggregate, could not reasonably be expected to result in a</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18" w:name="page119"/>
    <w:bookmarkEnd w:id="118"/>
    <w:p>
      <w:pPr>
        <w:jc w:val="both"/>
        <w:spacing w:after="0" w:line="222" w:lineRule="auto"/>
        <w:rPr>
          <w:sz w:val="20"/>
          <w:szCs w:val="20"/>
          <w:color w:val="auto"/>
        </w:rPr>
      </w:pPr>
      <w:r>
        <w:rPr>
          <w:rFonts w:ascii="Times New Roman" w:cs="Times New Roman" w:eastAsia="Times New Roman" w:hAnsi="Times New Roman"/>
          <w:sz w:val="21"/>
          <w:szCs w:val="21"/>
          <w:color w:val="auto"/>
        </w:rPr>
        <w:t>Material Adverse Effect, none of the Borrowers or any of the Subsidiaries (i) has failed to comply with any Environmental Law or to obtain, maintain or comply with any permit, license or other approval required under any Environmental Law necessary for the ownership and operation of their respective properties and the conduct of their respective businesses as currently conducted,</w:t>
      </w:r>
    </w:p>
    <w:p>
      <w:pPr>
        <w:spacing w:after="0" w:line="2" w:lineRule="exact"/>
        <w:rPr>
          <w:sz w:val="20"/>
          <w:szCs w:val="20"/>
          <w:color w:val="auto"/>
        </w:rPr>
      </w:pPr>
    </w:p>
    <w:p>
      <w:pPr>
        <w:ind w:right="20" w:firstLine="8"/>
        <w:spacing w:after="0" w:line="225" w:lineRule="auto"/>
        <w:tabs>
          <w:tab w:leader="none" w:pos="29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become subject to any Environmental Liability, (iii) has received notice of any claim with respect to any Environmental Liability or (iv) knows of any basis for any Environmental Liability.</w:t>
      </w:r>
    </w:p>
    <w:p>
      <w:pPr>
        <w:spacing w:after="0" w:line="149"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Since the Closing Date, there has been no change in the status of the matters disclosed on </w:t>
      </w:r>
      <w:r>
        <w:rPr>
          <w:rFonts w:ascii="Times New Roman" w:cs="Times New Roman" w:eastAsia="Times New Roman" w:hAnsi="Times New Roman"/>
          <w:sz w:val="22"/>
          <w:szCs w:val="22"/>
          <w:u w:val="single" w:color="auto"/>
          <w:color w:val="auto"/>
        </w:rPr>
        <w:t>Schedule 3.17</w:t>
      </w:r>
      <w:r>
        <w:rPr>
          <w:rFonts w:ascii="Times New Roman" w:cs="Times New Roman" w:eastAsia="Times New Roman" w:hAnsi="Times New Roman"/>
          <w:sz w:val="22"/>
          <w:szCs w:val="22"/>
          <w:color w:val="auto"/>
        </w:rPr>
        <w:t xml:space="preserve"> that, individually or in the aggregate, has resulted in, or materially increased the likelihood of, a Material Adverse Effect.</w:t>
      </w:r>
    </w:p>
    <w:p>
      <w:pPr>
        <w:spacing w:after="0" w:line="144"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3.18 </w:t>
      </w:r>
      <w:r>
        <w:rPr>
          <w:rFonts w:ascii="Times New Roman" w:cs="Times New Roman" w:eastAsia="Times New Roman" w:hAnsi="Times New Roman"/>
          <w:sz w:val="22"/>
          <w:szCs w:val="22"/>
          <w:b w:val="1"/>
          <w:bCs w:val="1"/>
          <w:i w:val="1"/>
          <w:iCs w:val="1"/>
          <w:color w:val="auto"/>
        </w:rPr>
        <w:t>Insurance</w:t>
      </w:r>
      <w:r>
        <w:rPr>
          <w:rFonts w:ascii="Times New Roman" w:cs="Times New Roman" w:eastAsia="Times New Roman" w:hAnsi="Times New Roman"/>
          <w:sz w:val="22"/>
          <w:szCs w:val="22"/>
          <w:color w:val="auto"/>
        </w:rPr>
        <w:t>. Each of the Borrowers and each Subsidiary is insured by insurance providers that it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considers to be financially sound (including captive insurance companies, or through self-insurance), in such amounts, with such deductibles and covering such risks and liabilities as are consistent with past practices and is in compliance with the requirements to Section 5.02.</w:t>
      </w:r>
    </w:p>
    <w:p>
      <w:pPr>
        <w:ind w:left="660"/>
        <w:spacing w:after="0" w:line="214"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3.19</w:t>
      </w:r>
      <w:r>
        <w:rPr>
          <w:sz w:val="20"/>
          <w:szCs w:val="20"/>
          <w:color w:val="auto"/>
        </w:rPr>
        <w:tab/>
      </w:r>
      <w:r>
        <w:rPr>
          <w:rFonts w:ascii="Times New Roman" w:cs="Times New Roman" w:eastAsia="Times New Roman" w:hAnsi="Times New Roman"/>
          <w:sz w:val="21"/>
          <w:szCs w:val="21"/>
          <w:b w:val="1"/>
          <w:bCs w:val="1"/>
          <w:i w:val="1"/>
          <w:iCs w:val="1"/>
          <w:color w:val="auto"/>
        </w:rPr>
        <w:t>Security Documents</w:t>
      </w:r>
      <w:r>
        <w:rPr>
          <w:rFonts w:ascii="Times New Roman" w:cs="Times New Roman" w:eastAsia="Times New Roman" w:hAnsi="Times New Roman"/>
          <w:sz w:val="21"/>
          <w:szCs w:val="21"/>
          <w:color w:val="auto"/>
        </w:rPr>
        <w:t>.</w:t>
      </w:r>
    </w:p>
    <w:p>
      <w:pPr>
        <w:jc w:val="both"/>
        <w:ind w:firstLine="1304"/>
        <w:spacing w:after="0" w:line="208" w:lineRule="auto"/>
        <w:tabs>
          <w:tab w:leader="none" w:pos="200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Pledge Agreement is effective to create in favor of the Applicable Collateral Agent, for the ratable benefit of the Secured Parties referred to therein, a legal, valid and enforceable security interest in the Collateral (as defined in such Pledge Agreement) and, when such Collateral (to the extent such Collateral constitutes an instrument or investment property, as applicable, under the applicable Uniform Commercial Code, PPSA (Alberta) or equivalent personal property security legislation of the applicable province or territory or an investment instrument under the PPS Law) is delivered to such Collateral Agent together with, in respect of any Collateral subject to the Australian Security Deed, such instruments of transfer and stock powers endorsed in blank in respect of such Collateral and the registration of the security interests arising from the Australian Security Deed on the PPS Register, such Pledge Agreement shall constitute a fully perfected first priority Lien on, and security interest in, all right, title and interest of the pledgors thereunder in such Collateral, in each case prior and superior in right to any other person.</w:t>
      </w:r>
    </w:p>
    <w:p>
      <w:pPr>
        <w:spacing w:after="0" w:line="15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Security Agreements is (subject to payment of any applicable mortgage duty in relation to security over assets located in New South Wales, Australia) effective to create in favor of the Applicable Collateral Agent, for the ratable benefit of the Secured Parties referred to therein, a legal, valid and enforceable security interest in the Collateral (as defined in such Security Agreement) and, with respect to each Security Agreement, when financing statements in appropriate form are filed with the appropriate offices or Governmental Authority, such Security Agreement shall constitute a fully perfected Lien on, and security interest in, all right, title and interest of the grantors thereunder in such portion of the Collateral in which a security interest may be perfected by the filing of a financing statement under the applicable Uniform Commercial Code, PPSA (Alberta), PPS Law or equivalent personal property security legislation of the applicable province or territory (other than the Intellectual Property, as defined in the U.S. Security Agreement), in each case prior and superior in right to any other person, other than with respect to Permitted Liens.</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Section 3.20 </w:t>
      </w:r>
      <w:r>
        <w:rPr>
          <w:rFonts w:ascii="Times New Roman" w:cs="Times New Roman" w:eastAsia="Times New Roman" w:hAnsi="Times New Roman"/>
          <w:sz w:val="22"/>
          <w:szCs w:val="22"/>
          <w:b w:val="1"/>
          <w:bCs w:val="1"/>
          <w:i w:val="1"/>
          <w:iCs w:val="1"/>
          <w:color w:val="auto"/>
        </w:rPr>
        <w:t>Intellectual Property</w:t>
      </w:r>
      <w:r>
        <w:rPr>
          <w:rFonts w:ascii="Times New Roman" w:cs="Times New Roman" w:eastAsia="Times New Roman" w:hAnsi="Times New Roman"/>
          <w:sz w:val="22"/>
          <w:szCs w:val="22"/>
          <w:color w:val="auto"/>
        </w:rPr>
        <w:t>. The Parent Borrower and each of its Subsidiaries own or are licensed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legal right to use all of the patents, trademarks, service marks, trade names, copyrights, franchises, authorizations and other rights that are reasonably necessary for the operation of their respective businesses, except where the failure could not reasonably be expected to have a Material Adverse Effect.</w:t>
      </w:r>
    </w:p>
    <w:p>
      <w:pPr>
        <w:spacing w:after="0" w:line="3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19" w:name="page120"/>
    <w:bookmarkEnd w:id="119"/>
    <w:p>
      <w:pPr>
        <w:jc w:val="both"/>
        <w:ind w:firstLine="648"/>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Section 3.21 </w:t>
      </w:r>
      <w:r>
        <w:rPr>
          <w:rFonts w:ascii="Times New Roman" w:cs="Times New Roman" w:eastAsia="Times New Roman" w:hAnsi="Times New Roman"/>
          <w:sz w:val="21"/>
          <w:szCs w:val="21"/>
          <w:b w:val="1"/>
          <w:bCs w:val="1"/>
          <w:i w:val="1"/>
          <w:iCs w:val="1"/>
          <w:color w:val="auto"/>
        </w:rPr>
        <w:t>Labor Matters</w:t>
      </w:r>
      <w:r>
        <w:rPr>
          <w:rFonts w:ascii="Times New Roman" w:cs="Times New Roman" w:eastAsia="Times New Roman" w:hAnsi="Times New Roman"/>
          <w:sz w:val="21"/>
          <w:szCs w:val="21"/>
          <w:color w:val="auto"/>
        </w:rPr>
        <w:t>. As of the Closing Date, there are no strikes, lockouts or slowdowns against the Parent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Borrower or any Subsidiary pending or, to the knowledge of the Borrowers, threatened. The hours worked by and payments made to employees of the Borrowers and the Subsidiaries have not been in violation of, to the extent applicable to such Borrower or such Subsidiary, the Fair Labor Standards Act or any other applicable federal, state, provincial, local or foreign law dealing with such matters, except where such violation, either individually or in the aggregate, could not reasonably be expected to have a Material Adverse Effect. All payments due from any Borrower or any Subsidiary, or for which any claim may be made against any Borrower or any Subsidiary, on account of wages and employee health and welfare insurance and other benefits, have been paid or accrued as a liability on the books of such Borrower or such Subsidiary, except where the failure to do the same, either individually or in the aggregate, could not reasonably be expected to result in a Material Adverse Effect.</w:t>
      </w:r>
    </w:p>
    <w:p>
      <w:pPr>
        <w:spacing w:after="0" w:line="9"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3.22 </w:t>
      </w:r>
      <w:r>
        <w:rPr>
          <w:rFonts w:ascii="Times New Roman" w:cs="Times New Roman" w:eastAsia="Times New Roman" w:hAnsi="Times New Roman"/>
          <w:sz w:val="22"/>
          <w:szCs w:val="22"/>
          <w:b w:val="1"/>
          <w:bCs w:val="1"/>
          <w:i w:val="1"/>
          <w:iCs w:val="1"/>
          <w:color w:val="auto"/>
        </w:rPr>
        <w:t>Solvency</w:t>
      </w:r>
      <w:r>
        <w:rPr>
          <w:rFonts w:ascii="Times New Roman" w:cs="Times New Roman" w:eastAsia="Times New Roman" w:hAnsi="Times New Roman"/>
          <w:sz w:val="22"/>
          <w:szCs w:val="22"/>
          <w:color w:val="auto"/>
        </w:rPr>
        <w:t>. Immediately following the making of each Loan and the giving of each of the Guarantee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and after giving effect to the application of the proceeds of each Loan, the Parent Borrower and its subsidiaries on a consolidated basis will be Solvent.</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3.23 </w:t>
      </w:r>
      <w:r>
        <w:rPr>
          <w:rFonts w:ascii="Times New Roman" w:cs="Times New Roman" w:eastAsia="Times New Roman" w:hAnsi="Times New Roman"/>
          <w:sz w:val="22"/>
          <w:szCs w:val="22"/>
          <w:b w:val="1"/>
          <w:bCs w:val="1"/>
          <w:i w:val="1"/>
          <w:iCs w:val="1"/>
          <w:color w:val="auto"/>
        </w:rPr>
        <w:t>Anti-Corruption Laws</w:t>
      </w:r>
      <w:r>
        <w:rPr>
          <w:rFonts w:ascii="Times New Roman" w:cs="Times New Roman" w:eastAsia="Times New Roman" w:hAnsi="Times New Roman"/>
          <w:sz w:val="22"/>
          <w:szCs w:val="22"/>
          <w:color w:val="auto"/>
        </w:rPr>
        <w:t>. None of the Parent Borrower and its subsidiaries nor, to the knowledge of the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any director, employee or officer acting on behalf of any the Parent Borrower or any of its subsidiaries has used any corporate funds for any unlawful contribution, gift, entertainment or other unlawful expense relating to political activity; made any direct or indirect unlawful payment to any foreign or domestic government official or employee from corporate funds; or violated or is in violation of any provision of the Anti-Corruption Laws.</w:t>
      </w:r>
    </w:p>
    <w:p>
      <w:pPr>
        <w:spacing w:after="0" w:line="5"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3.24 </w:t>
      </w:r>
      <w:r>
        <w:rPr>
          <w:rFonts w:ascii="Times New Roman" w:cs="Times New Roman" w:eastAsia="Times New Roman" w:hAnsi="Times New Roman"/>
          <w:sz w:val="22"/>
          <w:szCs w:val="22"/>
          <w:b w:val="1"/>
          <w:bCs w:val="1"/>
          <w:i w:val="1"/>
          <w:iCs w:val="1"/>
          <w:color w:val="auto"/>
        </w:rPr>
        <w:t>Anti-Money Laundering Laws</w:t>
      </w:r>
      <w:r>
        <w:rPr>
          <w:rFonts w:ascii="Times New Roman" w:cs="Times New Roman" w:eastAsia="Times New Roman" w:hAnsi="Times New Roman"/>
          <w:sz w:val="22"/>
          <w:szCs w:val="22"/>
          <w:color w:val="auto"/>
        </w:rPr>
        <w:t>. The operations of the Parent Borrower and each subsidiary are and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conducted at all times in compliance with Anti-Money Laundering Laws in all material respects and no action, suit or proceeding by or before any court or Governmental Agency or any arbitrator involving the Parent Borrower or any of its subsidiaries with respect to Anti-Money Laundering Laws is pending and no such actions, suits or proceedings have been threatened.</w:t>
      </w:r>
    </w:p>
    <w:p>
      <w:pPr>
        <w:spacing w:after="0" w:line="5"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3.25 </w:t>
      </w:r>
      <w:r>
        <w:rPr>
          <w:rFonts w:ascii="Times New Roman" w:cs="Times New Roman" w:eastAsia="Times New Roman" w:hAnsi="Times New Roman"/>
          <w:sz w:val="22"/>
          <w:szCs w:val="22"/>
          <w:b w:val="1"/>
          <w:bCs w:val="1"/>
          <w:i w:val="1"/>
          <w:iCs w:val="1"/>
          <w:color w:val="auto"/>
        </w:rPr>
        <w:t>Foreign Assets Control Regulations, etc.</w:t>
      </w:r>
      <w:r>
        <w:rPr>
          <w:rFonts w:ascii="Times New Roman" w:cs="Times New Roman" w:eastAsia="Times New Roman" w:hAnsi="Times New Roman"/>
          <w:sz w:val="22"/>
          <w:szCs w:val="22"/>
          <w:color w:val="auto"/>
        </w:rPr>
        <w:t>. (a) The Parent Borrower and its subsidiaries are in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FCPA and the Currency and Foreign Transactions Reporting Act of 1970 and, (b) to the knowledge of the Loan Parties, no director, officer or employee of any Loan Party or any of their subsidiaries is a Designated Person.</w:t>
      </w: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CLOSING AND FUNDING</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obligations of the Lenders to make Loans and of the Issuing Banks to issue Letters of Credit hereunder are subject to the satisfaction of the following conditions:</w:t>
      </w:r>
    </w:p>
    <w:p>
      <w:pPr>
        <w:spacing w:after="0" w:line="125"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2"/>
          <w:szCs w:val="22"/>
          <w:b w:val="1"/>
          <w:bCs w:val="1"/>
          <w:color w:val="auto"/>
        </w:rPr>
        <w:t xml:space="preserve">Section 4.01 </w:t>
      </w:r>
      <w:r>
        <w:rPr>
          <w:rFonts w:ascii="Times New Roman" w:cs="Times New Roman" w:eastAsia="Times New Roman" w:hAnsi="Times New Roman"/>
          <w:sz w:val="22"/>
          <w:szCs w:val="22"/>
          <w:b w:val="1"/>
          <w:bCs w:val="1"/>
          <w:i w:val="1"/>
          <w:iCs w:val="1"/>
          <w:color w:val="auto"/>
        </w:rPr>
        <w:t>Conditions to All Credit Events</w:t>
      </w:r>
      <w:r>
        <w:rPr>
          <w:rFonts w:ascii="Times New Roman" w:cs="Times New Roman" w:eastAsia="Times New Roman" w:hAnsi="Times New Roman"/>
          <w:sz w:val="22"/>
          <w:szCs w:val="22"/>
          <w:color w:val="auto"/>
        </w:rPr>
        <w:t>. On the date of each Borrowing and on the date of each issuance,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extension or renewal of a Letter of Credit (each such event being called a “</w:t>
      </w:r>
      <w:r>
        <w:rPr>
          <w:rFonts w:ascii="Times New Roman" w:cs="Times New Roman" w:eastAsia="Times New Roman" w:hAnsi="Times New Roman"/>
          <w:sz w:val="22"/>
          <w:szCs w:val="22"/>
          <w:i w:val="1"/>
          <w:iCs w:val="1"/>
          <w:color w:val="auto"/>
        </w:rPr>
        <w:t>Credit Event</w:t>
      </w:r>
      <w:r>
        <w:rPr>
          <w:rFonts w:ascii="Times New Roman" w:cs="Times New Roman" w:eastAsia="Times New Roman" w:hAnsi="Times New Roman"/>
          <w:sz w:val="22"/>
          <w:szCs w:val="22"/>
          <w:color w:val="auto"/>
        </w:rPr>
        <w:t>”):</w:t>
      </w:r>
    </w:p>
    <w:p>
      <w:pPr>
        <w:jc w:val="both"/>
        <w:ind w:firstLine="1304"/>
        <w:spacing w:after="0" w:line="211"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Administrative Agent shall have received a notice of such Borrowing as required by Section 2.03 (or such notice shall have been deemed given in accordance with Section 2.03) or, in the case of the issuance, amendment, extension or renewal of a Letter of Credit, the Applicable Issuing Bank and the Applicable Administrative Agent shall have received a notice requesting the issuance, amendment, extension or renewal of such Letter of Credit as required by Section 2.21(b) or, in the case of a Swing Line Loan, the Applicable Swing Line Lender and the Applicable Administrative Agent shall have received a notice requesting such Swing Line Loan as required by Section 2.23.</w:t>
      </w:r>
    </w:p>
    <w:p>
      <w:pPr>
        <w:spacing w:after="0" w:line="153"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set forth in Article III hereof and in each other Loan Document shall be true and correct in all material respects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89" w:right="339" w:bottom="1440" w:gutter="0" w:footer="0" w:header="0"/>
        </w:sectPr>
      </w:pPr>
    </w:p>
    <w:bookmarkStart w:id="120" w:name="page121"/>
    <w:bookmarkEnd w:id="120"/>
    <w:p>
      <w:pPr>
        <w:jc w:val="both"/>
        <w:spacing w:after="0" w:line="215" w:lineRule="auto"/>
        <w:rPr>
          <w:sz w:val="20"/>
          <w:szCs w:val="20"/>
          <w:color w:val="auto"/>
        </w:rPr>
      </w:pPr>
      <w:r>
        <w:rPr>
          <w:rFonts w:ascii="Times New Roman" w:cs="Times New Roman" w:eastAsia="Times New Roman" w:hAnsi="Times New Roman"/>
          <w:sz w:val="22"/>
          <w:szCs w:val="22"/>
          <w:color w:val="auto"/>
        </w:rPr>
        <w:t>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52" w:lineRule="exact"/>
        <w:rPr>
          <w:sz w:val="20"/>
          <w:szCs w:val="20"/>
          <w:color w:val="auto"/>
        </w:rPr>
      </w:pPr>
    </w:p>
    <w:p>
      <w:pPr>
        <w:jc w:val="both"/>
        <w:ind w:firstLine="1304"/>
        <w:spacing w:after="0" w:line="225" w:lineRule="auto"/>
        <w:tabs>
          <w:tab w:leader="none" w:pos="194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Borrowing, no mandatory prepayment would be required under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2.12(d).</w:t>
      </w:r>
    </w:p>
    <w:p>
      <w:pPr>
        <w:spacing w:after="0" w:line="151"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such Credit Event, the Parent Borrower is in compliance with the financial covenants described in Section 6.11 as of the most recently ended four (4) quarter period for which financial statements are required to be delivered under Section 5.04(a) or Section 5.04(b) or for which comparable financial statements have been filed with the SEC as if such Credit Event had occurred on the last day of such period.</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Credit Event shall be deemed to constitute a representation and warranty by the Borrowers on the date of such Credit Event as to the matters specified in paragraphs (b), (c), (d) and (e) of this Section 4.01.</w:t>
      </w:r>
    </w:p>
    <w:p>
      <w:pPr>
        <w:spacing w:after="0" w:line="11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4.02</w:t>
      </w:r>
      <w:r>
        <w:rPr>
          <w:sz w:val="20"/>
          <w:szCs w:val="20"/>
          <w:color w:val="auto"/>
        </w:rPr>
        <w:tab/>
      </w:r>
      <w:r>
        <w:rPr>
          <w:rFonts w:ascii="Times New Roman" w:cs="Times New Roman" w:eastAsia="Times New Roman" w:hAnsi="Times New Roman"/>
          <w:sz w:val="21"/>
          <w:szCs w:val="21"/>
          <w:b w:val="1"/>
          <w:bCs w:val="1"/>
          <w:i w:val="1"/>
          <w:iCs w:val="1"/>
          <w:color w:val="auto"/>
        </w:rPr>
        <w:t>Conditions to Closing</w:t>
      </w:r>
      <w:r>
        <w:rPr>
          <w:rFonts w:ascii="Times New Roman" w:cs="Times New Roman" w:eastAsia="Times New Roman" w:hAnsi="Times New Roman"/>
          <w:sz w:val="21"/>
          <w:szCs w:val="21"/>
          <w:color w:val="auto"/>
        </w:rPr>
        <w:t>. On or before the Closing Date,</w:t>
      </w:r>
    </w:p>
    <w:p>
      <w:pPr>
        <w:spacing w:after="0" w:line="2" w:lineRule="exact"/>
        <w:rPr>
          <w:sz w:val="20"/>
          <w:szCs w:val="20"/>
          <w:color w:val="auto"/>
        </w:rPr>
      </w:pPr>
    </w:p>
    <w:p>
      <w:pPr>
        <w:ind w:firstLine="1304"/>
        <w:spacing w:after="0" w:line="225"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shall have received, on behalf of themselves, the Lenders and the Issuing Banks all documents necessary for the occurrence of the Closing Date, including, without limitation:</w:t>
      </w:r>
    </w:p>
    <w:p>
      <w:pPr>
        <w:spacing w:after="0" w:line="14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executed and delivered by the Agents, the Borrowers, the Lenders, and the Issuing</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Banks;</w:t>
      </w:r>
    </w:p>
    <w:p>
      <w:pPr>
        <w:spacing w:after="0" w:line="142"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Note requested by a Lender pursuant to Section 2.04 of this Agreement payable to such</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requesting Lender;</w:t>
      </w:r>
    </w:p>
    <w:p>
      <w:pPr>
        <w:spacing w:after="0" w:line="155"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60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favorable written opinion of each of (1) Simpson Thacher &amp; Bartlett LLP, U.S. counsel for the Borrowers, (2) Dentons Canada LLP, Canadian counsel to the Parent Borrower, and (3) Arnold Bloch Leibler, Australian counsel to the Secured Parties, in each case (A) dated as of the Closing Date, (B) addressed to the Administrative Agents, the Collateral Agents, the Issuing Banks and the Lenders, and (C) covering such other matters relating to the Loan Documents in respect of the jurisdiction of the relevant counsel as the Administrative Agents shall reasonably request, and the Borrowers hereby request such counsel to deliver such opinions;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592"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as to the good standing or, if applicable, tax status of each Loan Party (other than an Australian Loan Party) or a certified copy of the certificate incorporation of each Australian Loan Party as of a recent date, from the Secretary of State or other relevant Governmental Authority of the state or jurisdiction of its organization;</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21" w:name="page122"/>
    <w:bookmarkEnd w:id="121"/>
    <w:p>
      <w:pPr>
        <w:jc w:val="both"/>
        <w:ind w:left="660" w:firstLine="1292"/>
        <w:spacing w:after="0" w:line="210" w:lineRule="auto"/>
        <w:tabs>
          <w:tab w:leader="none" w:pos="259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Responsible Officer or, in respect of an Australian Loan Party, director or company secretary (or such other corporate officer satisfactory to the Administrative Agent) of each Loan Party dated as of the Closing Date and certifying (1) that attached thereto is a true and complete copy of the organizational documents of each Loan Party as in effect on the Closing Date and at all times since a date prior to the date of the resolutions described in clause (2) below, (2) that (A) in the case of a Loan Party other than an Australian Loan Party, attached thereto is a true and complete copy of, or (B) in the case of an Australian Loan Party, attached there is an extract of, resolutions duly adopted by the Board of Directors (or persons performing similar functions) of such Loan Party authorizing the Transactions to be entered into by such Loan Party and the execution, delivery and performance of the Loan Documents to which such person is a party and, in the case of the Borrowers, the borrowings hereunder, and that such resolutions have not been modified, rescinded or amended and are in full force and effect, and (3) as to the incumbency and specimen signature of each officer executing any Loan Document or any other document delivered in connection herewith on behalf of such Loan Party;</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dated the Closing Date and signed by a Financial Officer of the Parent Borrower, certifying (1) compliance with the conditions precedent set forth in Sections 4.01(b) and (c), and (2) in each case after giving pro forma effect (using the criteria therefor described in Section 6.04(i)) to the initial Borrowing contemplated hereunder and the other transactions contemplated hereby, that (A) the Parent Borrower and its Subsidiaries, taken as a whole, will be Solvent on the Closing Date and (B) the Parent Borrower and its subsidiaries will be in pro forma compliance (using the criteria therefor described in Section 6.04(i)) with Sections 6.10 and 6.11 as of Closing Date;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Reaffirmation and Security Amendment Agreement duly executed by the Loan Parties and the Agents, under which (1) each Loan Party shall reaffirm each Loan Document to which it is a party and shall confirm its respective guarantees, pledges, grants of security interests and other obligations under and subject to each of such Loan Document and (2) each applicable Security Document shall have been amended as set forth therein;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UCC-1 financing statements required by law or reasonably requested by the Applicable Collateral Agents to be filed, registered or recorded in order to create in favor of the Applicable Collateral Agent for the benefit of the Secured Parties a valid, legal and perfected first priority Lien on the Collateral (subject to any Permitted Lien);</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(i) a search of the Uniform Commercial Code filings or (ii) searches of filings at the applicable provincial or territorial personal property security registries in Canada, as applicable (made with respect to each of the Loan Parties in the state (or other jurisdiction) within the U.S. or Canada in which such person is organized, and the other jurisdictions in which Uniform Commercial Code filings (or equivalent PPSA (Alberta) or equivalent personal property security legislation of applicable provinces or territories in Canada) are to be made or amended pursuant to the U.S. Security Agreement or the Canadian Security Agreement, as applicable), together with copies of the financing statements (or similar documents) disclosed by such search, and accompanied by evidence satisfactory to the Collateral Agents that the Liens</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22" w:name="page123"/>
    <w:bookmarkEnd w:id="122"/>
    <w:p>
      <w:pPr>
        <w:ind w:left="660"/>
        <w:spacing w:after="0" w:line="236" w:lineRule="auto"/>
        <w:rPr>
          <w:sz w:val="20"/>
          <w:szCs w:val="20"/>
          <w:color w:val="auto"/>
        </w:rPr>
      </w:pPr>
      <w:r>
        <w:rPr>
          <w:rFonts w:ascii="Times New Roman" w:cs="Times New Roman" w:eastAsia="Times New Roman" w:hAnsi="Times New Roman"/>
          <w:sz w:val="22"/>
          <w:szCs w:val="22"/>
          <w:color w:val="auto"/>
        </w:rPr>
        <w:t>indicated in any such financing statement (or similar document) would be permitted under Section 6.02 or have been or will be contemporaneously released or terminated on the Closing Date;</w:t>
      </w:r>
    </w:p>
    <w:p>
      <w:pPr>
        <w:spacing w:after="0" w:line="150" w:lineRule="exact"/>
        <w:rPr>
          <w:sz w:val="20"/>
          <w:szCs w:val="20"/>
          <w:color w:val="auto"/>
        </w:rPr>
      </w:pPr>
    </w:p>
    <w:p>
      <w:pPr>
        <w:ind w:left="2580" w:hanging="628"/>
        <w:spacing w:after="0"/>
        <w:tabs>
          <w:tab w:leader="none" w:pos="258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and other information that the Administrative Agents, the Lead Arranger or the Lenders shall have requested in order to comply with their respective obligations under applicable “know your customer” and anti-money laundering rules and regulations, including the Patriot Act, in each case to the extent such documentation and other information shall have been reasonably requested not less than five (5) Business Days prior to the Closing Date; and</w:t>
      </w:r>
    </w:p>
    <w:p>
      <w:pPr>
        <w:spacing w:after="0" w:line="139" w:lineRule="exact"/>
        <w:rPr>
          <w:rFonts w:ascii="Times New Roman" w:cs="Times New Roman" w:eastAsia="Times New Roman" w:hAnsi="Times New Roman"/>
          <w:sz w:val="22"/>
          <w:szCs w:val="22"/>
          <w:color w:val="auto"/>
        </w:rPr>
      </w:pPr>
    </w:p>
    <w:p>
      <w:pPr>
        <w:ind w:left="2660" w:hanging="708"/>
        <w:spacing w:after="0"/>
        <w:tabs>
          <w:tab w:leader="none" w:pos="266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documents as Administrative Agent or special counsel to Administrative Agent may</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request;</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and the Lead Arranger shall have received all Fees and other amounts due and payable on or prior to the Closing Date, including, without limitation, (i) to the extent invoiced, reimbursement or payment of all out-of-pocket expenses (including, without limitation, the reasonable fees, charges and disbursements of counsel for the Agents) required to be reimbursed or paid by the Borrowers hereunder, under this Agreement or under any other Loan Document and (ii) all Fees and other amounts due and payable under the Fee Letter;</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set forth in Article III hereof and in each other Loan Document shall be true and correct in all material respects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representation and warranty is qualified as to “Material Adverse Effect” or otherwise as to “materiality”, such representation and warranty is true and correct in all respects) on and as of the date of such Credit Event with the same effect as though made on and as of such date, except to the extent such representations and warranties expressly relate to an earlier date, in which case such representation and warranty is true and correct in all material respects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any such representation and warranty is qualified as to “Material Adverse Effect” or otherwise as to “materiality”, such representation and warranty is true and correct in all respects) as of such earlier date;</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and each other Loan Party shall be in compliance with all the terms and provisions set forth herein and in each other Loan Document on its part to be observed or performed, and at the time of and immediately after such Credit Event, no Event of Default or Default shall have occurred and be continuing; and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must be at least U.S.$25,000,000 of the Revolving Commitments unused and available (after giving effect to any Borrowings on the Closing Date).</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23" w:name="page124"/>
    <w:bookmarkEnd w:id="123"/>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and all amounts drawn thereunder have been reimbursed in full, unless the Required Lenders shall otherwise consent in writing, each of the Borrowers will, and will cause each of its Subsidiaries to:</w:t>
      </w:r>
    </w:p>
    <w:p>
      <w:pPr>
        <w:spacing w:after="0" w:line="1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5.01</w:t>
      </w:r>
      <w:r>
        <w:rPr>
          <w:sz w:val="20"/>
          <w:szCs w:val="20"/>
          <w:color w:val="auto"/>
        </w:rPr>
        <w:tab/>
      </w:r>
      <w:r>
        <w:rPr>
          <w:rFonts w:ascii="Times New Roman" w:cs="Times New Roman" w:eastAsia="Times New Roman" w:hAnsi="Times New Roman"/>
          <w:sz w:val="21"/>
          <w:szCs w:val="21"/>
          <w:b w:val="1"/>
          <w:bCs w:val="1"/>
          <w:i w:val="1"/>
          <w:iCs w:val="1"/>
          <w:color w:val="auto"/>
        </w:rPr>
        <w:t>Existence; Businesses and Properties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4" w:lineRule="auto"/>
        <w:tabs>
          <w:tab w:leader="none" w:pos="200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or cause to be done all things necessary to preserve, renew and keep in full force and effect its legal existence and (to the extent the concept is applicable in such jurisdiction) good standing under the legal requirements of the jurisdiction of its formation, except as otherwise expressly permitted under Section 6.05, except where failure to do so could not, individually or in the aggregate, reasonably be expected to have a Material Adverse Effect.</w:t>
      </w:r>
    </w:p>
    <w:p>
      <w:pPr>
        <w:spacing w:after="0" w:line="15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Qualify and remain qualified as a foreign entity in each jurisdiction in which qualification is necessary in view of its business and operations or the ownership of its properties, except where failure to do so could not, individually or in the aggregate,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or cause to be done all things necessary to obtain, preserve, renew, extend, maintain and keep in full force and effect the rights, privileges, licenses, permits, franchises, authorizations, patents, copyrights, trademarks and trade names material to the conduct of its business, except where the failure to do so could not reasonably be expected to have a Material Adverse Effect; maintain and operate such business in substantially the manner in which it is presently conducted and operated; comply in all material respects with all applicable laws, rules, regulations, decrees and orders of any Governmental Authority, whether now in effect or hereafter enacted, except where the failure do so could not reasonably be expected to have a Material Adverse Effect; and at all times maintain and preserve all property material to the conduct of such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except where the failure to do so could not reasonably be expected to have a Material Adverse Effect.</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5.02</w:t>
      </w:r>
      <w:r>
        <w:rPr>
          <w:sz w:val="20"/>
          <w:szCs w:val="20"/>
          <w:color w:val="auto"/>
        </w:rPr>
        <w:tab/>
      </w:r>
      <w:r>
        <w:rPr>
          <w:rFonts w:ascii="Times New Roman" w:cs="Times New Roman" w:eastAsia="Times New Roman" w:hAnsi="Times New Roman"/>
          <w:sz w:val="21"/>
          <w:szCs w:val="21"/>
          <w:b w:val="1"/>
          <w:bCs w:val="1"/>
          <w:i w:val="1"/>
          <w:iCs w:val="1"/>
          <w:color w:val="auto"/>
        </w:rPr>
        <w:t>Insurance</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8" w:lineRule="auto"/>
        <w:tabs>
          <w:tab w:leader="none" w:pos="199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insurance with insurance providers that it reasonably considers to be financially sound (including captive insurance companies, or through self-insurance), in such amounts, with such deductibles and covering such risks and liabilities as are consistent with its past practices.</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Cause all such policies (other than policies relating to public liability, third party claims or workers’ compensation) covering any Collateral to be endorsed or otherwise amended to (A) with respect to insurance policies covering U.S. Loan Parties, to include a customary lender’s loss payable endorsement or name the Applicable Collateral Agent as loss payee as their interests may appear, in form and substance reasonably satisfactory to the Collateral Agents, (B) with respect to insurance policies covering the Australian Loan Parties to</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09" w:right="339" w:bottom="1440" w:gutter="0" w:footer="0" w:header="0"/>
        </w:sectPr>
      </w:pPr>
    </w:p>
    <w:bookmarkStart w:id="124" w:name="page125"/>
    <w:bookmarkEnd w:id="124"/>
    <w:p>
      <w:pPr>
        <w:jc w:val="both"/>
        <w:spacing w:after="0" w:line="208" w:lineRule="auto"/>
        <w:rPr>
          <w:sz w:val="20"/>
          <w:szCs w:val="20"/>
          <w:color w:val="auto"/>
        </w:rPr>
      </w:pPr>
      <w:r>
        <w:rPr>
          <w:rFonts w:ascii="Times New Roman" w:cs="Times New Roman" w:eastAsia="Times New Roman" w:hAnsi="Times New Roman"/>
          <w:sz w:val="22"/>
          <w:szCs w:val="22"/>
          <w:color w:val="auto"/>
        </w:rPr>
        <w:t>note the interests of the Australian Collateral Agent and (C) with respect to insurance policies covering the Canadian Loan Parties, name the Canadian Collateral Agent under a mortgage clause in a form approved by the Insurance Bureau of Canada, in each case, which endorsement shall provide that, from and after the Closing Date, if the insurance carrier shall have received written notice from a Collateral Agent of the occurrence of an Event of Default, the insurance carrier shall pay all proceeds otherwise payable to the applicable Loan Party under such policies directly to the Applicable Collateral Agent; deliver original or certified copies of all such policies to the Collateral Agents; cause each such policy to provide that it shall not be canceled, modified or not renewed (1) by reason of nonpayment of premium upon not less than 10 days’ prior written notice (or such shorter time as may be agreed by the Applicable Collateral Agent) thereof by the insurer to the Applicable Administrative Agent and the Applicable Collateral Agent (giving such Agents the right to cure defaults in the payment of premiums), or (2) for any other reason upon not less than 30 days’ prior written notice thereof (or such shorter time as may be agreed by the Applicable Collateral Agent) by the insurer to the Agents; deliver to the Applicable Administrative Agent and the Applicable Collateral Agent, evidence of the insurance maintained pursuant to paragraph (a) above; (ii) cause all liability insurance policies (A) with respect to insurance policies covering the U.S. Loan Parties, to name the Collateral Agents as an additional insured, (B) with respect to insurance policies covering the Australian Loan Parties, to note the interests of the Australian Collateral Agent and (C) with respect to insurance policies covering the Canadian Loan Parties, name the Canadian Collateral Agent under a mortgage clause in a form approved by the Insurance Bureau of Canada.</w:t>
      </w:r>
    </w:p>
    <w:p>
      <w:pPr>
        <w:spacing w:after="0" w:line="164" w:lineRule="exact"/>
        <w:rPr>
          <w:sz w:val="20"/>
          <w:szCs w:val="20"/>
          <w:color w:val="auto"/>
        </w:rPr>
      </w:pPr>
    </w:p>
    <w:p>
      <w:pPr>
        <w:jc w:val="both"/>
        <w:ind w:firstLine="1304"/>
        <w:spacing w:after="0" w:line="225" w:lineRule="auto"/>
        <w:tabs>
          <w:tab w:leader="none" w:pos="19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Business Days of the Closing Date (or such longer period as the Administrative Agent may determine in its reasonable discretion), deliver to the Administrative Agent an updated copy of, or an updated certificate as to coverage under, the insurance policies required by this Section 5.02.</w:t>
      </w:r>
    </w:p>
    <w:p>
      <w:pPr>
        <w:spacing w:after="0" w:line="147"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5.03 </w:t>
      </w:r>
      <w:r>
        <w:rPr>
          <w:rFonts w:ascii="Times New Roman" w:cs="Times New Roman" w:eastAsia="Times New Roman" w:hAnsi="Times New Roman"/>
          <w:sz w:val="22"/>
          <w:szCs w:val="22"/>
          <w:b w:val="1"/>
          <w:bCs w:val="1"/>
          <w:i w:val="1"/>
          <w:iCs w:val="1"/>
          <w:color w:val="auto"/>
        </w:rPr>
        <w:t>Obligations and Taxes</w:t>
      </w:r>
      <w:r>
        <w:rPr>
          <w:rFonts w:ascii="Times New Roman" w:cs="Times New Roman" w:eastAsia="Times New Roman" w:hAnsi="Times New Roman"/>
          <w:sz w:val="22"/>
          <w:szCs w:val="22"/>
          <w:color w:val="auto"/>
        </w:rPr>
        <w:t>. Pay its Indebtedness and other obligations promptly and in accordance with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terms and pay and discharge promptly when due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payment and discharge shall not be required with respect to any such obligation Tax, assessment, charge, levy or claim so long as the validity or amount thereof shall be contested in good faith by appropriate proceedings and applicable Borrower or Subsidiary shall have set aside on its books adequate reserves with respect thereto in accordance with GAAP or other applicable accounting principles, and such contest operates to suspend collection of the contested obligation, tax, assessment or charge and enforcement of a Lien.</w:t>
      </w:r>
    </w:p>
    <w:p>
      <w:pPr>
        <w:spacing w:after="0" w:line="1" w:lineRule="exact"/>
        <w:rPr>
          <w:sz w:val="20"/>
          <w:szCs w:val="20"/>
          <w:color w:val="auto"/>
        </w:rPr>
      </w:pPr>
    </w:p>
    <w:p>
      <w:pPr>
        <w:ind w:right="20"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5.04 </w:t>
      </w:r>
      <w:r>
        <w:rPr>
          <w:rFonts w:ascii="Times New Roman" w:cs="Times New Roman" w:eastAsia="Times New Roman" w:hAnsi="Times New Roman"/>
          <w:sz w:val="22"/>
          <w:szCs w:val="22"/>
          <w:b w:val="1"/>
          <w:bCs w:val="1"/>
          <w:i w:val="1"/>
          <w:iCs w:val="1"/>
          <w:color w:val="auto"/>
        </w:rPr>
        <w:t>Financial Statements, Reports, etc.</w:t>
      </w:r>
      <w:r>
        <w:rPr>
          <w:rFonts w:ascii="Times New Roman" w:cs="Times New Roman" w:eastAsia="Times New Roman" w:hAnsi="Times New Roman"/>
          <w:sz w:val="22"/>
          <w:szCs w:val="22"/>
          <w:color w:val="auto"/>
        </w:rPr>
        <w:t>. Furnish to the Administrative Agent and, in the case of Sections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5.04(f) or (g), the applicable Lender:</w:t>
      </w:r>
    </w:p>
    <w:p>
      <w:pPr>
        <w:spacing w:after="0" w:line="2" w:lineRule="exact"/>
        <w:rPr>
          <w:sz w:val="20"/>
          <w:szCs w:val="20"/>
          <w:color w:val="auto"/>
        </w:rPr>
      </w:pPr>
    </w:p>
    <w:p>
      <w:pPr>
        <w:jc w:val="both"/>
        <w:ind w:firstLine="1304"/>
        <w:spacing w:after="0" w:line="209" w:lineRule="auto"/>
        <w:tabs>
          <w:tab w:leader="none" w:pos="19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after the date in each fiscal year on which the Parent Borrower is required to file its Annual Report on Form 10-K with the SEC (or would be required if the Parent Borrower is no longer required to file regular and periodic reports with the SEC), in each case without giving effect to any extension thereof, the audited consolidated balance sheet and related consolidated statements of operations, changes in shareholders’ equity, comprehensive income and cash flows of the Parent Borrower, showing its consolidated financial condition as of the close of such fiscal year and the results of its operations and the operations of its consolidated subsidiaries during such year and setting forth in each case in comparative form the figures for the previous fiscal year, audited by independent public accountants of recognized national standing and accompanied by an opinion of such accountants (which shall not be subject to any “going concern” or like qualification or exception or any qualification or exception as to</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25" w:name="page126"/>
    <w:bookmarkEnd w:id="125"/>
    <w:p>
      <w:pPr>
        <w:jc w:val="both"/>
        <w:spacing w:after="0" w:line="225" w:lineRule="auto"/>
        <w:rPr>
          <w:sz w:val="20"/>
          <w:szCs w:val="20"/>
          <w:color w:val="auto"/>
        </w:rPr>
      </w:pPr>
      <w:r>
        <w:rPr>
          <w:rFonts w:ascii="Times New Roman" w:cs="Times New Roman" w:eastAsia="Times New Roman" w:hAnsi="Times New Roman"/>
          <w:sz w:val="22"/>
          <w:szCs w:val="22"/>
          <w:color w:val="auto"/>
        </w:rPr>
        <w:t>the scope of such audit) to the effect that such consolidated financial statements fairly present in all material respects the financial condition and results of operations of the Parent Borrower and its consolidated subsidiaries on a consolidated basis in accordance with GAAP;</w:t>
      </w:r>
    </w:p>
    <w:p>
      <w:pPr>
        <w:spacing w:after="0" w:line="153" w:lineRule="exact"/>
        <w:rPr>
          <w:sz w:val="20"/>
          <w:szCs w:val="20"/>
          <w:color w:val="auto"/>
        </w:rPr>
      </w:pPr>
    </w:p>
    <w:p>
      <w:pPr>
        <w:jc w:val="both"/>
        <w:ind w:firstLine="1304"/>
        <w:spacing w:after="0" w:line="211"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after each date in each fiscal year on which the Parent Borrower is required to file a Quarterly Report on Form 10-Q with the SEC (or would be required if the Parent Borrower is no longer required to file regular and periodic reports with the SEC), in each case without giving effect to any extension thereof, the unaudited consolidated balance sheets and related consolidated statements of operations and cash flows of the Parent Borrower, showing its consolidated financial condition as of the close of such fiscal quarter and the results of its operations and the operations of its consolidated subsidiaries during such fiscal quarter and the then elapsed portion of the fiscal year and setting forth in each case in comparative form the figures for the corresponding period in the previous fiscal year, all certified by one of its Financial Officers as fairly presenting in all material respects the financial condition and results of operations of the Parent Borrower and its consolidated subsidiaries on a consolidated basis in accordance with GAAP, subject to normal year-end audit adjustments and the absence of footnotes;</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any delivery of financial statements under paragraph (a) or (b) above, a certificate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i w:val="1"/>
          <w:iCs w:val="1"/>
          <w:color w:val="auto"/>
        </w:rPr>
        <w:t>Compliance Certificate</w:t>
      </w:r>
      <w:r>
        <w:rPr>
          <w:rFonts w:ascii="Times New Roman" w:cs="Times New Roman" w:eastAsia="Times New Roman" w:hAnsi="Times New Roman"/>
          <w:sz w:val="22"/>
          <w:szCs w:val="22"/>
          <w:color w:val="auto"/>
        </w:rPr>
        <w:t>”) of a Financial Officer (i) certifying that no Event of Default or Default has occurred or, if such an Event of Default or Default has occurred, specifying the nature and extent thereof and any corrective action taken or proposed to be taken with respect thereto and (ii) setting forth computations in detail reasonably satisfactory to the Agents demonstrating compliance with the Financial Covenants;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receipt thereof, copies of any audit or other reports delivered to the board of directors of the Parent Borrower (or the audit committee of such board) by an independent registered public accounting firm in connection with such firm’s audit of the consolidated financial statements of the Parent Borrower if such reports identify material weaknesses in internal controls over financial reporting of the Parent Borrower;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(other than filings under Section 16 of the Securities Exchange Act of 1934) filed by the Parent Borrower or any Subsidiary with the SEC, or any Governmental Authority succeeding to any or all of the functions of said Commission, or with any national securities exchange, or distributed to its shareholders, as the case may be, and all press releases;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 request by any Lender, all documentation and other information that such Lender reasonably requests in order to comply with its ongoing obligations under applicable “know your customer” and Anti-Money Laundering Laws, including the Patriot Act;</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 request by any Lender, an updated organizational chart of the Parent Borrower 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subsidiaries; and</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from time to time, such other information regarding the operations, business affairs and financial condition of the Borrowers or any Subsidiary, or compliance with the terms of any Loan Document, as the Applicable Administrative Agent or any Lender may reasonably request.</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26" w:name="page127"/>
    <w:bookmarkEnd w:id="126"/>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Documents required to be delivered pursuant to this Section 5.04 may be delivered electronically and, in the case of Sections 5.04(a), (b) or (e) shall be deemed to have been delivered if such documents, or one or more annual, quarterly or other reports or filings containing such documents (including, in the case of certifications required pursuant to Section 5.04(b), the certifications accompanying any such quarterly report pursuant to Section 302 of the Sarbanes-Oxley Act of 2002), (i) shall have been posted or provided a link to on the Parent Borrower’s website on the Internet at http://www.civeo.com, (ii) shall be available on the website of the SEC at http://www.sec.gov or (iii) shall have been posted on the Parent Borrower’s behalf on SyndTrak or another website, if any, to which each Lender and the Administrative Agents have access (whether a commercial, third-party website or whether sponsored by an Administrative Agent). No Administrative Agent shall have an obligation to request the delivery or to maintain copies of the documents referred to above, and in any event shall have no responsibility to monitor compliance by the Parent Borrower with any such request for delivery, and each Lender shall be solely responsible for requesting delivery to it or maintaining its copies of such documents.</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Parent Borrower hereby acknowledges that (a) the Agents will make available to the Lenders and the Issuing Banks materials and/or information provided by or on behalf of the Loan Parties hereunder (collectively, the “</w:t>
      </w:r>
      <w:r>
        <w:rPr>
          <w:rFonts w:ascii="Times New Roman" w:cs="Times New Roman" w:eastAsia="Times New Roman" w:hAnsi="Times New Roman"/>
          <w:sz w:val="22"/>
          <w:szCs w:val="22"/>
          <w:i w:val="1"/>
          <w:iCs w:val="1"/>
          <w:color w:val="auto"/>
        </w:rPr>
        <w:t>Borrower Materials</w:t>
      </w:r>
      <w:r>
        <w:rPr>
          <w:rFonts w:ascii="Times New Roman" w:cs="Times New Roman" w:eastAsia="Times New Roman" w:hAnsi="Times New Roman"/>
          <w:sz w:val="22"/>
          <w:szCs w:val="22"/>
          <w:color w:val="auto"/>
        </w:rPr>
        <w:t>”) by posting the Borrower Materials on SyndTrak or another similar electronic system (the “</w:t>
      </w:r>
      <w:r>
        <w:rPr>
          <w:rFonts w:ascii="Times New Roman" w:cs="Times New Roman" w:eastAsia="Times New Roman" w:hAnsi="Times New Roman"/>
          <w:sz w:val="22"/>
          <w:szCs w:val="22"/>
          <w:i w:val="1"/>
          <w:iCs w:val="1"/>
          <w:color w:val="auto"/>
        </w:rPr>
        <w:t>Platform</w:t>
      </w:r>
      <w:r>
        <w:rPr>
          <w:rFonts w:ascii="Times New Roman" w:cs="Times New Roman" w:eastAsia="Times New Roman" w:hAnsi="Times New Roman"/>
          <w:sz w:val="22"/>
          <w:szCs w:val="22"/>
          <w:color w:val="auto"/>
        </w:rPr>
        <w:t>”) and (b) certain of the Lenders may be “public-side” Lenders (i.e., Lenders that do not wish to receive material non-public information with respect to any Loan Party or its securities) (each, a “</w:t>
      </w:r>
      <w:r>
        <w:rPr>
          <w:rFonts w:ascii="Times New Roman" w:cs="Times New Roman" w:eastAsia="Times New Roman" w:hAnsi="Times New Roman"/>
          <w:sz w:val="22"/>
          <w:szCs w:val="22"/>
          <w:i w:val="1"/>
          <w:iCs w:val="1"/>
          <w:color w:val="auto"/>
        </w:rPr>
        <w:t>Public Lender</w:t>
      </w:r>
      <w:r>
        <w:rPr>
          <w:rFonts w:ascii="Times New Roman" w:cs="Times New Roman" w:eastAsia="Times New Roman" w:hAnsi="Times New Roman"/>
          <w:sz w:val="22"/>
          <w:szCs w:val="22"/>
          <w:color w:val="auto"/>
        </w:rPr>
        <w:t>”). If any Borrower Materials are designated by the Loan Parties as “PRIVATE”, such Borrower Materials will not be made available to that portion of the Platform designated “Public Investor,” which is intended to contain only information that (x) prior to any public offering of securities by any Loan Party, is of a type that would be contained in a customary offering circular for an offering of debt securities made in reliance on Rule 144A under the Securities Act or (y) following any public offering of securities by a Loan Party, is either publicly available or not material information (though it may be sensitive and proprietary) with respect to such Loan Party or its securities for purposes of United States Federal and State securities laws. The Agents shall be entitled to treat any Borrower Materials that are not marked “PRIVATE” or “CONFIDENTIAL” as not containing any material non-public information with respect to the Loan Parties or any securities for purposes of United States Federal and state securities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the extent such Borrower Materials constitute Information, they shall be treated as set forth in Section 9.16).</w:t>
      </w:r>
    </w:p>
    <w:p>
      <w:pPr>
        <w:spacing w:after="0" w:line="155"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2"/>
          <w:szCs w:val="22"/>
          <w:b w:val="1"/>
          <w:bCs w:val="1"/>
          <w:color w:val="auto"/>
        </w:rPr>
        <w:t xml:space="preserve">Section 5.05 </w:t>
      </w:r>
      <w:r>
        <w:rPr>
          <w:rFonts w:ascii="Times New Roman" w:cs="Times New Roman" w:eastAsia="Times New Roman" w:hAnsi="Times New Roman"/>
          <w:sz w:val="22"/>
          <w:szCs w:val="22"/>
          <w:b w:val="1"/>
          <w:bCs w:val="1"/>
          <w:i w:val="1"/>
          <w:iCs w:val="1"/>
          <w:color w:val="auto"/>
        </w:rPr>
        <w:t>Litigation and Other Notices</w:t>
      </w:r>
      <w:r>
        <w:rPr>
          <w:rFonts w:ascii="Times New Roman" w:cs="Times New Roman" w:eastAsia="Times New Roman" w:hAnsi="Times New Roman"/>
          <w:sz w:val="22"/>
          <w:szCs w:val="22"/>
          <w:color w:val="auto"/>
        </w:rPr>
        <w:t>. Upon obtaining knowledge thereof, furnish to the Administrative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 written notice of the following:</w:t>
      </w:r>
    </w:p>
    <w:p>
      <w:pPr>
        <w:ind w:firstLine="1304"/>
        <w:spacing w:after="0" w:line="225"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or Default, specifying the nature and extent thereof and the corrective action (if any) taken or proposed to be taken with respect thereto;</w:t>
      </w:r>
    </w:p>
    <w:p>
      <w:pPr>
        <w:spacing w:after="0" w:line="14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whether at law or in equity or by or before any Governmental Authority, against a Borrower or any Subsidiary thereof that could reasonably be expected to result in a Material Adverse Effect;</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127" w:name="page128"/>
    <w:bookmarkEnd w:id="127"/>
    <w:p>
      <w:pPr>
        <w:jc w:val="both"/>
        <w:ind w:firstLine="1304"/>
        <w:spacing w:after="0" w:line="225"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or analogous event with respect to a Canadian Pension Plan, Defined Benefit Plan or Canadian Benefit Plan that, alone or together with any other such events that have occurred, could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any form of written notice, summons, material correspondence or citation received from any Governmental Authority or any other person, (i) concerning material violations or alleged violations of Environmental Laws, which seeks or threatens to impose liability on the Parent Borrower or its Subsidiaries therefor, (ii) alleging liability for any material action or omission on the part of the Parent Borrower or any of its Subsidiaries in connection with any Release of Hazardous Material, (iii) providing any written notice of potential responsibility or liability under any Environmental Law, or (iv) concerning the filing of a Lien other than a Permitted Lien upon, against or in connection with the Parent Borrower or any of its Subsidiaries, or any of their leased or owned material property, wherever located, in each of cases (i) through (iv) that, individually or in the aggregate, could reasonably be expected to result in a liability (to the extent not covered by insurance) of the Parent Borrower or any of its Subsidiaries in an aggregate amount exceeding $25,000,000; or</w:t>
      </w:r>
    </w:p>
    <w:p>
      <w:pPr>
        <w:spacing w:after="0" w:line="14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development that has resulted in, or could reasonably be expected to result in, a Material Adverse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w:t>
      </w:r>
    </w:p>
    <w:p>
      <w:pPr>
        <w:spacing w:after="0" w:line="14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5.06 </w:t>
      </w:r>
      <w:r>
        <w:rPr>
          <w:rFonts w:ascii="Times New Roman" w:cs="Times New Roman" w:eastAsia="Times New Roman" w:hAnsi="Times New Roman"/>
          <w:sz w:val="22"/>
          <w:szCs w:val="22"/>
          <w:b w:val="1"/>
          <w:bCs w:val="1"/>
          <w:i w:val="1"/>
          <w:iCs w:val="1"/>
          <w:color w:val="auto"/>
        </w:rPr>
        <w:t>Information Regarding Collateral</w:t>
      </w:r>
      <w:r>
        <w:rPr>
          <w:rFonts w:ascii="Times New Roman" w:cs="Times New Roman" w:eastAsia="Times New Roman" w:hAnsi="Times New Roman"/>
          <w:sz w:val="22"/>
          <w:szCs w:val="22"/>
          <w:color w:val="auto"/>
        </w:rPr>
        <w:t>. Furnish to the Administrative Agent prompt (and in any event within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30 days after the occurrence thereof) written notice (a) of any change in the legal name, corporate structure, jurisdiction of organization or formation or organizational identification number of a Loan Party; and (b) if any material portion of the Collateral is expropriated, damaged or destroyed.</w:t>
      </w: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5.07 </w:t>
      </w:r>
      <w:r>
        <w:rPr>
          <w:rFonts w:ascii="Times New Roman" w:cs="Times New Roman" w:eastAsia="Times New Roman" w:hAnsi="Times New Roman"/>
          <w:sz w:val="22"/>
          <w:szCs w:val="22"/>
          <w:b w:val="1"/>
          <w:bCs w:val="1"/>
          <w:i w:val="1"/>
          <w:iCs w:val="1"/>
          <w:color w:val="auto"/>
        </w:rPr>
        <w:t>Maintaining Records; Access to Properties and Inspections</w:t>
      </w:r>
      <w:r>
        <w:rPr>
          <w:rFonts w:ascii="Times New Roman" w:cs="Times New Roman" w:eastAsia="Times New Roman" w:hAnsi="Times New Roman"/>
          <w:sz w:val="22"/>
          <w:szCs w:val="22"/>
          <w:color w:val="auto"/>
        </w:rPr>
        <w:t>. Keep proper books of record and account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which full, true and correct entries in conformity with GAAP or other applicable accounting principles and all requirements of law are made of all dealings and transactions in relation to its business and activities. Each Loan Party will, and will cause each Subsidiary to, permit any representatives designated by the Agents or any Lender to visit and inspect the financial records and the properties of the Borrowers or any Subsidiary and to make extracts from and copies of such financial records, and permit any representatives designated by the Agents or any Lender to discuss the affairs, finances and condition of the Borrowers or any Subsidiary with the officers thereof and independent accountants therefor, all at the expense of the Parent Borrower and at such reasonable times during normal business hours and as often as may be reasonably desired, upon reasonable advance notice to the applicable Loan Party or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Loan Parties shall be responsible for such expenses not more than one (1) time per year unless an Event of Default has occurred and is continuing, in which case the Loan Parties shall be responsible for all such expenses.</w:t>
      </w:r>
    </w:p>
    <w:p>
      <w:pPr>
        <w:spacing w:after="0" w:line="1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5.08 </w:t>
      </w:r>
      <w:r>
        <w:rPr>
          <w:rFonts w:ascii="Times New Roman" w:cs="Times New Roman" w:eastAsia="Times New Roman" w:hAnsi="Times New Roman"/>
          <w:sz w:val="22"/>
          <w:szCs w:val="22"/>
          <w:b w:val="1"/>
          <w:bCs w:val="1"/>
          <w:i w:val="1"/>
          <w:iCs w:val="1"/>
          <w:color w:val="auto"/>
        </w:rPr>
        <w:t>Use of Proceeds</w:t>
      </w:r>
      <w:r>
        <w:rPr>
          <w:rFonts w:ascii="Times New Roman" w:cs="Times New Roman" w:eastAsia="Times New Roman" w:hAnsi="Times New Roman"/>
          <w:sz w:val="22"/>
          <w:szCs w:val="22"/>
          <w:color w:val="auto"/>
        </w:rPr>
        <w:t>. Use the proceeds of the Loans and request the issuance of Letters of Credit only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set forth in Section 3.13.</w:t>
      </w:r>
    </w:p>
    <w:p>
      <w:pPr>
        <w:ind w:left="660"/>
        <w:spacing w:after="0" w:line="216"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5.09</w:t>
      </w:r>
      <w:r>
        <w:rPr>
          <w:sz w:val="20"/>
          <w:szCs w:val="20"/>
          <w:color w:val="auto"/>
        </w:rPr>
        <w:tab/>
      </w:r>
      <w:r>
        <w:rPr>
          <w:rFonts w:ascii="Times New Roman" w:cs="Times New Roman" w:eastAsia="Times New Roman" w:hAnsi="Times New Roman"/>
          <w:sz w:val="21"/>
          <w:szCs w:val="21"/>
          <w:b w:val="1"/>
          <w:bCs w:val="1"/>
          <w:i w:val="1"/>
          <w:iCs w:val="1"/>
          <w:color w:val="auto"/>
        </w:rPr>
        <w:t>Further Assurances</w:t>
      </w:r>
      <w:r>
        <w:rPr>
          <w:rFonts w:ascii="Times New Roman" w:cs="Times New Roman" w:eastAsia="Times New Roman" w:hAnsi="Times New Roman"/>
          <w:sz w:val="21"/>
          <w:szCs w:val="21"/>
          <w:color w:val="auto"/>
        </w:rPr>
        <w:t>. At its sole cost and expense,</w:t>
      </w:r>
    </w:p>
    <w:p>
      <w:pPr>
        <w:spacing w:after="0" w:line="1" w:lineRule="exact"/>
        <w:rPr>
          <w:sz w:val="20"/>
          <w:szCs w:val="20"/>
          <w:color w:val="auto"/>
        </w:rPr>
      </w:pPr>
    </w:p>
    <w:p>
      <w:pPr>
        <w:jc w:val="both"/>
        <w:ind w:firstLine="1304"/>
        <w:spacing w:after="0" w:line="211" w:lineRule="auto"/>
        <w:tabs>
          <w:tab w:leader="none" w:pos="194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any and all further documents, financing statements, agreements and instruments, and take all further action (including filing Uniform Commercial Code, financing statements under the PPSA (Alberta) or equivalent personal property security legislation in applicable provinces or territories in Canada, PPS Register and other financing statements) that may be required under applicable law, or that any Agent may reasonably request, in order to effectuate the transactions contemplated by the Loan Documents and in order to grant, preserve, protect and perfect the validity and first priority of the security interests created or intended to be created by the Security Documents.</w:t>
      </w: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28" w:name="page129"/>
    <w:bookmarkEnd w:id="128"/>
    <w:p>
      <w:pPr>
        <w:jc w:val="both"/>
        <w:ind w:firstLine="1304"/>
        <w:spacing w:after="0" w:line="225" w:lineRule="auto"/>
        <w:tabs>
          <w:tab w:leader="none" w:pos="1939"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any subsequently acquired or organized Domestic Subsidiary that is a Material Subsidiary (other than a Domestic Subsidiary that is (i) a Subsidiary of a U.S. Owned Subsidiary or (ii) a FSHCO) or any Domestic Subsidiary that was not a Material Subsidiary that subsequently becomes a Material Subsidiary (other than a Domestic Subsidiary that is (i) a Subsidiary of a U.S. Owned Subsidiary or (ii) a FSHCO), to execute a supplement making it a party to the U.S. Guarantee Agreement and each applicable U.S. Security Document in favor of the Collateral Agent, in each case within thirty (30) days (or such longer period as may be agreed to by the Administrative Agent) after such acquisition, organization or change in status.</w:t>
      </w:r>
    </w:p>
    <w:p>
      <w:pPr>
        <w:spacing w:after="0" w:line="153" w:lineRule="exact"/>
        <w:rPr>
          <w:rFonts w:ascii="Times New Roman" w:cs="Times New Roman" w:eastAsia="Times New Roman" w:hAnsi="Times New Roman"/>
          <w:sz w:val="21"/>
          <w:szCs w:val="21"/>
          <w:color w:val="auto"/>
        </w:rPr>
      </w:pPr>
    </w:p>
    <w:p>
      <w:pPr>
        <w:jc w:val="both"/>
        <w:ind w:firstLine="1304"/>
        <w:spacing w:after="0" w:line="231" w:lineRule="auto"/>
        <w:tabs>
          <w:tab w:leader="none" w:pos="1941"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any subsequently acquired or organized Canadian Subsidiary that is a Material Subsidiary or any Canadian Subsidiary that was not a Material Subsidiary that subsequently becomes a Material Subsidiary to execute a supplement to the Canadian Guarantee Agreement and each applicable Canadian Security Document, in each case within thirty (30) days (or such longer period as may be agreed to by the Administrative Agent) after such acquisition, organization or change in status.</w:t>
      </w:r>
    </w:p>
    <w:p>
      <w:pPr>
        <w:spacing w:after="0" w:line="150" w:lineRule="exact"/>
        <w:rPr>
          <w:rFonts w:ascii="Times New Roman" w:cs="Times New Roman" w:eastAsia="Times New Roman" w:hAnsi="Times New Roman"/>
          <w:sz w:val="21"/>
          <w:szCs w:val="21"/>
          <w:color w:val="auto"/>
        </w:rPr>
      </w:pPr>
    </w:p>
    <w:p>
      <w:pPr>
        <w:jc w:val="both"/>
        <w:ind w:firstLine="1304"/>
        <w:spacing w:after="0" w:line="231" w:lineRule="auto"/>
        <w:tabs>
          <w:tab w:leader="none" w:pos="1939"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any subsequently acquired or organized Australian Subsidiary that is a Material Subsidiary or any Australian Subsidiary that was not a Material Subsidiary that subsequently becomes a Material Subsidiary to execute a supplement to the Australian Guarantee Agreement and a new Australian Security Document, in each case within thirty (30) days (or such longer period as may be agreed to by the Administrative Agent) after such acquisition, organization or change in status.</w:t>
      </w:r>
    </w:p>
    <w:p>
      <w:pPr>
        <w:spacing w:after="0" w:line="150" w:lineRule="exact"/>
        <w:rPr>
          <w:rFonts w:ascii="Times New Roman" w:cs="Times New Roman" w:eastAsia="Times New Roman" w:hAnsi="Times New Roman"/>
          <w:sz w:val="21"/>
          <w:szCs w:val="21"/>
          <w:color w:val="auto"/>
        </w:rPr>
      </w:pPr>
    </w:p>
    <w:p>
      <w:pPr>
        <w:jc w:val="both"/>
        <w:ind w:firstLine="1304"/>
        <w:spacing w:after="0" w:line="208"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promptly secure the Obligations by pledging or creating, or causing to be pledged or created, perfected security interests with respect to such of their respective personal property located within the United States, Canada or Australia as the Administrative Agent shall designate (it being understood that it is the intent of the parties that, the U.S. Borrowers and each Domestic Subsidiary (other than any Domestic Subsidiary that is a subsidiary of a U.S. Owned Subsidiary) shall pledge substantially all of its material personal property located in the United States (provided that 100% of the Equity Interests of Material Subsidiaries that are Domestic Subsidiaries (other than a Domestic Subsidiary that is (i) a subsidiary of a U.S. Owned Subsidiary or (ii) a FSHCO) and 65% (and no more than 65%) of the total outstanding voting Equity Interests and 100% of the total outstanding nonvoting Equity Interests (if any) of each Material Subsidiary that is (A) a Foreign Subsidiary whose Equity Interests are directly owned by the U.S. Borrowers or any Domestic Subsidiary (other than any Domestic Subsidiary that is a subsidiary of a U.S. Owned Subsidiary) or (B) a FSHCO shall be pledged in support of the Obligations)). Such security interests and Liens will be created under the Security Documents and other security agreements, instruments and documents in form and substance reasonably satisfactory to the Collateral Agents, and the Borrowers shall deliver or cause to be delivered to the Lenders all such instruments and documents (including legal opinions and lien searches) as the Collateral Agents shall reasonably request to evidence compliance with this Section. The Borrowers agree to provide such evidence as the Collateral Agents shall reasonably request as to the perfection and priority status of each such security interest and Lien. Notwithstanding the foregoing, the parties agree that (i) recordings in the United States Patent and Trademark Office, the United States Copyright Office, the Canadian Intellectual Property Office and the PPS Register will not be required with respect to registered trademarks, trademark applications and copyrights of any Loan Party and (ii) the collateral for the Facilities shall exclude any property or assets the granting of a Lien on which would result in material adverse tax consequences to the Parent Borrower or any Subsidiary.</w:t>
      </w:r>
    </w:p>
    <w:p>
      <w:pPr>
        <w:spacing w:after="0" w:line="151"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Closing Date, without duplication, the Parent Borrower acquires or forms a Subsidiary or any Subsidiary that was not a Material Subsidiary subsequently</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29" w:name="page130"/>
    <w:bookmarkEnd w:id="129"/>
    <w:p>
      <w:pPr>
        <w:jc w:val="both"/>
        <w:spacing w:after="0" w:line="215" w:lineRule="auto"/>
        <w:rPr>
          <w:sz w:val="20"/>
          <w:szCs w:val="20"/>
          <w:color w:val="auto"/>
        </w:rPr>
      </w:pPr>
      <w:r>
        <w:rPr>
          <w:rFonts w:ascii="Times New Roman" w:cs="Times New Roman" w:eastAsia="Times New Roman" w:hAnsi="Times New Roman"/>
          <w:sz w:val="22"/>
          <w:szCs w:val="22"/>
          <w:color w:val="auto"/>
        </w:rPr>
        <w:t>becomes a Material Subsidiary, such Subsidiary shall provide a guarantee and security with respect to the Obligations of all the Borrowers in form and substance reasonably satisfactory to the Collateral Agents, in each case within thirty (30) days (or such longer period as may be agreed to by the Administrative Agent) after such acquisition or 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the limitations laid out in connection with the guarantee and security with respect to the Obligations of the U.S. Borrowers in the foregoing paragraphs shall apply mutatis mutandis with respect to any relevant Subsidiary acquired or formed by the Parent Borrower after the Closing Date that is not specifically addressed in such foregoing paragraphs).</w:t>
      </w:r>
    </w:p>
    <w:p>
      <w:pPr>
        <w:spacing w:after="0" w:line="152" w:lineRule="exact"/>
        <w:rPr>
          <w:sz w:val="20"/>
          <w:szCs w:val="20"/>
          <w:color w:val="auto"/>
        </w:rPr>
      </w:pPr>
    </w:p>
    <w:p>
      <w:pPr>
        <w:jc w:val="both"/>
        <w:ind w:firstLine="1304"/>
        <w:spacing w:after="0" w:line="211" w:lineRule="auto"/>
        <w:tabs>
          <w:tab w:leader="none" w:pos="19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Closing Date, any of the Australian Borrower, the Canadian Subsidiary Guarantors, the Australian Subsidiary Guarantors or any other U.S. Owned Subsidiary, as applicable, ceases to be a “controlled foreign corporation” within the meaning of Section 957 of the Code which is owned by (i) a U.S. Borrower or (ii) a Subsidiary of the Parent Borrower that is a U.S. Person, or a Domestic Subsidiary that was previously a FSHCO ceases to be a FSHCO owned by a U.S. Owned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the case of a Domestic Subsidiary that was both a FSHCO and owned by a U.S. Owned Subsidiary, such Domestic Subsidiary both ceases to be a FSHCO and ceases to be owned by a U.S. Owned Subsidiary), such person shall provide a guarantee and security with respect to the Obligations in form and substance reasonably satisfactory to the Collateral Agents, in each case within thirty (30) days (or such longer period as may be agreed to by the Administrative Agent) after such cessation.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this Section 5.09 shall not apply to limit or diminish any guarantee or security provided as of the Closing Date by a Subsidiary with respect to the Obligations (including as a result of a change in the ownership of such Subsidiary pursuant to a reorganization subsequent to the Closing Date or otherwise) without the consent of the Administrative Agent (not to be unreasonably withheld or delayed).</w:t>
      </w:r>
    </w:p>
    <w:p>
      <w:pPr>
        <w:spacing w:after="0" w:line="16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Each of the Borrowers covenants and agrees with each Lender that, so long as this Agreement shall remain in effect and until the Commitments have been terminated and the principal of and interest on each Loan, all Fees and all other expenses or amounts payable under any Loan Document have been paid in full and all Letters of Credit have been canceled or have expired and all amounts drawn thereunder have been reimbursed in full, unless the Required Lenders shall otherwise consent in writing, no Borrower will, nor will it cause or permit any of its Subsidiaries to:</w:t>
      </w:r>
    </w:p>
    <w:p>
      <w:pPr>
        <w:spacing w:after="0" w:line="13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6.01</w:t>
      </w:r>
      <w:r>
        <w:rPr>
          <w:sz w:val="20"/>
          <w:szCs w:val="20"/>
          <w:color w:val="auto"/>
        </w:rPr>
        <w:tab/>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On or after the Closing Date, incur, create, assume or permit to exist any Indebtedness,</w:t>
      </w:r>
    </w:p>
    <w:p>
      <w:pPr>
        <w:spacing w:after="0" w:line="204" w:lineRule="auto"/>
        <w:rPr>
          <w:sz w:val="20"/>
          <w:szCs w:val="20"/>
          <w:color w:val="auto"/>
        </w:rPr>
      </w:pPr>
      <w:r>
        <w:rPr>
          <w:rFonts w:ascii="Times New Roman" w:cs="Times New Roman" w:eastAsia="Times New Roman" w:hAnsi="Times New Roman"/>
          <w:sz w:val="22"/>
          <w:szCs w:val="22"/>
          <w:color w:val="auto"/>
        </w:rPr>
        <w:t>except:</w:t>
      </w:r>
    </w:p>
    <w:p>
      <w:pPr>
        <w:spacing w:after="0" w:line="1" w:lineRule="exact"/>
        <w:rPr>
          <w:sz w:val="20"/>
          <w:szCs w:val="20"/>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set forth in </w:t>
      </w:r>
      <w:r>
        <w:rPr>
          <w:rFonts w:ascii="Times New Roman" w:cs="Times New Roman" w:eastAsia="Times New Roman" w:hAnsi="Times New Roman"/>
          <w:sz w:val="22"/>
          <w:szCs w:val="22"/>
          <w:u w:val="single" w:color="auto"/>
          <w:color w:val="auto"/>
        </w:rPr>
        <w:t>Schedule 6.01</w:t>
      </w:r>
      <w:r>
        <w:rPr>
          <w:rFonts w:ascii="Times New Roman" w:cs="Times New Roman" w:eastAsia="Times New Roman" w:hAnsi="Times New Roman"/>
          <w:sz w:val="22"/>
          <w:szCs w:val="22"/>
          <w:color w:val="auto"/>
        </w:rPr>
        <w:t>, and any Permitted Refinancing Indebtedness thereof;</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including the Indebtedness created hereunder and under the other Loan Documents;</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Indebtedness of the Borrowers and the Subsidiaries to the extent permitted by Sections 6.04(a), (f), (g), (k) and (l);</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30" w:name="page131"/>
    <w:bookmarkEnd w:id="130"/>
    <w:p>
      <w:pPr>
        <w:jc w:val="both"/>
        <w:ind w:firstLine="1304"/>
        <w:spacing w:after="0" w:line="225"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bid bonds, labor and materials payment bonds, performance bonds and similar bonds or standby letters of credit or bank guarantees or with respect to workers’ compensation claims, in each case incurred in the ordinary course of business;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issued pursuant to a Qualified Offering and any Permitted Refinancing Indebtedness thereof;</w:t>
      </w:r>
    </w:p>
    <w:p>
      <w:pPr>
        <w:spacing w:after="0" w:line="177"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Australian Borrower and guaranties thereunder by any Subsidiary created under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Bilateral Agreement;</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secured Indebtedness of a Borrower or any Subsidiary and guarantees thereof by any Subsidiary not otherwise permitted under this Section 6.01;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Liens securing such Indebtedness are permitted under Section 6.02(j) and (ii) the aggregate principal amount of such Indebtedness does not exceed $20,000,000 at any time outstanding;</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 Borrower or any Subsidiary and guaranties thereunder by any Subsidiary in an aggregate principal amount not to exceed $25,000,000 at any time outstanding;</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connection with banking services and Hedging Agreements, in each case, permitted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 and</w:t>
      </w:r>
    </w:p>
    <w:p>
      <w:pPr>
        <w:spacing w:after="0" w:line="155"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Convertible Indebtedness in an aggregate principal amount of up to U.S.$150,000,000 and the Guarantee thereof by any Subsidiary issued in a single transaction (or in connection with a single offering) and any Permitted Refinancing Indebtedness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as a condition to incurring such Permitted Convertible Indebtedness, no Default or Event of Default shall have occurred and be continuing at the time of and immediately after giving pro forma effect to the incurrence of such Permitted Convertible Indebtedness, (ii) as of the date of incurrence, such Permitted Convertible Indebtedness shall have a stated maturity date no sooner than 91 days after the Maturity Date, (iii) such Permitted Convertible Indebtedness is sold for cash for a price to investors of no less than 98% of par, and (iv) the terms, conditions and covenants of such Permitted Convertible Indebtedness shall be such as are reasonable and customary for transactions of such type (as determined by the Parent Borrower in good faith and in its reasonable discretion).</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6.02 </w:t>
      </w:r>
      <w:r>
        <w:rPr>
          <w:rFonts w:ascii="Times New Roman" w:cs="Times New Roman" w:eastAsia="Times New Roman" w:hAnsi="Times New Roman"/>
          <w:sz w:val="22"/>
          <w:szCs w:val="22"/>
          <w:b w:val="1"/>
          <w:bCs w:val="1"/>
          <w:i w:val="1"/>
          <w:iCs w:val="1"/>
          <w:color w:val="auto"/>
        </w:rPr>
        <w:t>Liens</w:t>
      </w:r>
      <w:r>
        <w:rPr>
          <w:rFonts w:ascii="Times New Roman" w:cs="Times New Roman" w:eastAsia="Times New Roman" w:hAnsi="Times New Roman"/>
          <w:sz w:val="22"/>
          <w:szCs w:val="22"/>
          <w:color w:val="auto"/>
        </w:rPr>
        <w:t>. On or after the Initial Closing Date, create, incur, assume or permit to exist any Lien 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or assets (including stock or other securities of any person, including any Subsidiary) now owned or hereafter acquired by it or on any income or revenues or rights in respect of any thereof, except:</w:t>
      </w:r>
    </w:p>
    <w:p>
      <w:pPr>
        <w:spacing w:after="0" w:line="1" w:lineRule="exact"/>
        <w:rPr>
          <w:sz w:val="20"/>
          <w:szCs w:val="20"/>
          <w:color w:val="auto"/>
        </w:rPr>
      </w:pPr>
    </w:p>
    <w:p>
      <w:pPr>
        <w:jc w:val="both"/>
        <w:ind w:firstLine="1304"/>
        <w:spacing w:after="0" w:line="218"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and set forth in </w:t>
      </w:r>
      <w:r>
        <w:rPr>
          <w:rFonts w:ascii="Times New Roman" w:cs="Times New Roman" w:eastAsia="Times New Roman" w:hAnsi="Times New Roman"/>
          <w:sz w:val="22"/>
          <w:szCs w:val="22"/>
          <w:u w:val="single" w:color="auto"/>
          <w:color w:val="auto"/>
        </w:rPr>
        <w:t>Schedule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shall secure only those obligations which they secure on the date hereof and extensions, renewals and replacements thereof permitted hereunder;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created under the Loan Documents;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which are being contested in compliance with Section 5.03;</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or other like Liens arising in the ordinary course of business and securing obligations that are not due and payable or which are being contested in compliance with Section 5.03;</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119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31" w:name="page132"/>
    <w:bookmarkEnd w:id="131"/>
    <w:p>
      <w:pPr>
        <w:ind w:firstLine="1304"/>
        <w:spacing w:after="0" w:line="236"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(other than any Lien imposed by ERISA), pledges and deposits made in the ordinary course of business in compliance with workmen’s compensation, unemployment insurance and other social security laws or regulations;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(other than for Indebtedness), leases (including Capital Lease Obligations), statutory obligations, surety and appeal bonds, performance bonds and other obligations of a like nature incurred in the ordinary course of business;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zoning restrictions, easements, rights-of-way,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Borrowers or any of the Subsidiaries;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out of judgments or awards in respect of which a Borrower or any of the Subsidiaries shall in good faith be prosecuting an appeal or proceedings for review in respect of which there shall be secured a subsisting stay of execution pending such appeal or proceedings;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 of all such judgments or awards does not exceed U.S.$25,000,000 at any time outstanding;</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Section 6.01(e) and any Permitted Refinancing Indebtedness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are subject to a Customary Junior Lien Intercreditor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32"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 money security interests in real property, improvements thereto or personal property owned or acquired (or, in the case of improvements, constructed) by the Borrowers or any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such security interests in any of the foregoing types of property acquired after the Closing Date, (i) such security interests secure Indebtedness permitted by Section 6.01, (ii) such security interests are incurred, and the Indebtedness secured thereby is created, within 90 days after such acquisition (or construction), (iii) the Indebtedness secured thereby does not exceed 90% of the lesser of the cost or the fair market value of such real property, improvements or personal property at the time of such acquisition (or construction) and (iv) such security interests do not apply to any other property or assets of the Borrowers or any Subsidiary;</w:t>
      </w:r>
    </w:p>
    <w:p>
      <w:pPr>
        <w:spacing w:after="0" w:line="150"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Equity Interests in a Special Purpose Business Entity incurred for the purpose of providing independent financing for such Special Purpose Business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such Liens are non-recourse as to the Parent Borrower or any of its Subsidiaries holding any Equity Interests in such Special Purpose Business Entity;</w:t>
      </w:r>
    </w:p>
    <w:p>
      <w:pPr>
        <w:spacing w:after="0" w:line="148"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and not otherwise permitted under this Section 6.02;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principal amount of all Indebtedness secured by such Liens does not exceed $20,000,000 at any time outstanding;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no Lien on any Collateral of any Borrower or any of their Subsidiaries shall be permitted by this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6.02(l);</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Borrower or any Australian Subsidiary, Liens arising in connection with a deemed security interest under Section 12(3) of the PPSA (Australia) which do not secure payment or performance of any obligation;</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Borrower or any Australian Subsidiary, Liens arising solely by operation of the PPS Law in the proceeds of an asset which is the subject</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32" w:name="page133"/>
    <w:bookmarkEnd w:id="132"/>
    <w:p>
      <w:pPr>
        <w:jc w:val="both"/>
        <w:spacing w:after="0" w:line="225" w:lineRule="auto"/>
        <w:rPr>
          <w:sz w:val="20"/>
          <w:szCs w:val="20"/>
          <w:color w:val="auto"/>
        </w:rPr>
      </w:pPr>
      <w:r>
        <w:rPr>
          <w:rFonts w:ascii="Times New Roman" w:cs="Times New Roman" w:eastAsia="Times New Roman" w:hAnsi="Times New Roman"/>
          <w:sz w:val="22"/>
          <w:szCs w:val="22"/>
          <w:color w:val="auto"/>
        </w:rPr>
        <w:t>of a Lien (including under any retention of title arrangement in the ordinary course of business) or any commingled product or mass of which that asset becomes part, where the obligation secured by that Lien is limited to the unpaid balance of the purchase money for the original asset and that unpaid balance is not yet due;</w:t>
      </w:r>
    </w:p>
    <w:p>
      <w:pPr>
        <w:spacing w:after="0" w:line="153" w:lineRule="exact"/>
        <w:rPr>
          <w:sz w:val="20"/>
          <w:szCs w:val="20"/>
          <w:color w:val="auto"/>
        </w:rPr>
      </w:pPr>
    </w:p>
    <w:p>
      <w:pPr>
        <w:jc w:val="both"/>
        <w:ind w:firstLine="1304"/>
        <w:spacing w:after="0" w:line="220"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Borrower or any Australian Subsidiary, any Lien over goods and products, or documents of title to goods and products (including under any retention of title arrangement) each arising in the ordinary course of business where the Lien secures only the acquisition cost, leasing cost or selling price (and other amounts incidental to those amounts) of such goods and products;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Borrower or any Australian Subsidiary, any netting or set-off arrangement entered into by any such entity in the ordinary course of its banking arrangements for the purposes of netting debit and credit balances;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Australian Borrower or any Australian Subsidiary, any payment or close out netting or set-off arrangement pursuant to any derivative or foreign exchange transaction entered into by any such entity, but excluding any Liens under a credit support arrangement.</w:t>
      </w:r>
    </w:p>
    <w:p>
      <w:pPr>
        <w:spacing w:after="0" w:line="14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6.03 </w:t>
      </w:r>
      <w:r>
        <w:rPr>
          <w:rFonts w:ascii="Times New Roman" w:cs="Times New Roman" w:eastAsia="Times New Roman" w:hAnsi="Times New Roman"/>
          <w:sz w:val="22"/>
          <w:szCs w:val="22"/>
          <w:b w:val="1"/>
          <w:bCs w:val="1"/>
          <w:i w:val="1"/>
          <w:iCs w:val="1"/>
          <w:color w:val="auto"/>
        </w:rPr>
        <w:t>Sale and Lease-Back Transactions</w:t>
      </w:r>
      <w:r>
        <w:rPr>
          <w:rFonts w:ascii="Times New Roman" w:cs="Times New Roman" w:eastAsia="Times New Roman" w:hAnsi="Times New Roman"/>
          <w:sz w:val="22"/>
          <w:szCs w:val="22"/>
          <w:color w:val="auto"/>
        </w:rPr>
        <w:t>. Enter into any arrangement, directly or indirectly, with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whereby it shall sell or 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unless the Indebtedness or Liens arising therefrom, if any, are permitted by Sections 6.01 and 6.02, respectively.</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6.04 </w:t>
      </w:r>
      <w:r>
        <w:rPr>
          <w:rFonts w:ascii="Times New Roman" w:cs="Times New Roman" w:eastAsia="Times New Roman" w:hAnsi="Times New Roman"/>
          <w:sz w:val="22"/>
          <w:szCs w:val="22"/>
          <w:b w:val="1"/>
          <w:bCs w:val="1"/>
          <w:i w:val="1"/>
          <w:iCs w:val="1"/>
          <w:color w:val="auto"/>
        </w:rPr>
        <w:t>Investments, Loans and Advances</w:t>
      </w:r>
      <w:r>
        <w:rPr>
          <w:rFonts w:ascii="Times New Roman" w:cs="Times New Roman" w:eastAsia="Times New Roman" w:hAnsi="Times New Roman"/>
          <w:sz w:val="22"/>
          <w:szCs w:val="22"/>
          <w:color w:val="auto"/>
        </w:rPr>
        <w:t>. Purchase, hold or acquire any Equity Interests, evidences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indebtedness or other securities of, make or permit to exist any loans or advances to, or make or permit to exist any investment or any other interest in, any other person (referred to herein as an “</w:t>
      </w:r>
      <w:r>
        <w:rPr>
          <w:rFonts w:ascii="Times New Roman" w:cs="Times New Roman" w:eastAsia="Times New Roman" w:hAnsi="Times New Roman"/>
          <w:sz w:val="22"/>
          <w:szCs w:val="22"/>
          <w:i w:val="1"/>
          <w:iCs w:val="1"/>
          <w:color w:val="auto"/>
        </w:rPr>
        <w:t>Investment</w:t>
      </w:r>
      <w:r>
        <w:rPr>
          <w:rFonts w:ascii="Times New Roman" w:cs="Times New Roman" w:eastAsia="Times New Roman" w:hAnsi="Times New Roman"/>
          <w:sz w:val="22"/>
          <w:szCs w:val="22"/>
          <w:color w:val="auto"/>
        </w:rPr>
        <w:t>”), except:</w:t>
      </w:r>
    </w:p>
    <w:p>
      <w:pPr>
        <w:spacing w:after="0" w:line="3" w:lineRule="exact"/>
        <w:rPr>
          <w:sz w:val="20"/>
          <w:szCs w:val="20"/>
          <w:color w:val="auto"/>
        </w:rPr>
      </w:pPr>
    </w:p>
    <w:p>
      <w:pPr>
        <w:ind w:left="1940" w:hanging="636"/>
        <w:spacing w:after="0"/>
        <w:tabs>
          <w:tab w:leader="none" w:pos="19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set forth on </w:t>
      </w:r>
      <w:r>
        <w:rPr>
          <w:rFonts w:ascii="Times New Roman" w:cs="Times New Roman" w:eastAsia="Times New Roman" w:hAnsi="Times New Roman"/>
          <w:sz w:val="22"/>
          <w:szCs w:val="22"/>
          <w:u w:val="single" w:color="auto"/>
          <w:color w:val="auto"/>
        </w:rPr>
        <w:t>Schedule 6.04</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receivable owing to the Borrowers or any of the Subsidiaries arising from sales of inventory or the provision of services in the ordinary course of business;</w:t>
      </w:r>
    </w:p>
    <w:p>
      <w:pPr>
        <w:spacing w:after="0" w:line="150"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to directors, officers and employees of the Borrowers or any of the Subsidiaries to meet expenses incurred by such directors, officers and employees in the ordinary course of business, in an aggregate amount not to exceed U.S.$5,000,000 at any time outstanding;</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securities of any customer of a Borrower or any Subsidiary received in lieu of cash payment, if such Borrower reasonably deems such customer to be in a reorganization or unable to make a timely cash payment on Indebtedness of such customer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Borrower or such Subsidiary, as the case may be, has paid no new consideration (other than forgiveness of Indebtedness) therefor;</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 Loan Party in or to another Loan Party;</w:t>
      </w:r>
    </w:p>
    <w:p>
      <w:pPr>
        <w:spacing w:after="0" w:line="175"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of a Loan Party or Subsidiary in or to a Special Purpose Business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transaction:</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33" w:name="page134"/>
    <w:bookmarkEnd w:id="133"/>
    <w:p>
      <w:pPr>
        <w:ind w:left="2580" w:hanging="628"/>
        <w:spacing w:after="0"/>
        <w:tabs>
          <w:tab w:leader="none" w:pos="25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after giving effect thereto, no Event of Default or Default shall have occurred and</w:t>
      </w:r>
    </w:p>
    <w:p>
      <w:pPr>
        <w:ind w:left="660"/>
        <w:spacing w:after="0"/>
        <w:rPr>
          <w:sz w:val="20"/>
          <w:szCs w:val="20"/>
          <w:color w:val="auto"/>
        </w:rPr>
      </w:pPr>
      <w:r>
        <w:rPr>
          <w:rFonts w:ascii="Times New Roman" w:cs="Times New Roman" w:eastAsia="Times New Roman" w:hAnsi="Times New Roman"/>
          <w:sz w:val="22"/>
          <w:szCs w:val="22"/>
          <w:color w:val="auto"/>
        </w:rPr>
        <w:t>be continuing;</w:t>
      </w:r>
    </w:p>
    <w:p>
      <w:pPr>
        <w:spacing w:after="0" w:line="151" w:lineRule="exact"/>
        <w:rPr>
          <w:sz w:val="20"/>
          <w:szCs w:val="20"/>
          <w:color w:val="auto"/>
        </w:rPr>
      </w:pPr>
    </w:p>
    <w:p>
      <w:pPr>
        <w:jc w:val="both"/>
        <w:ind w:left="660" w:firstLine="1292"/>
        <w:spacing w:after="0" w:line="214" w:lineRule="auto"/>
        <w:tabs>
          <w:tab w:leader="none" w:pos="2598"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Borrower would be in compliance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with the Financial Covenants as of the most recently completed period of four consecutive fiscal quarters ending prior to such transaction for which the financial statements required by Section 5.04(a) or Section 5.04(b) have been delivered or for which comparable financial statements have been filed with the SEC,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(using the criteria therefor described in Section 6.04(i)) to such transaction and to any other event occurring during or after such period as to which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recalculation is appropriate (including any Asset Sale and any other transaction described in Section 6.04(i) or Section 6.04(m) occurring during or after such period) as if such transaction had occurred as of the first day of such period;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acquisition, there must be at least U.S.$20,000,000 of the Revolving Commitments unused and available;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may enter into Hedging Agreements to the extent permitted by Section 6.12;</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Borrower and its Subsidiaries may acquire all or substantially all the assets of a person or line of business of such person, or Equity Interests of a person that would become a wholly owned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transaction:</w:t>
      </w:r>
    </w:p>
    <w:p>
      <w:pPr>
        <w:spacing w:after="0" w:line="13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after giving effect thereto, no Event of Default or Default shall have occurred and</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continuing;</w:t>
      </w:r>
    </w:p>
    <w:p>
      <w:pPr>
        <w:spacing w:after="0" w:line="155"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8"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Borrower would be in compliance on a pro forma basis with the Financial Covenants as of the most recently completed period of four consecutive fiscal quarters ending prior to such transaction for which the financial statements required by Section 5.04(a) or Section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this Section 6.04(i) or Section 6.04(m) occurring during or after such period) as if such transaction had occurred as of the first day of such period; and</w:t>
      </w:r>
    </w:p>
    <w:p>
      <w:pPr>
        <w:spacing w:after="0" w:line="156"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acquisition, there must be at least U.S.$20,000,000 of the Revolving Commitments unused and available;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 </w:t>
      </w:r>
      <w:r>
        <w:rPr>
          <w:rFonts w:ascii="Times New Roman" w:cs="Times New Roman" w:eastAsia="Times New Roman" w:hAnsi="Times New Roman"/>
          <w:sz w:val="22"/>
          <w:szCs w:val="22"/>
          <w:color w:val="auto"/>
        </w:rPr>
        <w:t>that all pro forma calculations required to be made pursuant to this Section 6.04(i) shall (A) other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adjustments pursuant to 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w:t>
      </w:r>
    </w:p>
    <w:p>
      <w:pPr>
        <w:spacing w:after="0" w:line="145" w:lineRule="exact"/>
        <w:rPr>
          <w:sz w:val="20"/>
          <w:szCs w:val="20"/>
          <w:color w:val="auto"/>
        </w:rPr>
      </w:pPr>
    </w:p>
    <w:p>
      <w:pPr>
        <w:ind w:left="1940" w:hanging="636"/>
        <w:spacing w:after="0"/>
        <w:tabs>
          <w:tab w:leader="none" w:pos="19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non-cash proceeds of dispositions;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82" w:right="339" w:bottom="1440" w:gutter="0" w:footer="0" w:header="0"/>
        </w:sectPr>
      </w:pPr>
    </w:p>
    <w:bookmarkStart w:id="134" w:name="page135"/>
    <w:bookmarkEnd w:id="134"/>
    <w:p>
      <w:pPr>
        <w:jc w:val="both"/>
        <w:ind w:firstLine="1304"/>
        <w:spacing w:after="0" w:line="225" w:lineRule="auto"/>
        <w:tabs>
          <w:tab w:leader="none" w:pos="1939"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Parent Borrower or an existing Subsidiary in or to the Parent Borrower or an existing Subsidiary (but excluding, for the avoidance of doubt, Investments in any Person that will become a Subsidiary upon the making of such Investment);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without duplication, in an aggregate amount (valued at cost or outstanding principal amount, as the case may be) not greater than 7.5% of the Parent Borrower’s Consolidated Net Worth calculated on the date of such Investment as of the most recent fiscal quarter for which financial statements are available;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Borrower and its Subsidiaries may acquire Equity Interests of a person that would become a non-wholly owned Subsidiary (in each case referred to herein as the “</w:t>
      </w:r>
      <w:r>
        <w:rPr>
          <w:rFonts w:ascii="Times New Roman" w:cs="Times New Roman" w:eastAsia="Times New Roman" w:hAnsi="Times New Roman"/>
          <w:sz w:val="22"/>
          <w:szCs w:val="22"/>
          <w:i w:val="1"/>
          <w:iCs w:val="1"/>
          <w:color w:val="auto"/>
        </w:rPr>
        <w:t>Non-Wholly Owned Entity</w:t>
      </w:r>
      <w:r>
        <w:rPr>
          <w:rFonts w:ascii="Times New Roman" w:cs="Times New Roman" w:eastAsia="Times New Roman" w:hAnsi="Times New Roman"/>
          <w:sz w:val="22"/>
          <w:szCs w:val="22"/>
          <w:color w:val="auto"/>
        </w:rPr>
        <w:t>”); provided that:</w:t>
      </w:r>
    </w:p>
    <w:p>
      <w:pPr>
        <w:spacing w:after="0" w:line="13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after giving effect thereto, no Event of Default or Default shall have occurred and</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continuing;</w:t>
      </w:r>
    </w:p>
    <w:p>
      <w:pPr>
        <w:spacing w:after="0" w:line="14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Borrower would (A) be in compliance with the covenants set forth in Section 6.10 and</w:t>
      </w:r>
    </w:p>
    <w:p>
      <w:pPr>
        <w:jc w:val="both"/>
        <w:ind w:left="660" w:hanging="4"/>
        <w:spacing w:after="0" w:line="209" w:lineRule="auto"/>
        <w:tabs>
          <w:tab w:leader="none" w:pos="101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acquisition, have a Total Net Leverage Ratio less than or equal to the Total Net Leverage Ratio immediately prior to such acquisition, in each case as of the most recently completed period of four consecutive fiscal quarters ending prior to such transaction for which the financial statements required by Section 5.04(a) or Section 5.04(b) have been delivered or for which comparable financial statements have been filed with the SEC, after giving pro forma effect to such transaction and to any other event occurring during or after such period as to which pro forma recalculation is appropriate (including any Asset Sale and any other transaction described in Section 6.04(i) or this Section 6.04(m) occurring during or after such period) as if such transaction had occurred as of the first day of such period;</w:t>
      </w:r>
    </w:p>
    <w:p>
      <w:pPr>
        <w:spacing w:after="0" w:line="157"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acquisition, there must be at least U.S.$20,000,000 of the Revolving Commitments unused and available;</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acquisition, the Parent Borrower shall continue to own, directly or indirectly, beneficially and of record, a majority of the issued and outstanding Equity Interests of such Non-Wholly Owned Entity unless otherwise disposed of in accordance with Section 6.05;</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such acquisition, the Non-Wholly Owned Entity and any Borrower and/or Subsidiary that holds any Equity Interests in such Non-Wholly Owned Entity shall have each complied with the requirements of Section 5.09 regardless of whether such Non-Wholly Owned Entity is a Material Subsidiary;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consideration for all such acquisitions made pursuant to this Section 6.04(m) after the Closing Date shall not exceed 10% of the Parent Borrower’s Consolidated Net Worth calculated on the date of such acquisition as of the most recent fiscal quarter for which financial statements are available;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 </w:t>
      </w:r>
      <w:r>
        <w:rPr>
          <w:rFonts w:ascii="Times New Roman" w:cs="Times New Roman" w:eastAsia="Times New Roman" w:hAnsi="Times New Roman"/>
          <w:sz w:val="22"/>
          <w:szCs w:val="22"/>
          <w:color w:val="auto"/>
        </w:rPr>
        <w:t>that all pro forma calculations required to be made pursuant to this Section 6.04(m) shall (A)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adjustments pursuant to clause (a)(vi) of the definition of EBITDA, include only those adjustments that would be permitted or required by Regulation S-X under the Securities Act of 1933, as amended and (B) be certified to by a Financial Officer as having been prepared in good faith based upon reasonable assumptions;</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35" w:name="page136"/>
    <w:bookmarkEnd w:id="135"/>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(n)</w:t>
      </w:r>
      <w:r>
        <w:rPr>
          <w:sz w:val="20"/>
          <w:szCs w:val="20"/>
          <w:color w:val="auto"/>
        </w:rPr>
        <w:tab/>
      </w:r>
      <w:r>
        <w:rPr>
          <w:rFonts w:ascii="Times New Roman" w:cs="Times New Roman" w:eastAsia="Times New Roman" w:hAnsi="Times New Roman"/>
          <w:sz w:val="22"/>
          <w:szCs w:val="22"/>
          <w:color w:val="auto"/>
        </w:rPr>
        <w:t>Investments in connection with banking services and Hedging Agreements, in each case, permitted</w:t>
      </w:r>
    </w:p>
    <w:p>
      <w:pPr>
        <w:spacing w:after="0"/>
        <w:rPr>
          <w:sz w:val="20"/>
          <w:szCs w:val="20"/>
          <w:color w:val="auto"/>
        </w:rPr>
      </w:pPr>
      <w:r>
        <w:rPr>
          <w:rFonts w:ascii="Times New Roman" w:cs="Times New Roman" w:eastAsia="Times New Roman" w:hAnsi="Times New Roman"/>
          <w:sz w:val="22"/>
          <w:szCs w:val="22"/>
          <w:color w:val="auto"/>
        </w:rPr>
        <w:t>hereunder; and</w:t>
      </w:r>
    </w:p>
    <w:p>
      <w:pPr>
        <w:spacing w:after="0" w:line="155" w:lineRule="exact"/>
        <w:rPr>
          <w:sz w:val="20"/>
          <w:szCs w:val="20"/>
          <w:color w:val="auto"/>
        </w:rPr>
      </w:pPr>
    </w:p>
    <w:p>
      <w:pPr>
        <w:jc w:val="both"/>
        <w:ind w:firstLine="1304"/>
        <w:spacing w:after="0" w:line="225"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of any person in existence at the time such person becomes a Subsidiary (other than in Subsidiaries of any such person); provided that such Investment was not made in connection with or in anticipation of such person becoming a Subsidiary.</w:t>
      </w:r>
    </w:p>
    <w:p>
      <w:pPr>
        <w:spacing w:after="0" w:line="13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6.05</w:t>
      </w:r>
      <w:r>
        <w:rPr>
          <w:sz w:val="20"/>
          <w:szCs w:val="20"/>
          <w:color w:val="auto"/>
        </w:rPr>
        <w:tab/>
      </w:r>
      <w:r>
        <w:rPr>
          <w:rFonts w:ascii="Times New Roman" w:cs="Times New Roman" w:eastAsia="Times New Roman" w:hAnsi="Times New Roman"/>
          <w:sz w:val="21"/>
          <w:szCs w:val="21"/>
          <w:b w:val="1"/>
          <w:bCs w:val="1"/>
          <w:i w:val="1"/>
          <w:iCs w:val="1"/>
          <w:color w:val="auto"/>
        </w:rPr>
        <w:t>Mergers, Consolidations, Sales of Assets and Acquisitions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07" w:lineRule="auto"/>
        <w:tabs>
          <w:tab w:leader="none" w:pos="194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Merge, amalgamate or consolidate with or into any other person, or permit any other person to merge, amalgamate or consolidate with or into it, or sell, transfer, lease or otherwise dispose of (in one transaction or in a series of transactions) as part of any Asset Sale all or substantially all of the assets of a Loan Party (whether now owned or hereafter acquired) or less than all or substantially all of the Equity Interests of any Loan Party (in each case, whether now owned or hereafter acquired), or liquidate or dissolve, except that (i) the Parent Borrower may merge, amalgamate or consolidate with any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no Change in Control occurs, (B) immediately after giving effect to any such proposed transaction no Default or Event of Default would exist, and (C) the Parent Borrower is the surviving entity, (ii) the Parent Borrower may merge or amalgamate with any of its wholly owned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immediately after giving effect to any such proposed transaction no Default would exist and the Parent Borrower is the surviving entity, (iii) any Subsidiary may merge into or consolidate with any other wholly owned Subsidiary (or, in order to consummate a Permitted Acquisition, any other person) in a transaction in which the surviving entity is a wholly owned Subsidiary and (except in the case of Permitted Acquisitions) no person other than the Borrowers or a wholly owned Subsidiary receives any consideration,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other than with respect to any merger among the Parent Borrower and one or more wholly owned Subsidiaries and/or among wholly owned Subsidiaries of the Parent Borrower, the requirements of Section 6.04(i) are met with respect to such merger described in this clause (iii) and (B) if any such merger described in this clause (iii) shall involve a Loan Party, the surviving entity of such merger shall be or become a Loan Party, (iv) any Subsidiary of the Parent Borrower may liquidate or dissolve if the Parent Borrower determines in good faith that such liquidation or dissolution is in the best interests of the Parent Borrower and is not materially disadvantageous to the Lenders and (v) the Parent Borrower may conduct any Asset Sale resulting from the disposition, termination or unwind of a Permitted Bond Hedge Transaction.</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Asset Sale not otherwise permitted under paragraph (a) above unless (i) such consideration is at least equal to the fair market value of the assets being sold, transferred, leased or disposed of, and (ii) the fair market value of all assets sold, transferred, leased or disposed of pursuant to this paragraph (b) after the Closing Date shall not exceed 7.5% of Consolidated Net Worth calculated on the date of incurrence as of the most recent fiscal quarter for which financial statements are available in the aggregate.</w:t>
      </w:r>
    </w:p>
    <w:p>
      <w:pPr>
        <w:spacing w:after="0" w:line="1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6.06</w:t>
      </w:r>
      <w:r>
        <w:rPr>
          <w:sz w:val="20"/>
          <w:szCs w:val="20"/>
          <w:color w:val="auto"/>
        </w:rPr>
        <w:tab/>
      </w:r>
      <w:r>
        <w:rPr>
          <w:rFonts w:ascii="Times New Roman" w:cs="Times New Roman" w:eastAsia="Times New Roman" w:hAnsi="Times New Roman"/>
          <w:sz w:val="21"/>
          <w:szCs w:val="21"/>
          <w:b w:val="1"/>
          <w:bCs w:val="1"/>
          <w:i w:val="1"/>
          <w:iCs w:val="1"/>
          <w:color w:val="auto"/>
        </w:rPr>
        <w:t>Restricted Payments; Restrictive Agreements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04" w:lineRule="auto"/>
        <w:tabs>
          <w:tab w:leader="none" w:pos="2008"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Declare or make, or agree to declare or make, directly or indirectly, any Restricted Payment (including pursuant to any Synthetic Purchase Agreement), or incur any obligation (contingent or otherwise) to do so;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any Subsidiary may declare and pay dividends or make other distributions ratably to its equity holders of a given class,</w:t>
      </w:r>
    </w:p>
    <w:p>
      <w:pPr>
        <w:spacing w:after="0" w:line="2" w:lineRule="exact"/>
        <w:rPr>
          <w:rFonts w:ascii="Times New Roman" w:cs="Times New Roman" w:eastAsia="Times New Roman" w:hAnsi="Times New Roman"/>
          <w:sz w:val="22"/>
          <w:szCs w:val="22"/>
          <w:color w:val="auto"/>
        </w:rPr>
      </w:pPr>
    </w:p>
    <w:p>
      <w:pPr>
        <w:jc w:val="both"/>
        <w:ind w:firstLine="8"/>
        <w:spacing w:after="0" w:line="212" w:lineRule="auto"/>
        <w:tabs>
          <w:tab w:leader="none" w:pos="35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or Default shall have occurred and be continuing or would result therefrom, the Parent Borrower may repurchase its Equity Interests owned by employees of the Parent Borrower or the Subsidiaries or make payments to employees of the Parent Borrower or the Subsidiaries upon termination of employment in connection with the exercise of stock options, stock appreciation rights or similar equity incentives or equity based incentives pursuant to management incentive plans or in connection with the death or disability</w:t>
      </w: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82" w:right="339" w:bottom="1440" w:gutter="0" w:footer="0" w:header="0"/>
        </w:sectPr>
      </w:pPr>
    </w:p>
    <w:bookmarkStart w:id="136" w:name="page137"/>
    <w:bookmarkEnd w:id="136"/>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of such employees in an aggregate amount not to exceed U.S.$10,000,000 in any fiscal year, (iii) so long as (A) no Event of Default or Default shall have occurred and be continuing or result therefrom, (B) at least U.S.$20,000,000 of the Canadian Revolving Commitments and the U.S. Revolving Commitments, in the aggregate, is unused and available after giving effect to such Restricted Payment and (C) the Parent Borrower would have a Total Net Leverage Ratio less than 2.75:1.00 as of the most recently completed period of four consecutive fiscal quarters ending prior to such transaction for which the financial statements required by Section 5.04(a) or Section 5.04(b) have been delivered or for which comparable financial statements have been filed with the SEC,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(using the criteria therefor described in Section 6.04(i)) to such transaction and to any other event occurring during or after such period as to which pro forma recalculation is appropriate as if such transaction had occurred as of the first day of such period, the Parent Borrower may make Restricted Payments in any amount, (iv) the Parent Borrower and/or any Subsidiary may make (A) any payments of cash interest on any Permitted Convertible Indebtedness, (B) any payments of cash due upon required repurchase of any Permitted Convertible Indebtedness, (C) any payments of cash due upon conversion or exchange of any Permitted Convertible Indebtedness in an aggregate amount not to exceed the sum of (x) the principal amount of such Permitted Convertible Indebtedness plus (y) any payments received pursuant to the exercise, settlement or termination of any related Permitted Bond Hedge Transaction, (D) any payments of cash due upon redemption of any Permitted Convertible Indebtedness at a redemption price no greater than the principal amount thereof plus accrued and unpaid interest thereon, so long as at least 20% of the aggregate amount of the Total Canadian Revolving Commitments and the Total U.S. Revolving Commitments is unused and available immediately after giving effect to such Restricted Payment, (E) any payments of cash in lieu of any fractional common share of the Parent Borrower due upon conversion or exchange of any Permitted Convertible Indebtedness, (F) any issuance or deliveries of Permitted Convertible Indebtedness in exchange for (in whole or in part) any other Permitted Convertible Indebtedness and (G) any issuance or deliveries of common shares of the Parent Borrower due upon conversion or exchange (in whole or in part) of any Permitted Convertible Indebtedness, in each case, pursuant to the terms of any Permitted Convertible Indebtedness or any Guarantee thereof, (v) the Parent Borrower (or any other applicable Loan Party) may make (A) any payments in connection with a Permitted Bond Hedge Transaction and (B) the settlement of any related Permitted Warrant Transaction (x) by delivery of shares of the Parent Borrower’s common shares upon settlement thereof or (y) by (1) set-off against the related Permitted Bond Hedge Transaction or (2) payment of an early termination amount thereof in common shares upon any early termination thereof and (vi) so long as no Event of Default or Default shall have occurred and be continuing or would result therefrom, the Parent Borrower may (I) make Restricted Payments within 90 days of receipt of proceeds from Permitted Convertible Indebtedness and/or (II) exchange Permitted Convertible Indebtedness for Equity Interests, so long as the amount of such Restricted Payments made pursuant to clause (I) and the fair market value of such Equity Interests exchanged for pursuant to clause (II), in the aggregate for clauses (I) and (II) together, does not exceed 25% of the face value of such Permitted Convertible Indebtedness.</w:t>
      </w:r>
    </w:p>
    <w:p>
      <w:pPr>
        <w:spacing w:after="0" w:line="151" w:lineRule="exact"/>
        <w:rPr>
          <w:sz w:val="20"/>
          <w:szCs w:val="20"/>
          <w:color w:val="auto"/>
        </w:rPr>
      </w:pPr>
    </w:p>
    <w:p>
      <w:pPr>
        <w:jc w:val="both"/>
        <w:ind w:firstLine="1304"/>
        <w:spacing w:after="0" w:line="213" w:lineRule="auto"/>
        <w:tabs>
          <w:tab w:leader="none" w:pos="193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incur or permit to exist any agreement or other arrangement that prohibits, restricts or imposes any condition upon (i) the ability of the Parent Borrower or any Subsidiary to create, incur or permit to exist any Lien upon any of its property or assets in favor of a Collateral Agent or any successor thereto hereunder or under any agreement that replaces or refinances this Agreement, or (ii) the ability of any Subsidiary to pay dividends or other distributions with respect to any of its Equity Interests or to make or repay loans or advances to the Parent Borrower or any other Subsidiary or to Guarantee Indebtedness of the Parent Borrower or any other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foregoing shall not apply to restrictions and conditions imposed by law or by any Loan Document, (B) the foregoing shall not</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37" w:name="page138"/>
    <w:bookmarkEnd w:id="137"/>
    <w:p>
      <w:pPr>
        <w:jc w:val="both"/>
        <w:spacing w:after="0" w:line="216" w:lineRule="auto"/>
        <w:rPr>
          <w:sz w:val="20"/>
          <w:szCs w:val="20"/>
          <w:color w:val="auto"/>
        </w:rPr>
      </w:pPr>
      <w:r>
        <w:rPr>
          <w:rFonts w:ascii="Times New Roman" w:cs="Times New Roman" w:eastAsia="Times New Roman" w:hAnsi="Times New Roman"/>
          <w:sz w:val="22"/>
          <w:szCs w:val="22"/>
          <w:color w:val="auto"/>
        </w:rPr>
        <w:t xml:space="preserve">apply to customary restrictions and conditions contained in agreements relating to the sale of a Subsidiary pending such sale,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such restrictions and conditions apply only to the Subsidiary that is to be sold and such sale is permitted hereunder,</w:t>
      </w:r>
    </w:p>
    <w:p>
      <w:pPr>
        <w:spacing w:after="0" w:line="1" w:lineRule="exact"/>
        <w:rPr>
          <w:sz w:val="20"/>
          <w:szCs w:val="20"/>
          <w:color w:val="auto"/>
        </w:rPr>
      </w:pPr>
    </w:p>
    <w:p>
      <w:pPr>
        <w:jc w:val="both"/>
        <w:ind w:firstLine="8"/>
        <w:spacing w:after="0" w:line="210" w:lineRule="auto"/>
        <w:tabs>
          <w:tab w:leader="none" w:pos="36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shall not apply to restrictions and conditions imposed on any Foreign Subsidiary (other than any Canadian Subsidiary, the Australian Borrower or any Australian Subsidiary) by the terms of any Indebtedness of such Foreign Subsidiary permitted to be incurred hereunder, (D) clause (i) of the foregoing shall not apply to restrictions or conditions imposed by any agreement relating to secured Indebtedness permitted by this Agreement if such restrictions or conditions apply only to the property or assets securing such Indebtedness, (E) clause (i) of the foregoing shall not apply to customary provisions in leases and other contracts restricting the assignment thereof and (F) the foregoing shall not apply to restrictions and conditions imposed pursuant to the Facility Letter or other agreements for Banking Services permitted hereunder.</w:t>
      </w:r>
    </w:p>
    <w:p>
      <w:pPr>
        <w:spacing w:after="0" w:line="14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6.07 </w:t>
      </w:r>
      <w:r>
        <w:rPr>
          <w:rFonts w:ascii="Times New Roman" w:cs="Times New Roman" w:eastAsia="Times New Roman" w:hAnsi="Times New Roman"/>
          <w:sz w:val="22"/>
          <w:szCs w:val="22"/>
          <w:b w:val="1"/>
          <w:bCs w:val="1"/>
          <w:i w:val="1"/>
          <w:iCs w:val="1"/>
          <w:color w:val="auto"/>
        </w:rPr>
        <w:t>Transactions with Affiliates</w:t>
      </w:r>
      <w:r>
        <w:rPr>
          <w:rFonts w:ascii="Times New Roman" w:cs="Times New Roman" w:eastAsia="Times New Roman" w:hAnsi="Times New Roman"/>
          <w:sz w:val="22"/>
          <w:szCs w:val="22"/>
          <w:color w:val="auto"/>
        </w:rPr>
        <w:t>. Except for transactions by or among Loan Parties and transactions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under this Agreement, sell or transfer any property or assets to, or purchase or acquire any property or assets from, or otherwise engage in any other transactions with, any of its Affiliates, except that the Borrowers or any Subsidiary may engage in any of the foregoing transactions in the ordinary course of business at prices and on terms and conditions not less favorable to the Borrowers or such Subsidiary than could be obtained on an arm’s-length basis from unrelated third parties.</w:t>
      </w:r>
    </w:p>
    <w:p>
      <w:pPr>
        <w:spacing w:after="0" w:line="3" w:lineRule="exact"/>
        <w:rPr>
          <w:sz w:val="20"/>
          <w:szCs w:val="20"/>
          <w:color w:val="auto"/>
        </w:rPr>
      </w:pPr>
    </w:p>
    <w:p>
      <w:pPr>
        <w:jc w:val="both"/>
        <w:ind w:right="20"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6.08 </w:t>
      </w:r>
      <w:r>
        <w:rPr>
          <w:rFonts w:ascii="Times New Roman" w:cs="Times New Roman" w:eastAsia="Times New Roman" w:hAnsi="Times New Roman"/>
          <w:sz w:val="22"/>
          <w:szCs w:val="22"/>
          <w:b w:val="1"/>
          <w:bCs w:val="1"/>
          <w:i w:val="1"/>
          <w:iCs w:val="1"/>
          <w:color w:val="auto"/>
        </w:rPr>
        <w:t>Business of Borrowers and Subsidiaries</w:t>
      </w:r>
      <w:r>
        <w:rPr>
          <w:rFonts w:ascii="Times New Roman" w:cs="Times New Roman" w:eastAsia="Times New Roman" w:hAnsi="Times New Roman"/>
          <w:sz w:val="22"/>
          <w:szCs w:val="22"/>
          <w:color w:val="auto"/>
        </w:rPr>
        <w:t>. Engage at any time in any business or business activity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providing products and services to the energy industry, accommodations and business activities reasonably incidental thereto.</w:t>
      </w:r>
    </w:p>
    <w:p>
      <w:pPr>
        <w:ind w:left="660"/>
        <w:spacing w:after="0" w:line="217"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6.09</w:t>
      </w:r>
      <w:r>
        <w:rPr>
          <w:sz w:val="20"/>
          <w:szCs w:val="20"/>
          <w:color w:val="auto"/>
        </w:rPr>
        <w:tab/>
      </w:r>
      <w:r>
        <w:rPr>
          <w:rFonts w:ascii="Times New Roman" w:cs="Times New Roman" w:eastAsia="Times New Roman" w:hAnsi="Times New Roman"/>
          <w:sz w:val="21"/>
          <w:szCs w:val="21"/>
          <w:b w:val="1"/>
          <w:bCs w:val="1"/>
          <w:i w:val="1"/>
          <w:iCs w:val="1"/>
          <w:color w:val="auto"/>
        </w:rPr>
        <w:t>Other Indebtedness and Agreements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14"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waiver, supplement, modification, amendment, termination or release of any indenture, instrument or agreement pursuant to which any Material Indebtedness of a Borrower or any of the Subsidiaries is outstanding if the effect of such waiver, supplement, modification, amendment, termination or release would increase the interest rate thereon, shorten the final maturity or the average life thereof or cause an Event of Default.</w:t>
      </w:r>
    </w:p>
    <w:p>
      <w:pPr>
        <w:spacing w:after="0" w:line="153"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distribution, whether in cash, property, securities or a combination thereof, other than regular scheduled payments of principal and interest as and when due (to the extent not prohibited by applicable subordination provisions), in respect of, or pay, or offer or commit to pay, or directly or indirectly (including pursuant to any Synthetic Purchase Agreement) redeem, repurchase, retire or otherwise acquire for consideration, or set apart any sum for the aforesaid purposes, any Subordinated Indebtedness, except (i) to the extent the Parent Borrower could make a Restricted Payment pursuant to Section 6.06(a), (ii) any Loan Party shall be entitled to pay any and all amounts owing to another Loan Party pursuant to any agreement providing for intercompany indebtedness or (iii) to the extent any such Indebtedness is repaid with the proceeds of Permitted Refinancing Indebtedness permitted under Section 6.01.</w:t>
      </w:r>
    </w:p>
    <w:p>
      <w:pPr>
        <w:spacing w:after="0" w:line="150"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6.10 </w:t>
      </w:r>
      <w:r>
        <w:rPr>
          <w:rFonts w:ascii="Times New Roman" w:cs="Times New Roman" w:eastAsia="Times New Roman" w:hAnsi="Times New Roman"/>
          <w:sz w:val="22"/>
          <w:szCs w:val="22"/>
          <w:b w:val="1"/>
          <w:bCs w:val="1"/>
          <w:i w:val="1"/>
          <w:iCs w:val="1"/>
          <w:color w:val="auto"/>
        </w:rPr>
        <w:t>Interest Coverage Ratio</w:t>
      </w:r>
      <w:r>
        <w:rPr>
          <w:rFonts w:ascii="Times New Roman" w:cs="Times New Roman" w:eastAsia="Times New Roman" w:hAnsi="Times New Roman"/>
          <w:sz w:val="22"/>
          <w:szCs w:val="22"/>
          <w:color w:val="auto"/>
        </w:rPr>
        <w:t>. Permit, as of the last day of any fiscal quarter, the Interest Coverage Ratio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of four consecutive fiscal quarters of the Parent Borrower, in each case taken as one accounting period, to be less than 3.0 to 1.0.</w:t>
      </w: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6.11</w:t>
      </w:r>
      <w:r>
        <w:rPr>
          <w:sz w:val="20"/>
          <w:szCs w:val="20"/>
          <w:color w:val="auto"/>
        </w:rPr>
        <w:tab/>
      </w:r>
      <w:r>
        <w:rPr>
          <w:rFonts w:ascii="Times New Roman" w:cs="Times New Roman" w:eastAsia="Times New Roman" w:hAnsi="Times New Roman"/>
          <w:sz w:val="21"/>
          <w:szCs w:val="21"/>
          <w:b w:val="1"/>
          <w:bCs w:val="1"/>
          <w:i w:val="1"/>
          <w:iCs w:val="1"/>
          <w:color w:val="auto"/>
        </w:rPr>
        <w:t>Leverage Ratios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656"/>
        <w:spacing w:after="0" w:line="249" w:lineRule="auto"/>
        <w:tabs>
          <w:tab w:leader="none" w:pos="114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Maximum Total Net Leverage Ratio</w:t>
      </w:r>
      <w:r>
        <w:rPr>
          <w:rFonts w:ascii="Times New Roman" w:cs="Times New Roman" w:eastAsia="Times New Roman" w:hAnsi="Times New Roman"/>
          <w:sz w:val="22"/>
          <w:szCs w:val="22"/>
          <w:color w:val="auto"/>
        </w:rPr>
        <w:t>. Permit, as of the last day of any fiscal quarter, the Total Net Leverage Ratio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for any period of four consecutive fiscal quarters of the Parent Borrower, in each case taken as one accounting period, to be greater than (A) if a Qualified Offering or a Permitted Convertible Indebtedness has been consummated, 3.50:1.00 and (B) if neither a Qualified Offering nor a Permitted Convertible Indebtedness has been consummated, 3:00:1.00.</w:t>
      </w: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38" w:name="page139"/>
    <w:bookmarkEnd w:id="138"/>
    <w:p>
      <w:pPr>
        <w:spacing w:after="0" w:line="192" w:lineRule="exact"/>
        <w:rPr>
          <w:sz w:val="20"/>
          <w:szCs w:val="20"/>
          <w:color w:val="auto"/>
        </w:rPr>
      </w:pPr>
    </w:p>
    <w:p>
      <w:pPr>
        <w:jc w:val="both"/>
        <w:ind w:firstLine="656"/>
        <w:spacing w:after="0" w:line="258" w:lineRule="auto"/>
        <w:tabs>
          <w:tab w:leader="none" w:pos="114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Maximum Senior Secured Net Leverage Ratio</w:t>
      </w:r>
      <w:r>
        <w:rPr>
          <w:rFonts w:ascii="Times New Roman" w:cs="Times New Roman" w:eastAsia="Times New Roman" w:hAnsi="Times New Roman"/>
          <w:sz w:val="22"/>
          <w:szCs w:val="22"/>
          <w:color w:val="auto"/>
        </w:rPr>
        <w:t>. Commencing with the first fiscal quarter ending immediately after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issuance of a Qualified Offering or a Permitted Convertible Indebtedness, permit, as of the last day of any fiscal quarter, the Senior Secured Net Leverage Ratio for any period of four consecutive fiscal quarters of the Parent Borrower, in each case taken as one accounting period, to be greater than 2.50:1.00.</w:t>
      </w:r>
    </w:p>
    <w:p>
      <w:pPr>
        <w:spacing w:after="0" w:line="14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6.12 </w:t>
      </w:r>
      <w:r>
        <w:rPr>
          <w:rFonts w:ascii="Times New Roman" w:cs="Times New Roman" w:eastAsia="Times New Roman" w:hAnsi="Times New Roman"/>
          <w:sz w:val="22"/>
          <w:szCs w:val="22"/>
          <w:b w:val="1"/>
          <w:bCs w:val="1"/>
          <w:i w:val="1"/>
          <w:iCs w:val="1"/>
          <w:color w:val="auto"/>
        </w:rPr>
        <w:t>Hedging Agreements</w:t>
      </w:r>
      <w:r>
        <w:rPr>
          <w:rFonts w:ascii="Times New Roman" w:cs="Times New Roman" w:eastAsia="Times New Roman" w:hAnsi="Times New Roman"/>
          <w:sz w:val="22"/>
          <w:szCs w:val="22"/>
          <w:color w:val="auto"/>
        </w:rPr>
        <w:t>. Enter into any Hedging Agreement, other than (a) Hedging Agreements entered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ordinary course of business to hedge or mitigate risks to which a Borrower or any Subsidiary is exposed in the conduct of its business or the management of its liabilities, (b) any Permitted Bond Hedge Transaction and (c) any Permitted Warrant Transaction.</w:t>
      </w:r>
    </w:p>
    <w:p>
      <w:pPr>
        <w:jc w:val="both"/>
        <w:ind w:firstLine="648"/>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Section 6.13 </w:t>
      </w:r>
      <w:r>
        <w:rPr>
          <w:rFonts w:ascii="Times New Roman" w:cs="Times New Roman" w:eastAsia="Times New Roman" w:hAnsi="Times New Roman"/>
          <w:sz w:val="21"/>
          <w:szCs w:val="21"/>
          <w:b w:val="1"/>
          <w:bCs w:val="1"/>
          <w:i w:val="1"/>
          <w:iCs w:val="1"/>
          <w:color w:val="auto"/>
        </w:rPr>
        <w:t>Pension Plans</w:t>
      </w:r>
      <w:r>
        <w:rPr>
          <w:rFonts w:ascii="Times New Roman" w:cs="Times New Roman" w:eastAsia="Times New Roman" w:hAnsi="Times New Roman"/>
          <w:sz w:val="21"/>
          <w:szCs w:val="21"/>
          <w:color w:val="auto"/>
        </w:rPr>
        <w:t>. (a) Terminate, in whole or in part, or initiate the termination of, in whole or in part,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Canadian Pension Plan so as to result in any liability to the Parent Borrower or its applicable Canadian Subsidiaries which could reasonably be expected to have a Material Adverse Effect; (b) permit to exist any event or condition in respect of any Canadian Pension Plan or Defined Benefit Plan which presents the risk of liability of the Parent Borrower which could reasonably be expected to have a Material Adverse Effect; (c) enter into or incur any obligation under any new Canadian Pension Plan or Canadian Benefit Plan or modify any such existing plans or the terms of participation in any Defined Benefit Plan so as to increase its obligations thereunder which could result in any liability to the Parent Borrower or any of its Canadian Subsidiaries and which could reasonably be expected to have a Material Adverse Effect; (d) permit their unfunded obligations and liabilities under Canadian Pension Plans or Defined Benefit Plans to remain unfunded, other than in accordance with applicable law;</w:t>
      </w:r>
    </w:p>
    <w:p>
      <w:pPr>
        <w:spacing w:after="0" w:line="6" w:lineRule="exact"/>
        <w:rPr>
          <w:sz w:val="20"/>
          <w:szCs w:val="20"/>
          <w:color w:val="auto"/>
        </w:rPr>
      </w:pPr>
    </w:p>
    <w:p>
      <w:pPr>
        <w:jc w:val="both"/>
        <w:ind w:firstLine="8"/>
        <w:spacing w:after="0" w:line="204" w:lineRule="auto"/>
        <w:tabs>
          <w:tab w:leader="none" w:pos="3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transactions which result in a fine or penalty against the Parent Borrower in excess of C$10,000,000 in respect of any Canadian Pension Plan, Defined Benefit Plan or Canadian Benefit Plan which fine or penalty has not been paid within 30 days of final assessment unless (i) such fine or penalty is being contested in good faith by appropriate proceedings, (ii) the Parent Borrower has set aside on its books adequate reserves with respect thereto in accordance with GAAP and (iii) such contest does not operate to suspend collection of the contested fine or penalty; or (f) fail to make a required contribution under any Canadian Pension Plan, Defined Benefit Plan or Canadian Benefit Plan which would result in the imposition of a Lien upon the assets of the Parent Borrower or any of its Subsidiaries within 30 days after the date such payment becomes due, unless such payment is being contested in compliance with the preceding clause (e) and there is no risk of forfeiture, loss or subordination of the Secured Parties’ Liens on such assets.</w:t>
      </w:r>
    </w:p>
    <w:p>
      <w:pPr>
        <w:spacing w:after="0" w:line="8" w:lineRule="exact"/>
        <w:rPr>
          <w:rFonts w:ascii="Times New Roman" w:cs="Times New Roman" w:eastAsia="Times New Roman" w:hAnsi="Times New Roman"/>
          <w:sz w:val="22"/>
          <w:szCs w:val="22"/>
          <w:color w:val="auto"/>
        </w:rPr>
      </w:pPr>
    </w:p>
    <w:p>
      <w:pPr>
        <w:jc w:val="both"/>
        <w:ind w:firstLine="648"/>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Section 6.14 </w:t>
      </w:r>
      <w:r>
        <w:rPr>
          <w:rFonts w:ascii="Times New Roman" w:cs="Times New Roman" w:eastAsia="Times New Roman" w:hAnsi="Times New Roman"/>
          <w:sz w:val="22"/>
          <w:szCs w:val="22"/>
          <w:b w:val="1"/>
          <w:bCs w:val="1"/>
          <w:i w:val="1"/>
          <w:iCs w:val="1"/>
          <w:color w:val="auto"/>
        </w:rPr>
        <w:t>Amendment of the Organizational Documents</w:t>
      </w:r>
      <w:r>
        <w:rPr>
          <w:rFonts w:ascii="Times New Roman" w:cs="Times New Roman" w:eastAsia="Times New Roman" w:hAnsi="Times New Roman"/>
          <w:sz w:val="22"/>
          <w:szCs w:val="22"/>
          <w:color w:val="auto"/>
        </w:rPr>
        <w:t>. Amend the limited partnership agreement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that is a limited partnership or otherwise take steps to expressly provide that the units of such limited partnership are securities for the purposes of this Securities Transfer Act (Alberta) without 30 days prior written notice to the Canadian Collateral Agent.</w:t>
      </w:r>
    </w:p>
    <w:p>
      <w:pPr>
        <w:spacing w:after="0" w:line="3" w:lineRule="exact"/>
        <w:rPr>
          <w:rFonts w:ascii="Times New Roman" w:cs="Times New Roman" w:eastAsia="Times New Roman" w:hAnsi="Times New Roman"/>
          <w:sz w:val="22"/>
          <w:szCs w:val="22"/>
          <w:color w:val="auto"/>
        </w:rPr>
      </w:pPr>
    </w:p>
    <w:p>
      <w:pPr>
        <w:ind w:left="66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Section 6.15  </w:t>
      </w:r>
      <w:r>
        <w:rPr>
          <w:rFonts w:ascii="Times New Roman" w:cs="Times New Roman" w:eastAsia="Times New Roman" w:hAnsi="Times New Roman"/>
          <w:sz w:val="22"/>
          <w:szCs w:val="22"/>
          <w:b w:val="1"/>
          <w:bCs w:val="1"/>
          <w:i w:val="1"/>
          <w:iCs w:val="1"/>
          <w:color w:val="auto"/>
        </w:rPr>
        <w:t>Sanction Laws and Regulations</w:t>
      </w:r>
      <w:r>
        <w:rPr>
          <w:rFonts w:ascii="Times New Roman" w:cs="Times New Roman" w:eastAsia="Times New Roman" w:hAnsi="Times New Roman"/>
          <w:sz w:val="22"/>
          <w:szCs w:val="22"/>
          <w:i w:val="1"/>
          <w:iCs w:val="1"/>
          <w:color w:val="auto"/>
        </w:rPr>
        <w:t>.</w:t>
      </w:r>
    </w:p>
    <w:p>
      <w:pPr>
        <w:jc w:val="both"/>
        <w:ind w:firstLine="1304"/>
        <w:spacing w:after="0" w:line="214" w:lineRule="auto"/>
        <w:tabs>
          <w:tab w:leader="none" w:pos="2035"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the proceeds of the facilities under the Loan Documents, or lend, contribute or otherwise make available such proceeds to any Borrower or any Subsidiary, joint venture partner or other person or entity for the purpose of (i) funding any activities or business of or with any Designated Person, or in any Sanctioned Country, or (ii) causing a violation of any Sanctions Laws and Regulations by any party to this Agreement.</w:t>
      </w:r>
    </w:p>
    <w:p>
      <w:pPr>
        <w:spacing w:after="0" w:line="15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amount due pursuant under the Loan Documents with funds obtained from transactions with or relating to Designated Persons or Sanctioned Countries or with funds derived from any activity in violation of Anti-Money Laundering Laws.</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40" w:right="339" w:bottom="1440" w:gutter="0" w:footer="0" w:header="0"/>
        </w:sectPr>
      </w:pPr>
    </w:p>
    <w:bookmarkStart w:id="139" w:name="page140"/>
    <w:bookmarkEnd w:id="139"/>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6.16</w:t>
      </w:r>
      <w:r>
        <w:rPr>
          <w:sz w:val="20"/>
          <w:szCs w:val="20"/>
          <w:color w:val="auto"/>
        </w:rPr>
        <w:tab/>
      </w:r>
      <w:r>
        <w:rPr>
          <w:rFonts w:ascii="Times New Roman" w:cs="Times New Roman" w:eastAsia="Times New Roman" w:hAnsi="Times New Roman"/>
          <w:sz w:val="21"/>
          <w:szCs w:val="21"/>
          <w:b w:val="1"/>
          <w:bCs w:val="1"/>
          <w:i w:val="1"/>
          <w:iCs w:val="1"/>
          <w:color w:val="auto"/>
        </w:rPr>
        <w:t>Anti-Corruption Laws</w:t>
      </w:r>
      <w:r>
        <w:rPr>
          <w:rFonts w:ascii="Times New Roman" w:cs="Times New Roman" w:eastAsia="Times New Roman" w:hAnsi="Times New Roman"/>
          <w:sz w:val="21"/>
          <w:szCs w:val="21"/>
          <w:color w:val="auto"/>
        </w:rPr>
        <w:t>. Violate applicable Anti-Corruption Laws in any event.</w:t>
      </w:r>
    </w:p>
    <w:p>
      <w:pPr>
        <w:spacing w:after="0" w:line="2"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6.17 </w:t>
      </w:r>
      <w:r>
        <w:rPr>
          <w:rFonts w:ascii="Times New Roman" w:cs="Times New Roman" w:eastAsia="Times New Roman" w:hAnsi="Times New Roman"/>
          <w:sz w:val="22"/>
          <w:szCs w:val="22"/>
          <w:b w:val="1"/>
          <w:bCs w:val="1"/>
          <w:i w:val="1"/>
          <w:iCs w:val="1"/>
          <w:color w:val="auto"/>
        </w:rPr>
        <w:t>Cross-Guarantee</w:t>
      </w:r>
      <w:r>
        <w:rPr>
          <w:rFonts w:ascii="Times New Roman" w:cs="Times New Roman" w:eastAsia="Times New Roman" w:hAnsi="Times New Roman"/>
          <w:sz w:val="22"/>
          <w:szCs w:val="22"/>
          <w:color w:val="auto"/>
        </w:rPr>
        <w:t>. No Loan Party shall enter into a deed of cross-guarantee for the purposes of ASIC Class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 CO 98/1418 other than with Civeo Holdings Company 1 Pty Limited and its subsidiaries.</w:t>
      </w:r>
    </w:p>
    <w:p>
      <w:pPr>
        <w:spacing w:after="0" w:line="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168" w:lineRule="exact"/>
        <w:rPr>
          <w:sz w:val="20"/>
          <w:szCs w:val="20"/>
          <w:color w:val="auto"/>
        </w:rPr>
      </w:pPr>
    </w:p>
    <w:p>
      <w:pPr>
        <w:jc w:val="center"/>
        <w:ind w:right="260"/>
        <w:spacing w:after="0"/>
        <w:tabs>
          <w:tab w:leader="none" w:pos="160" w:val="left"/>
        </w:tabs>
        <w:rPr>
          <w:sz w:val="20"/>
          <w:szCs w:val="20"/>
          <w:color w:val="auto"/>
        </w:rPr>
      </w:pPr>
      <w:r>
        <w:rPr>
          <w:rFonts w:ascii="Times New Roman" w:cs="Times New Roman" w:eastAsia="Times New Roman" w:hAnsi="Times New Roman"/>
          <w:sz w:val="22"/>
          <w:szCs w:val="22"/>
          <w:b w:val="1"/>
          <w:bCs w:val="1"/>
          <w:color w:val="auto"/>
        </w:rPr>
        <w:t>Section 7.01</w:t>
      </w:r>
      <w:r>
        <w:rPr>
          <w:sz w:val="20"/>
          <w:szCs w:val="20"/>
          <w:color w:val="auto"/>
        </w:rPr>
        <w:tab/>
      </w:r>
      <w:r>
        <w:rPr>
          <w:rFonts w:ascii="Times New Roman" w:cs="Times New Roman" w:eastAsia="Times New Roman" w:hAnsi="Times New Roman"/>
          <w:sz w:val="21"/>
          <w:szCs w:val="21"/>
          <w:b w:val="1"/>
          <w:bCs w:val="1"/>
          <w:i w:val="1"/>
          <w:iCs w:val="1"/>
          <w:color w:val="auto"/>
        </w:rPr>
        <w:t>Events of Default</w:t>
      </w:r>
      <w:r>
        <w:rPr>
          <w:rFonts w:ascii="Times New Roman" w:cs="Times New Roman" w:eastAsia="Times New Roman" w:hAnsi="Times New Roman"/>
          <w:sz w:val="21"/>
          <w:szCs w:val="21"/>
          <w:color w:val="auto"/>
        </w:rPr>
        <w:t>. In case of the happening of any of the following events (“</w:t>
      </w:r>
      <w:r>
        <w:rPr>
          <w:rFonts w:ascii="Times New Roman" w:cs="Times New Roman" w:eastAsia="Times New Roman" w:hAnsi="Times New Roman"/>
          <w:sz w:val="21"/>
          <w:szCs w:val="21"/>
          <w:i w:val="1"/>
          <w:iCs w:val="1"/>
          <w:color w:val="auto"/>
        </w:rPr>
        <w:t>Events of Default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1" w:lineRule="auto"/>
        <w:tabs>
          <w:tab w:leader="none" w:pos="194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any representation or warranty is qualified as to “Material Adverse Effect” or otherwise as to “materiality”, such representation and warranty shall prove to be incorrect in any respect when made or deemed to be made;</w:t>
      </w:r>
    </w:p>
    <w:p>
      <w:pPr>
        <w:spacing w:after="0" w:line="15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payment in the applicable currency of any principal of any Loan or the reimbursement with respect to any L/C Disbursement when and as the same shall become due and payable, whether at the due date thereof or at a date fixed for prepayment thereof or by acceleration thereof or otherwise;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payment in the applicable currency of any interest on any Loan or any Fee or L/C Disbursement or any other amount (other than an amount referred to in (b) above) due under any Loan Document, when and as the same shall become due and payable, and such default shall continue unremedied for a period of three Business Days;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due observance or performance by a Borrower or any Subsidiary of any covenant, condition or agreement contained in Section 5.01(a), Section 5.05(a), Section 5.08 or in Article VI;</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in the due observance or performance by a Borrower or any Subsidiary of any covenant, condition or agreement contained in any Loan Document (other than those specified in Sections 7.01(b), (c) or (d)) and such default shall continue unremedied for a period of 30 days after the earlier of (i) notice thereof from any Agent or any Lender to the Parent Borrower or (ii) any Responsible Officer of the Parent Borrower obtains actual knowledge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4"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 Borrower or any Material Subsidiary shall fail to pay any principal or interest, regardless of amount, due in respect of any Material Indebtedness, when and as the same shall become due and payable,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clause (ii) shall not apply to (A) secured Indebtedness that becomes due as a result of the voluntary sale or transfer of the property or assets securing such Indebtedness or</w:t>
      </w:r>
    </w:p>
    <w:p>
      <w:pPr>
        <w:ind w:firstLine="8"/>
        <w:spacing w:after="0" w:line="225" w:lineRule="auto"/>
        <w:tabs>
          <w:tab w:leader="none" w:pos="38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which triggers any conversion (or exchange) right (including any notice of redemption issued by the Parent Borrower pursuant to</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80" w:right="339" w:bottom="1440" w:gutter="0" w:footer="0" w:header="0"/>
        </w:sectPr>
      </w:pPr>
    </w:p>
    <w:bookmarkStart w:id="140" w:name="page141"/>
    <w:bookmarkEnd w:id="140"/>
    <w:p>
      <w:pPr>
        <w:ind w:right="20"/>
        <w:spacing w:after="0" w:line="236" w:lineRule="auto"/>
        <w:rPr>
          <w:sz w:val="20"/>
          <w:szCs w:val="20"/>
          <w:color w:val="auto"/>
        </w:rPr>
      </w:pPr>
      <w:r>
        <w:rPr>
          <w:rFonts w:ascii="Times New Roman" w:cs="Times New Roman" w:eastAsia="Times New Roman" w:hAnsi="Times New Roman"/>
          <w:sz w:val="22"/>
          <w:szCs w:val="22"/>
          <w:color w:val="auto"/>
        </w:rPr>
        <w:t>the terms of the Permitted Convertible Indebtedness) or fundamental change repurchase right of holders of Permitted Convertible Indebtedness that is not a default under such Permitted Convertible Indebtedness;</w:t>
      </w:r>
    </w:p>
    <w:p>
      <w:pPr>
        <w:spacing w:after="0" w:line="150" w:lineRule="exact"/>
        <w:rPr>
          <w:sz w:val="20"/>
          <w:szCs w:val="20"/>
          <w:color w:val="auto"/>
        </w:rPr>
      </w:pPr>
    </w:p>
    <w:p>
      <w:pPr>
        <w:jc w:val="both"/>
        <w:ind w:firstLine="1304"/>
        <w:spacing w:after="0" w:line="213" w:lineRule="auto"/>
        <w:tabs>
          <w:tab w:leader="none" w:pos="193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in a court of competent jurisdiction seeking (i) relief in respect of a Borrower or any Material Subsidiary, or of a substantial part of the property or assets of a Borrower or any Material Subsidiary, under any Insolvency Law, (ii) the appointment of a receiver, liquidator, provisional liquidator, trustee, custodian, administrator, sequestrator, conservator or similar official for a Borrower or any Material Subsidiary or for a substantial part of the property or assets of a Borrower or any Material Subsidiary or (iii) the winding-up or liquidation of a Borrower or any Material Subsidiary; and such proceeding or petition shall continue undismissed for 60 days or an order or decree approving or ordering any of the foregoing shall be entered;</w:t>
      </w:r>
    </w:p>
    <w:p>
      <w:pPr>
        <w:spacing w:after="0" w:line="156"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Borrower or any Material Subsidiary shall (i) if such Borrower or Material Subsidiary is incorporated in Australia, (A) become or state that it is insolvent as defined in the Australian Corporations Act, (B) become an insolvent under administration as defined in the Australian Corporations Act, (C) fail under section 459F(1) of the Australian Corporations Act to comply with a statutory demand, (D) have an administrator, receiver, receiver &amp; manager, liquidator or provisional liquidator or similar official appointed to, or take possession or control of, a substantial part of the property or assets of such party or (E) enter into or become subject to any arrangement or composition with one or more of its creditors or any assignment for the benefit of one or more of its creditors or any re-organization, moratorium, deed of company arrangement or other administration involving one or more of its creditors, (ii) voluntarily commence any proceeding or file any petition seeking relief under any Insolvency Law, (iii) consent to the institution of, or fail to contest in a timely and appropriate manner, any proceeding or the filing of any petition described in (g) above, (iv) apply for or consent to the appointment of a receiver, trustee, custodian, administrator, sequestrator, conservator or similar official for a Borrower or any Material Subsidiary or for a substantial part of the property or assets of a Borrower or any Material Subsidiary, (v) file an answer admitting the material allegations of a petition filed against it under an Insolvency Law in any such proceeding, (vi) make a general assignment for the benefit of creditors, (vii) become unable, admit in writing its inability or fail generally to pay its debts as they become due or (viii) take any action for the purpose of effecting any of the foregoing;</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U.S.$25,000,000 (to the extent not covered by insurance) shall be rendered against a Borrower or any Material Subsidiary thereof and the same shall remain undischarged for a period of 30 consecutive days during which execution shall not be effectively stayed, or any action shall be legally taken by a judgment creditor to levy upon assets or properties of a Borrower or any Material Subsidiary to enforce any such judgment;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opinion of the Required Lenders, when taken together with all other such ERISA Events, could reasonably be expected to result in liability of a Borrower and its ERISA Affiliates in an aggregate amount exceeding U.S.$25,000,000;</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under any Guarantee Agreement for any reason shall cease to be in full force and effect (other than in accordance with its terms), or any Guarantor shall deny in writing that it has any further liability under its Guarantee Agreement (other than as a result of the discharge of such Guarantor in accordance with the terms of the Loan Documents);</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129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41" w:name="page142"/>
    <w:bookmarkEnd w:id="141"/>
    <w:p>
      <w:pPr>
        <w:jc w:val="both"/>
        <w:ind w:firstLine="1304"/>
        <w:spacing w:after="0" w:line="215" w:lineRule="auto"/>
        <w:tabs>
          <w:tab w:leader="none" w:pos="193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security interest purported to be created by any Security Document shall cease to be, or shall be asserted by a Borrower or any other Loan Party not to be, a valid, perfected, first priority (except as otherwise expressly provided in this Agreement or such Security Document) security interest in the securities, assets or properties covered thereby having an estimated market value in excess of U.S.$2,500,000, except to the extent that any such loss of perfection or priority results from the failure of a Collateral Agent to maintain possession of certificates representing securities pledged under a Pledge Agreement; or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have occurred.</w:t>
      </w:r>
    </w:p>
    <w:p>
      <w:pPr>
        <w:spacing w:after="0" w:line="16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7.02</w:t>
      </w:r>
      <w:r>
        <w:rPr>
          <w:sz w:val="20"/>
          <w:szCs w:val="20"/>
          <w:color w:val="auto"/>
        </w:rPr>
        <w:tab/>
      </w:r>
      <w:r>
        <w:rPr>
          <w:rFonts w:ascii="Times New Roman" w:cs="Times New Roman" w:eastAsia="Times New Roman" w:hAnsi="Times New Roman"/>
          <w:sz w:val="22"/>
          <w:szCs w:val="22"/>
          <w:b w:val="1"/>
          <w:bCs w:val="1"/>
          <w:i w:val="1"/>
          <w:iCs w:val="1"/>
          <w:color w:val="auto"/>
        </w:rPr>
        <w:t>Optional Acceleration of Maturity</w:t>
      </w:r>
      <w:r>
        <w:rPr>
          <w:rFonts w:ascii="Times New Roman" w:cs="Times New Roman" w:eastAsia="Times New Roman" w:hAnsi="Times New Roman"/>
          <w:sz w:val="22"/>
          <w:szCs w:val="22"/>
          <w:color w:val="auto"/>
        </w:rPr>
        <w:t>. If any Event of Default (other than an Event of Default pursuant to</w:t>
      </w:r>
    </w:p>
    <w:p>
      <w:pPr>
        <w:spacing w:after="0" w:line="204" w:lineRule="auto"/>
        <w:rPr>
          <w:sz w:val="20"/>
          <w:szCs w:val="20"/>
          <w:color w:val="auto"/>
        </w:rPr>
      </w:pPr>
      <w:r>
        <w:rPr>
          <w:rFonts w:ascii="Times New Roman" w:cs="Times New Roman" w:eastAsia="Times New Roman" w:hAnsi="Times New Roman"/>
          <w:sz w:val="22"/>
          <w:szCs w:val="22"/>
          <w:color w:val="auto"/>
        </w:rPr>
        <w:t>Sections 7.01(g) or (h)) shall have occurred and be continuing, then, and in any such event:</w:t>
      </w:r>
    </w:p>
    <w:p>
      <w:pPr>
        <w:spacing w:after="0" w:line="1" w:lineRule="exact"/>
        <w:rPr>
          <w:sz w:val="20"/>
          <w:szCs w:val="20"/>
          <w:color w:val="auto"/>
        </w:rPr>
      </w:pPr>
    </w:p>
    <w:p>
      <w:pPr>
        <w:jc w:val="both"/>
        <w:ind w:firstLine="1304"/>
        <w:spacing w:after="0" w:line="209"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 shall at the request, or may, with the consent, of the Required Revolving Lenders, by notice to the Parent Borrower, declare the Revolving Commitments and the obligation of each Revolving Lender and the Issuing Banks to make extensions of credit hereunder, including making Loans and issuing Letters of Credit, to be terminated, whereupon the same shall forthwith terminate, and/or (ii) shall at the request, or may, with the consent, of the Required Lenders, by notice to the Parent Borrower, declare all principal, interest, fees, reimbursements, indemnifications, and all other amounts payable under this Agreement and the other Loan Documents to be forthwith due and payable, whereupon all such amounts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53"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on demand of any Administrative Agent at the request or with the consent of the Required Revolving Lenders, Cash Collateralize the Letters of Credit in accordance with Section 2.21(k);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Agents shall at the request of, or may with the consent of, the Required Lenders proceed to enforce their respective rights and remedies under the Security Documents, this Agreement, and any other Loan Document for the ratable benefit of the Lenders by appropriate proceedings.</w:t>
      </w:r>
    </w:p>
    <w:p>
      <w:pPr>
        <w:spacing w:after="0" w:line="13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b w:val="1"/>
          <w:bCs w:val="1"/>
          <w:color w:val="auto"/>
        </w:rPr>
        <w:t>Section 7.03</w:t>
      </w:r>
      <w:r>
        <w:rPr>
          <w:sz w:val="20"/>
          <w:szCs w:val="20"/>
          <w:color w:val="auto"/>
        </w:rPr>
        <w:tab/>
      </w:r>
      <w:r>
        <w:rPr>
          <w:rFonts w:ascii="Times New Roman" w:cs="Times New Roman" w:eastAsia="Times New Roman" w:hAnsi="Times New Roman"/>
          <w:sz w:val="22"/>
          <w:szCs w:val="22"/>
          <w:b w:val="1"/>
          <w:bCs w:val="1"/>
          <w:i w:val="1"/>
          <w:iCs w:val="1"/>
          <w:color w:val="auto"/>
        </w:rPr>
        <w:t>Automatic Acceleration of Maturity</w:t>
      </w:r>
      <w:r>
        <w:rPr>
          <w:rFonts w:ascii="Times New Roman" w:cs="Times New Roman" w:eastAsia="Times New Roman" w:hAnsi="Times New Roman"/>
          <w:sz w:val="22"/>
          <w:szCs w:val="22"/>
          <w:color w:val="auto"/>
        </w:rPr>
        <w:t>. If any Event of Default pursuant to Sections 7.01(g) or (h) shall</w:t>
      </w:r>
    </w:p>
    <w:p>
      <w:pPr>
        <w:spacing w:after="0" w:line="204" w:lineRule="auto"/>
        <w:rPr>
          <w:sz w:val="20"/>
          <w:szCs w:val="20"/>
          <w:color w:val="auto"/>
        </w:rPr>
      </w:pPr>
      <w:r>
        <w:rPr>
          <w:rFonts w:ascii="Times New Roman" w:cs="Times New Roman" w:eastAsia="Times New Roman" w:hAnsi="Times New Roman"/>
          <w:sz w:val="22"/>
          <w:szCs w:val="22"/>
          <w:color w:val="auto"/>
        </w:rPr>
        <w:t>occur:</w:t>
      </w:r>
    </w:p>
    <w:p>
      <w:pPr>
        <w:spacing w:after="0" w:line="1" w:lineRule="exact"/>
        <w:rPr>
          <w:sz w:val="20"/>
          <w:szCs w:val="20"/>
          <w:color w:val="auto"/>
        </w:rPr>
      </w:pPr>
    </w:p>
    <w:p>
      <w:pPr>
        <w:jc w:val="both"/>
        <w:ind w:firstLine="1304"/>
        <w:spacing w:after="0" w:line="211" w:lineRule="auto"/>
        <w:tabs>
          <w:tab w:leader="none" w:pos="194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Revolving Commitments and the obligation of each Revolving Lender and the Issuing Bank to make extensions of credit hereunder, including making Loans and issuing Letters of Credit, shall terminate, and (ii) all principal, interest, fees, reimbursements, indemnifications, and all other amounts payable under this Agreement and the other Loan Documents shall become and be forthwith due and payable in full, without notice of intent to demand, demand, presentment for payment, notice of nonpayment, protest, notice of protest, grace, notice of dishonor, notice of intent to accelerate, notice of acceleration, and all other notices, all of which are hereby expressly waived by the Borrowers;</w:t>
      </w:r>
    </w:p>
    <w:p>
      <w:pPr>
        <w:spacing w:after="0" w:line="15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Cash Collateralize the Letters of Credit in accordance with Section 2.21(k); and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Agents shall at the request of, or may with the consent of, the Required Lenders proceed to enforce its rights and remedies under the Security Documents,</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this Agreement, and any other Loan Document for the ratable benefit of the Lenders by appropriate proceedings.</w:t>
      </w:r>
    </w:p>
    <w:p>
      <w:pPr>
        <w:spacing w:after="0" w:line="173"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7.04 </w:t>
      </w:r>
      <w:r>
        <w:rPr>
          <w:rFonts w:ascii="Times New Roman" w:cs="Times New Roman" w:eastAsia="Times New Roman" w:hAnsi="Times New Roman"/>
          <w:sz w:val="22"/>
          <w:szCs w:val="22"/>
          <w:b w:val="1"/>
          <w:bCs w:val="1"/>
          <w:i w:val="1"/>
          <w:iCs w:val="1"/>
          <w:color w:val="auto"/>
        </w:rPr>
        <w:t>Non-exclusivity of Remedies</w:t>
      </w:r>
      <w:r>
        <w:rPr>
          <w:rFonts w:ascii="Times New Roman" w:cs="Times New Roman" w:eastAsia="Times New Roman" w:hAnsi="Times New Roman"/>
          <w:sz w:val="22"/>
          <w:szCs w:val="22"/>
          <w:color w:val="auto"/>
        </w:rPr>
        <w:t>. No remedy conferred upon the Agents, the Issuing Banks and the Lenders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exclusive of any other remedy, and each remedy shall be cumulative of all other remedies existing by contract, at law, in equity, by statute or otherwise.</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7.05 </w:t>
      </w:r>
      <w:r>
        <w:rPr>
          <w:rFonts w:ascii="Times New Roman" w:cs="Times New Roman" w:eastAsia="Times New Roman" w:hAnsi="Times New Roman"/>
          <w:sz w:val="22"/>
          <w:szCs w:val="22"/>
          <w:b w:val="1"/>
          <w:bCs w:val="1"/>
          <w:i w:val="1"/>
          <w:iCs w:val="1"/>
          <w:color w:val="auto"/>
        </w:rPr>
        <w:t>Application of Proceeds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and during the continuance of any Event of Default, any monies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actually received by an Agent pursuant to this Agreement or any other Loan Document, the exercise of any rights or remedies under any Security Document or any other agreement with any Loan Party which secures any of the Obligations, shall be applied by the Applicable Administrative Agent or Applicable Collateral Agent in the following order:</w:t>
      </w:r>
    </w:p>
    <w:p>
      <w:pPr>
        <w:spacing w:after="0" w:line="4" w:lineRule="exact"/>
        <w:rPr>
          <w:sz w:val="20"/>
          <w:szCs w:val="20"/>
          <w:color w:val="auto"/>
        </w:rPr>
      </w:pPr>
    </w:p>
    <w:p>
      <w:pPr>
        <w:ind w:firstLine="1304"/>
        <w:spacing w:after="0" w:line="225" w:lineRule="auto"/>
        <w:tabs>
          <w:tab w:leader="none" w:pos="194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amounts (including fees, charges and disbursements of counsel to the Agents) payable to the Agents in their capacities as such;</w:t>
      </w:r>
    </w:p>
    <w:p>
      <w:pPr>
        <w:spacing w:after="0" w:line="145"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payment of that portion of the Obligations constituting fees, indemnities and other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 than principal, interest and Issuing Bank Fees) payable to the Lenders, the Issuing Banks and the Bilateral Lender (including fees, charges and disbursements of counsel to the respective Lenders, the Issuing Banks and the Bilateral Lender arising under the Loan Documents and the Bilateral Agreement), ratably among them in proportion to the respective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147"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payment of that portion of the Obligations constituting accrued and unpaid Letter of Credit Fees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interest on the Loans, L/C Exposure and other Obligations arising under the Loan Documents and the Bilateral Agreement, ratably among the Lenders, the Issuing Banks and the Bilateral Agreement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4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Applicable Administrative Agent for the account of the Issuing Banks, to Cash Collateralize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portion of L/C Exposure comprised of the aggregate undrawn amount of Letters of Credit to the extent not otherwise Cash Collateralized by the Borrower pursuant to Section 2.21(k);</w:t>
      </w:r>
    </w:p>
    <w:p>
      <w:pPr>
        <w:spacing w:after="0" w:line="146"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payment of that portion of the Obligations constituting unpaid principal of the Loans, L/C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Exposure, Obligations then owing under Hedging Agreements entered into with a counterparty that was a Lender (or an affiliate of a Lender) at the time such Hedging Agreement (other than Excluded Swap Obligations), Banking Services Obligations and any other Obligations, ratably among the Lenders, the Issuing Banks and the Bilateral Lender and, to the extent applicable, their Affiliates in proportion to the respective amounts described in this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payable by them; and</w:t>
      </w:r>
    </w:p>
    <w:p>
      <w:pPr>
        <w:spacing w:after="0" w:line="147"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last</w:t>
      </w:r>
      <w:r>
        <w:rPr>
          <w:rFonts w:ascii="Times New Roman" w:cs="Times New Roman" w:eastAsia="Times New Roman" w:hAnsi="Times New Roman"/>
          <w:sz w:val="22"/>
          <w:szCs w:val="22"/>
          <w:color w:val="auto"/>
        </w:rPr>
        <w:t>, the balance, if any, after (i) the termination of all Commitments, (ii) the cancellation or expiration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Letter of Credit (except to the extent cash collateralized or backstopped, in each case, in a manner agreed to by the Borrower and the applicable Issuing Bank or as to which other arrangements satisfactory to the applicable Issuing Bank shall have been made) and (iii) the payment in full in cash of all Loans and other amounts owing to any Lender, any Agent, the Lead Arranger or the Bilateral Lender in respect of the Obligations (other than contingent or indemnification obligations not then due), including obligations in respect of Hedging Agreements and Banking Services Obligations, as the case may be, shall have been made to the Borrower or as may be directed by any court of competent jurisdiction.</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43" w:name="page144"/>
    <w:bookmarkEnd w:id="143"/>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Amounts used to Cash Collateralize the aggregate undrawn amount of Letters of Credit pursuant to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Notwithstanding the foregoing, Obligations arising under Hedging Agreements and Banking Services Obligations shall be excluded from the application described above if the Applicable Administrative Agent has not received written notice thereof, together with such supporting documentation as such Administrative Agent may request, from the applicable Lender or its Affiliate, as the case may be.</w:t>
      </w:r>
    </w:p>
    <w:p>
      <w:pPr>
        <w:spacing w:after="0" w:line="18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ADMINISTRATIVE AGENTS, THE COLLATERAL AGENTS,</w:t>
      </w:r>
    </w:p>
    <w:p>
      <w:pPr>
        <w:jc w:val="center"/>
        <w:spacing w:after="0"/>
        <w:rPr>
          <w:sz w:val="20"/>
          <w:szCs w:val="20"/>
          <w:color w:val="auto"/>
        </w:rPr>
      </w:pPr>
      <w:r>
        <w:rPr>
          <w:rFonts w:ascii="Times New Roman" w:cs="Times New Roman" w:eastAsia="Times New Roman" w:hAnsi="Times New Roman"/>
          <w:sz w:val="22"/>
          <w:szCs w:val="22"/>
          <w:b w:val="1"/>
          <w:bCs w:val="1"/>
          <w:color w:val="auto"/>
        </w:rPr>
        <w:t>THE ISSUING BANKS AND THE SWING LINE LENDERS</w:t>
      </w:r>
    </w:p>
    <w:p>
      <w:pPr>
        <w:spacing w:after="0" w:line="14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Section 8.01 </w:t>
      </w:r>
      <w:r>
        <w:rPr>
          <w:rFonts w:ascii="Times New Roman" w:cs="Times New Roman" w:eastAsia="Times New Roman" w:hAnsi="Times New Roman"/>
          <w:sz w:val="21"/>
          <w:szCs w:val="21"/>
          <w:b w:val="1"/>
          <w:bCs w:val="1"/>
          <w:i w:val="1"/>
          <w:iCs w:val="1"/>
          <w:color w:val="auto"/>
        </w:rPr>
        <w:t>Appointment and Authority</w:t>
      </w:r>
      <w:r>
        <w:rPr>
          <w:rFonts w:ascii="Times New Roman" w:cs="Times New Roman" w:eastAsia="Times New Roman" w:hAnsi="Times New Roman"/>
          <w:sz w:val="21"/>
          <w:szCs w:val="21"/>
          <w:color w:val="auto"/>
        </w:rPr>
        <w:t>. Each of the Lenders, the Swing Line Lenders and the Issuing Banks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irrevocably appoints RBC to act on its behalf as the Administrative Agent and the U.S. Collateral Agent hereunder and under the other Loan Documents. Each of the Lenders and the Issuing Banks hereby irrevocably appoints RBC to act on its behalf as the Canadian Administrative Agent and Canadian Collateral Agent hereunder and under the other Loan Documents. Each of the Lenders and the Issuing Banks hereby irrevocably appoints RBC Europe to act on its behalf as the Australian Administrative Agent and Australian Collateral Agent hereunder and under the other Loan Documents. Each of the Lenders, the Swing Line Lenders and the Issuing Banks authorizes each Agent to take such actions on its behalf and to exercise such powers as are delegated to such Agent by the terms hereof or thereof, together with such actions and powers as are reasonably incidental thereto. The provisions of this Article are solely for the benefit of the Agents, the Lenders and the Issuing Bank, and no Loan Party shall have rights as a third party beneficiary of any of such provisions. Each of the Secured Parties hereby acknowledges and confirms their agreement that the Collateral Agents are subject to certain Security Documents as trustee for and on behalf of the Lenders or the terms of the declaration of trust and other terms and conditions set forth in the applicable Security Documents.</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8.02 </w:t>
      </w:r>
      <w:r>
        <w:rPr>
          <w:rFonts w:ascii="Times New Roman" w:cs="Times New Roman" w:eastAsia="Times New Roman" w:hAnsi="Times New Roman"/>
          <w:sz w:val="22"/>
          <w:szCs w:val="22"/>
          <w:b w:val="1"/>
          <w:bCs w:val="1"/>
          <w:i w:val="1"/>
          <w:iCs w:val="1"/>
          <w:color w:val="auto"/>
        </w:rPr>
        <w:t>Rights as a Lender</w:t>
      </w:r>
      <w:r>
        <w:rPr>
          <w:rFonts w:ascii="Times New Roman" w:cs="Times New Roman" w:eastAsia="Times New Roman" w:hAnsi="Times New Roman"/>
          <w:sz w:val="22"/>
          <w:szCs w:val="22"/>
          <w:color w:val="auto"/>
        </w:rPr>
        <w:t>. The person serving as an Agent or an Issuing Bank or a Swing Line Lender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the same rights and powers in its capacity as a Lender as any other Lender and may exercise the same as though it were not an Agent, an Issuing Bank or a Swing Line Lender and the term “Lender” or “Lenders” shall, unless otherwise expressly indicated or unless the context otherwise requires, include the person serving as an Agent, an Issuing Bank or a Swing Line Lender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an Agent, an Issuing Bank or a Swing Line Lender hereunder and without any duty to account therefor to the Lenders.</w:t>
      </w:r>
    </w:p>
    <w:p>
      <w:pPr>
        <w:spacing w:after="0" w:line="8"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8.03 </w:t>
      </w:r>
      <w:r>
        <w:rPr>
          <w:rFonts w:ascii="Times New Roman" w:cs="Times New Roman" w:eastAsia="Times New Roman" w:hAnsi="Times New Roman"/>
          <w:sz w:val="22"/>
          <w:szCs w:val="22"/>
          <w:b w:val="1"/>
          <w:bCs w:val="1"/>
          <w:i w:val="1"/>
          <w:iCs w:val="1"/>
          <w:color w:val="auto"/>
        </w:rPr>
        <w:t>Exculpatory Provisions</w:t>
      </w:r>
      <w:r>
        <w:rPr>
          <w:rFonts w:ascii="Times New Roman" w:cs="Times New Roman" w:eastAsia="Times New Roman" w:hAnsi="Times New Roman"/>
          <w:sz w:val="22"/>
          <w:szCs w:val="22"/>
          <w:color w:val="auto"/>
        </w:rPr>
        <w:t>. None of the Agents, Issuing Banks or the Swing Line Lenders shall have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duties or obligations except those expressly set forth herein and in the other Loan Documents. Without limiting the generality of the foregoing, none of the Agents or the Issuing Banks:</w:t>
      </w:r>
    </w:p>
    <w:p>
      <w:pPr>
        <w:ind w:left="1940" w:hanging="636"/>
        <w:spacing w:after="0" w:line="207" w:lineRule="auto"/>
        <w:tabs>
          <w:tab w:leader="none" w:pos="194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subject to any fiduciary or other implied duties, regardless of whether a Default has occurred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continuing;</w:t>
      </w:r>
    </w:p>
    <w:p>
      <w:pPr>
        <w:spacing w:after="0" w:line="200" w:lineRule="exact"/>
        <w:rPr>
          <w:sz w:val="20"/>
          <w:szCs w:val="20"/>
          <w:color w:val="auto"/>
        </w:rPr>
      </w:pPr>
    </w:p>
    <w:p>
      <w:pPr>
        <w:spacing w:after="0" w:line="3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1" w:right="339" w:bottom="1440" w:gutter="0" w:footer="0" w:header="0"/>
        </w:sectPr>
      </w:pPr>
    </w:p>
    <w:bookmarkStart w:id="144" w:name="page145"/>
    <w:bookmarkEnd w:id="144"/>
    <w:p>
      <w:pPr>
        <w:jc w:val="both"/>
        <w:ind w:firstLine="1304"/>
        <w:spacing w:after="0" w:line="225" w:lineRule="auto"/>
        <w:tabs>
          <w:tab w:leader="none" w:pos="1939"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have any duty to take any discretionary action or exercise any discretionary powers, except discretionary rights and powers expressly contemplated hereby or by the other Loan Documents that such Agent, Issuing Bank or Swing Line Lender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Agent, Issuing Bank or Swing Line Lender shall not be required to take any action that, in its opinion or the opinion of its counsel, may expose such Agent, Issuing Bank or Swing Line Lender to liability or that is contrary to any Loan Document or legal requirement; and</w:t>
      </w:r>
    </w:p>
    <w:p>
      <w:pPr>
        <w:spacing w:after="0" w:line="153"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except as expressly set forth herein and in the other Loan Documents, have any duty to disclose, and shall not be liable for the failure to disclose, any information relating to the Parent Borrower or any of its Affiliates or Subsidiaries that is communicated to or obtained by the person serving as Agent, Issuing Bank, Swing Line Lender or any of their respective Affiliates in any capacity.</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None of the Agents or the Issuing Banks shall be liable for any action taken or not taken by it (i) with the consent or at the request of the Required Lenders (or such other number or percentage of the Lenders as shall be necessary, or as such Agent or Issuing Bank shall believe in good faith shall be necessary, under the circumstances as provided in Section 9.08) or (ii) in the absence of its own gross negligence or willful misconduct. None of the Agents, the Issuing Banks and the Swing Line Lenders shall be deemed to have knowledge of any Default unless and until notice describing such Default is given to such Agent, Issuing Bank or Swing Line Lender by a Borrower, a Loan Party, a Lender or an Issuing Bank.</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None of the Agents, Issuing Banks or the Swing Line Lenders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such Agent, Issuing Bank or Swing Line Lender or satisfaction of any condition that expressly refers to the matters described therein being acceptable or satisfactory to such Agent, Issuing Bank or Swing Line Lender.</w:t>
      </w:r>
    </w:p>
    <w:p>
      <w:pPr>
        <w:spacing w:after="0" w:line="14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8.04 </w:t>
      </w:r>
      <w:r>
        <w:rPr>
          <w:rFonts w:ascii="Times New Roman" w:cs="Times New Roman" w:eastAsia="Times New Roman" w:hAnsi="Times New Roman"/>
          <w:sz w:val="22"/>
          <w:szCs w:val="22"/>
          <w:b w:val="1"/>
          <w:bCs w:val="1"/>
          <w:i w:val="1"/>
          <w:iCs w:val="1"/>
          <w:color w:val="auto"/>
        </w:rPr>
        <w:t>Reliance by the Agents, the Issuing Banks and the Swing Line Lenders</w:t>
      </w:r>
      <w:r>
        <w:rPr>
          <w:rFonts w:ascii="Times New Roman" w:cs="Times New Roman" w:eastAsia="Times New Roman" w:hAnsi="Times New Roman"/>
          <w:sz w:val="22"/>
          <w:szCs w:val="22"/>
          <w:color w:val="auto"/>
        </w:rPr>
        <w:t>. Each of the Agents, Issuing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Banks and the Swing Line Lenders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Agents, the Issuing Banks and the Swing Line Lenders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an Agent may presume that such condition is satisfactory to such</w:t>
      </w:r>
    </w:p>
    <w:p>
      <w:pPr>
        <w:spacing w:after="0" w:line="3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45" w:name="page146"/>
    <w:bookmarkEnd w:id="145"/>
    <w:p>
      <w:pPr>
        <w:jc w:val="both"/>
        <w:spacing w:after="0" w:line="210" w:lineRule="auto"/>
        <w:rPr>
          <w:sz w:val="20"/>
          <w:szCs w:val="20"/>
          <w:color w:val="auto"/>
        </w:rPr>
      </w:pPr>
      <w:r>
        <w:rPr>
          <w:rFonts w:ascii="Times New Roman" w:cs="Times New Roman" w:eastAsia="Times New Roman" w:hAnsi="Times New Roman"/>
          <w:sz w:val="22"/>
          <w:szCs w:val="22"/>
          <w:color w:val="auto"/>
        </w:rPr>
        <w:t>Lender or Issuing Bank unless such Agent shall have received notice to the contrary from such Lender or Issuing Bank prior to the making of such Loan or the issuance of such Letter of Credit. An Agent, Issuing Bank or Swing Line Lender may consult with legal counsel (who may be counsel for a Loan Party), independent accountants and other experts selected by it, and shall not be liable for any action taken or not taken by it in accordance with the advice of any such counsel, accountants or experts.</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8.05 </w:t>
      </w:r>
      <w:r>
        <w:rPr>
          <w:rFonts w:ascii="Times New Roman" w:cs="Times New Roman" w:eastAsia="Times New Roman" w:hAnsi="Times New Roman"/>
          <w:sz w:val="22"/>
          <w:szCs w:val="22"/>
          <w:b w:val="1"/>
          <w:bCs w:val="1"/>
          <w:i w:val="1"/>
          <w:iCs w:val="1"/>
          <w:color w:val="auto"/>
        </w:rPr>
        <w:t>Delegation of Duties</w:t>
      </w:r>
      <w:r>
        <w:rPr>
          <w:rFonts w:ascii="Times New Roman" w:cs="Times New Roman" w:eastAsia="Times New Roman" w:hAnsi="Times New Roman"/>
          <w:sz w:val="22"/>
          <w:szCs w:val="22"/>
          <w:color w:val="auto"/>
        </w:rPr>
        <w:t>. Each of the Agents may perform any and all of its duties and exercise its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powers hereunder or under any other Loan Document by or through any one or more sub-agents appointed by such Agent. Each of the Agents and any of their respective sub-agents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w:t>
      </w:r>
    </w:p>
    <w:p>
      <w:pPr>
        <w:ind w:left="660"/>
        <w:spacing w:after="0" w:line="220"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8.06</w:t>
      </w:r>
      <w:r>
        <w:rPr>
          <w:sz w:val="20"/>
          <w:szCs w:val="20"/>
          <w:color w:val="auto"/>
        </w:rPr>
        <w:tab/>
      </w:r>
      <w:r>
        <w:rPr>
          <w:rFonts w:ascii="Times New Roman" w:cs="Times New Roman" w:eastAsia="Times New Roman" w:hAnsi="Times New Roman"/>
          <w:sz w:val="21"/>
          <w:szCs w:val="21"/>
          <w:b w:val="1"/>
          <w:bCs w:val="1"/>
          <w:i w:val="1"/>
          <w:iCs w:val="1"/>
          <w:color w:val="auto"/>
        </w:rPr>
        <w:t>Resignation of an Agent or a Swing Line Lender</w:t>
      </w:r>
      <w:r>
        <w:rPr>
          <w:rFonts w:ascii="Times New Roman" w:cs="Times New Roman" w:eastAsia="Times New Roman" w:hAnsi="Times New Roman"/>
          <w:sz w:val="21"/>
          <w:szCs w:val="21"/>
          <w:color w:val="auto"/>
        </w:rPr>
        <w:t>.</w:t>
      </w:r>
    </w:p>
    <w:p>
      <w:pPr>
        <w:jc w:val="both"/>
        <w:ind w:firstLine="1304"/>
        <w:spacing w:after="0" w:line="224" w:lineRule="auto"/>
        <w:tabs>
          <w:tab w:leader="none" w:pos="1941"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Agent may resign at any time by giving prior written notice thereof to the Lenders and the Parent Borrower, such resignation to be effective upon the appointment of a successor Agent or, if no successor Agent has been appointed, forty-five (45) days after the retiring Agent gives notice of its intention to resign. Upon any such resignation, the Required U.S. Lenders shall have the right to appoint, on behalf of the Borrowers and the U.S. Lenders, a successor Administrative Agent or U.S. Collateral Agent, which shall be a financial institution with an office in New York City. Upon any such resignation, the Required Canadian Revolving Lenders shall have the right to appoint, on behalf of the Parent Borrower and the Lenders, a successor Canadian Administrative Agent or Canadian Collateral Agent, which shall be a financial institution with an office in New York City. Upon any such resignation, the Required Australian Lenders shall have the right to appoint, on behalf of the Australian Borrower and the Lenders, a successor Australian Administrative Agent or Australian Collateral Agent, which shall be a financial institution with an office in New York City. If no successor Agent shall have been so appointed by the Applicable Required Lenders within thirty (30) days after the resigning Agent’s giving notice of its intention to resign, then the resigning Agent may appoint, on behalf of the Borrowers and the Lenders, a successor Agent. If either the Administrative Agent, the Canadian Administrative Agent or the Australian Administrative Agent has resigned and no successor Agent has been appointed, the Applicable Required Lenders may perform all the duties of such Agent hereunder and the Borrowers shall make all payments in respect of the Obligations to the applicable Lender and for all other purposes shall deal directly with the Required Lenders until such successor Agent shall have been appointed as provided herein. No successor Agent shall be deemed to be appointed hereunder until such successor Agent has accepted the appointment or, in the case of a successor U.S. Collateral Agent, Canadian Collateral Agent or Australian Collateral Agent, upon the execution and filing or recording of such financing statements, or amendments thereto, and such amendments or supplements to the Security Documents, and such other instruments or notices, as may be necessary or desirable, or as the Applicable Required Lenders may reasonably request, in order to continue the perfection of the Liens granted or purported to be granted by the Security Documents. Upon the acceptance of any appointment as Administrative Agent or Collateral Agent hereunder by a successor Agent, such successor Agent shall thereupon succeed to and become vested with all the rights, powers, privileges and duties of the resigning Agent. Upon the effectiveness of the resignation of an Administrative Agent or Collateral Agent, the resigning Agent shall be discharged from its duties and obligations hereunder and under the Loan Documents. After the effectiveness of the resignation of an Agent, the provisions of this Article VIII shall continue in effect for the benefit of such Agent in respect of any actions taken or omitted to be taken by it while it was acting as an Agent hereunder and under the other Loan Documents.</w:t>
      </w: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46" w:name="page147"/>
    <w:bookmarkEnd w:id="146"/>
    <w:p>
      <w:pPr>
        <w:jc w:val="both"/>
        <w:ind w:firstLine="1304"/>
        <w:spacing w:after="0" w:line="209" w:lineRule="auto"/>
        <w:tabs>
          <w:tab w:leader="none" w:pos="193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by RBC as Administrative Agent pursuant to this Section shall also constitute its resignation as an Issuing Bank under the U.S. Revolving Credit Facility and as the U.S. Swing Line Lender. Any resignation by RBC as Canadian Administrative Agent pursuant to this Section shall also constitute its resignation as an Issuing Bank under the Canadian Revolving Credit Facility and as the Canadian Swing Line Lender. Any resignation by RBC Europe as Australian Administrative Agent pursuant to this Section shall also constitute its resignation as an Issuing Bank under the Australian Revolving Credit Facility. Upon the acceptance of a successor’s appointment as the Administrative Agent, Canadian Administrative Agent or Australian Administrative Agent hereunder, (a) such successor shall succeed to and become vested with all of the rights, powers, privileges and duties of the retiring Issuing Bank and, in the case of the Administrative Agent or Canadian Administrative Agent, the retiring Swing Line Lender, (b) the retiring Issuing Bank and, in the case of the Administrative Agent or Canadian Administrative Agent, the retiring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 satisfactory to the retiring Issuing Bank to effectively assume the obligations of the retiring Issuing Bank with respect to such Letters of Credit.</w:t>
      </w:r>
    </w:p>
    <w:p>
      <w:pPr>
        <w:spacing w:after="0" w:line="155"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Swing Line Lender may resign at any time by giving prior written notice thereof to the Administrative Agent and the U.S. Borrowers, such resignation to be effective upon the appointment of a successor U.S. Swing Line Lender or, if no successor U.S. Swing Line Lender has been appointed, forty-five (45) days after the retiring U.S. Swing Line Lender gives notice of its intention to resign. Upon any such resignation, the U.S. Borrowers shall have the right to appoint a successor U.S. Swing Line Lender. The Canadian Swing Line Lender may resign at any time by giving prior written notice thereof to the Canadian Administrative Agent and the Parent Borrower, such resignation to be effective upon the appointment of a successor Canadian Swing Line Lender or, if no successor Canadian Swing Line Lender has been appointed, forty-five (45) days after the retiring Canadian Swing Line Lender gives notice of its intention to resign. Upon any such resignation, the Parent Borrower shall have the right to appoint a successor Canadian Swing Line Lender. No Swing Line Lender shall be deemed to be appointed hereunder until such successor Swing Line Lender has accepted the appointment. Upon the acceptance of any appointment as Swing Line Lender hereunder by a successor Swing Line Lender, such successor Swing Line Lender shall thereupon succeed to and become vested with all the rights, powers, privileges and duties of the resigning Swing Line Lender. Upon the effectiveness of the resignation of a Swing Line Lender, the resigning Swing Line Lender shall be discharged from its duties and obligations hereunder and under the Loan Documents. After the effectiveness of the resignation of a Swing Line Lender, the provisions of this Article VIII shall continue in effect for the benefit of such Swing Line Lender in respect of any actions taken or omitted to be taken by it while it was acting as a Swing Line Lender hereunder and under the other Loan Documents.</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8.07</w:t>
      </w:r>
      <w:r>
        <w:rPr>
          <w:sz w:val="20"/>
          <w:szCs w:val="20"/>
          <w:color w:val="auto"/>
        </w:rPr>
        <w:tab/>
      </w:r>
      <w:r>
        <w:rPr>
          <w:rFonts w:ascii="Times New Roman" w:cs="Times New Roman" w:eastAsia="Times New Roman" w:hAnsi="Times New Roman"/>
          <w:sz w:val="21"/>
          <w:szCs w:val="21"/>
          <w:b w:val="1"/>
          <w:bCs w:val="1"/>
          <w:i w:val="1"/>
          <w:iCs w:val="1"/>
          <w:color w:val="auto"/>
        </w:rPr>
        <w:t>Non-Reliance on Agents and Other Lenders; Certain Acknowledgments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0" w:lineRule="auto"/>
        <w:tabs>
          <w:tab w:leader="none" w:pos="194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Issuing Bank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and Issuing Bank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In this regard, each party hereto</w:t>
      </w: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47" w:name="page148"/>
    <w:bookmarkEnd w:id="147"/>
    <w:p>
      <w:pPr>
        <w:jc w:val="both"/>
        <w:spacing w:after="0" w:line="215" w:lineRule="auto"/>
        <w:rPr>
          <w:sz w:val="20"/>
          <w:szCs w:val="20"/>
          <w:color w:val="auto"/>
        </w:rPr>
      </w:pPr>
      <w:r>
        <w:rPr>
          <w:rFonts w:ascii="Times New Roman" w:cs="Times New Roman" w:eastAsia="Times New Roman" w:hAnsi="Times New Roman"/>
          <w:sz w:val="22"/>
          <w:szCs w:val="22"/>
          <w:color w:val="auto"/>
        </w:rPr>
        <w:t>acknowledges that (i) Latham &amp; Watkins LLP is acting in this transaction as special counsel to the Administrative Agent and U.S. Collateral Agent only, (ii) Borden Ladner Gervais LLP is acting in this transaction as special counsel to the Canadian Administrative Agent and Canadian Collateral Agent only and (iii) Arnold Bloch Leibler is acting in this transaction as special counsel to the Australian Administrative Agent and Australian Collateral Agent only. Each other party hereto will consult with its own legal counsel to the extent that it deems necessary in connection with the Loan Documents and the matters contemplated therein.</w:t>
      </w:r>
    </w:p>
    <w:p>
      <w:pPr>
        <w:spacing w:after="0" w:line="152" w:lineRule="exact"/>
        <w:rPr>
          <w:sz w:val="20"/>
          <w:szCs w:val="20"/>
          <w:color w:val="auto"/>
        </w:rPr>
      </w:pPr>
    </w:p>
    <w:p>
      <w:pPr>
        <w:jc w:val="both"/>
        <w:ind w:firstLine="1304"/>
        <w:spacing w:after="0" w:line="217" w:lineRule="auto"/>
        <w:tabs>
          <w:tab w:leader="none" w:pos="193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be deemed by delivering its signature page to this Agreement and making any Loan on the Closing Date to have consented to, approved or accepted each Loan Document and each other document or other matter referred to in Sections 4.01 or 4.02 required to be consented to or approved by or acceptable or satisfactory to the Agents, the Lead Arranger or the Lenders and to have been satisfied with the satisfaction of all other conditions precedent required to be satisfied under Sections 4.01 or 4.02.</w:t>
      </w:r>
    </w:p>
    <w:p>
      <w:pPr>
        <w:spacing w:after="0" w:line="146"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b w:val="1"/>
          <w:bCs w:val="1"/>
          <w:color w:val="auto"/>
        </w:rPr>
        <w:t xml:space="preserve">Section 8.08 </w:t>
      </w:r>
      <w:r>
        <w:rPr>
          <w:rFonts w:ascii="Times New Roman" w:cs="Times New Roman" w:eastAsia="Times New Roman" w:hAnsi="Times New Roman"/>
          <w:sz w:val="22"/>
          <w:szCs w:val="22"/>
          <w:b w:val="1"/>
          <w:bCs w:val="1"/>
          <w:i w:val="1"/>
          <w:iCs w:val="1"/>
          <w:color w:val="auto"/>
        </w:rPr>
        <w:t>Indemnification</w:t>
      </w:r>
      <w:r>
        <w:rPr>
          <w:rFonts w:ascii="Times New Roman" w:cs="Times New Roman" w:eastAsia="Times New Roman" w:hAnsi="Times New Roman"/>
          <w:sz w:val="22"/>
          <w:szCs w:val="22"/>
          <w:color w:val="auto"/>
        </w:rPr>
        <w:t>. The Lenders severally agree to indemnify upon demand the Agents, the Issuing Banks,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Swing Line Lenders and each Related Party of any of the foregoing (to the extent not reimbursed by the Loan Parties), according to their respective ratable shares, and hold harmless such Indemnitee from and against any and all Indemnified Liabilities in all cases, whether or not caused by or arising, in whole or in part, out of the negligence of any Related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 </w:t>
      </w:r>
      <w:r>
        <w:rPr>
          <w:rFonts w:ascii="Times New Roman" w:cs="Times New Roman" w:eastAsia="Times New Roman" w:hAnsi="Times New Roman"/>
          <w:sz w:val="22"/>
          <w:szCs w:val="22"/>
          <w:color w:val="auto"/>
        </w:rPr>
        <w:t>that no Lender shall be liable for (a) the payment to any Indemnitee for any portion of such Indemnified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Liabilities to the extent determined in a final, non-appealable judgment by a court of competent jurisdiction to have resulted from such Indemnitee’s own gross negligence or willful misconduct and (b) claims made or legal proceedings commenced against such Indemnitee by any security holder or creditor thereof arising out of and based on rights afforded any such security holder or creditor solely in its capacity as such; </w:t>
      </w:r>
      <w:r>
        <w:rPr>
          <w:rFonts w:ascii="Times New Roman" w:cs="Times New Roman" w:eastAsia="Times New Roman" w:hAnsi="Times New Roman"/>
          <w:sz w:val="22"/>
          <w:szCs w:val="22"/>
          <w:i w:val="1"/>
          <w:iCs w:val="1"/>
          <w:color w:val="auto"/>
        </w:rPr>
        <w:t>provided further, however,</w:t>
      </w:r>
      <w:r>
        <w:rPr>
          <w:rFonts w:ascii="Times New Roman" w:cs="Times New Roman" w:eastAsia="Times New Roman" w:hAnsi="Times New Roman"/>
          <w:sz w:val="22"/>
          <w:szCs w:val="22"/>
          <w:color w:val="auto"/>
        </w:rPr>
        <w:t xml:space="preserve"> that no action taken in accordance with the directions of the Applicable Required Lenders shall be deemed to constitute gross negligence or willful misconduct for purposes of this Section. Without limitation of the foregoing, each Lender agrees to reimburse the Agents, the Issuing Banks, the Swing Line Lenders and each Related Party promptly upon demand for its ratable share of any out-of-pocket expenses (including all fees, expenses and disbursements of any law firm or other external counsel) incurred by an Agent, an Issuing Bank or a Swing Line Lender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such Agent, Issuing Bank or Swing Line Lender is not reimbursed for such by the Loan Parties. The undertaking in this Section shall survive termination of the Commitments, the payment of all other Obligations and the resignation of such Agent, Issuing Bank or Swing Line Lender.</w:t>
      </w:r>
    </w:p>
    <w:p>
      <w:pPr>
        <w:ind w:left="660"/>
        <w:spacing w:after="0" w:line="224"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8.09</w:t>
      </w:r>
      <w:r>
        <w:rPr>
          <w:sz w:val="20"/>
          <w:szCs w:val="20"/>
          <w:color w:val="auto"/>
        </w:rPr>
        <w:tab/>
      </w:r>
      <w:r>
        <w:rPr>
          <w:rFonts w:ascii="Times New Roman" w:cs="Times New Roman" w:eastAsia="Times New Roman" w:hAnsi="Times New Roman"/>
          <w:sz w:val="21"/>
          <w:szCs w:val="21"/>
          <w:b w:val="1"/>
          <w:bCs w:val="1"/>
          <w:i w:val="1"/>
          <w:iCs w:val="1"/>
          <w:color w:val="auto"/>
        </w:rPr>
        <w:t>Collateral and Guaranty Matters</w:t>
      </w:r>
      <w:r>
        <w:rPr>
          <w:rFonts w:ascii="Times New Roman" w:cs="Times New Roman" w:eastAsia="Times New Roman" w:hAnsi="Times New Roman"/>
          <w:sz w:val="21"/>
          <w:szCs w:val="21"/>
          <w:color w:val="auto"/>
        </w:rPr>
        <w:t>.</w:t>
      </w:r>
    </w:p>
    <w:p>
      <w:pPr>
        <w:jc w:val="both"/>
        <w:ind w:firstLine="1304"/>
        <w:spacing w:after="0" w:line="209" w:lineRule="auto"/>
        <w:tabs>
          <w:tab w:leader="none" w:pos="194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(as a Lender and in its capacity as a potential provider of Banking Services, as a potential counterparty to a Hedging Agreement or, in the case of the Bilateral Lender, as lender under the Bilateral Agreement) and each other Secured Party (by their acceptance of the benefits of any Lien encumbering Collateral) acknowledges and agrees that the Collateral Agents have entered into the Security Documents on behalf of itself and the Secured Parties, and the Secured Parties hereby agree to be bound by the terms of such Security Documents, acknowledge receipt of copies of such Security Documents and consent to the rights, powers, remedies, indemnities and exculpations given to such Collateral Agent thereunder. All rights, powers and remedies available to the Collateral Agents and the Secured Parties with respect to the Collateral, or otherwise pursuant to the Security Documents, shall be subject to the provisions of such Security Documents.</w:t>
      </w:r>
    </w:p>
    <w:p>
      <w:pPr>
        <w:spacing w:after="0" w:line="200" w:lineRule="exact"/>
        <w:rPr>
          <w:sz w:val="20"/>
          <w:szCs w:val="20"/>
          <w:color w:val="auto"/>
        </w:rPr>
      </w:pPr>
    </w:p>
    <w:p>
      <w:pPr>
        <w:spacing w:after="0" w:line="3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48" w:name="page149"/>
    <w:bookmarkEnd w:id="148"/>
    <w:p>
      <w:pPr>
        <w:jc w:val="both"/>
        <w:ind w:firstLine="1304"/>
        <w:spacing w:after="0" w:line="231" w:lineRule="auto"/>
        <w:tabs>
          <w:tab w:leader="none" w:pos="1939"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(as a Lender and in its capacity as a potential provider of Banking Services, as a potential counterparty to a Hedging Agreement or, in the case of the Bilateral Lender, as lender under the Bilateral Agreement) and each other Secured Party (by their acceptance of the benefits of any Lien encumbering Collateral) hereby authorizes the Collateral Agents, at their option and in their discretion, without the necessity of any notice to or further consent from the Secured Parties:</w:t>
      </w:r>
    </w:p>
    <w:p>
      <w:pPr>
        <w:spacing w:after="0" w:line="150" w:lineRule="exact"/>
        <w:rPr>
          <w:rFonts w:ascii="Times New Roman" w:cs="Times New Roman" w:eastAsia="Times New Roman" w:hAnsi="Times New Roman"/>
          <w:sz w:val="21"/>
          <w:szCs w:val="21"/>
          <w:color w:val="auto"/>
        </w:rPr>
      </w:pPr>
    </w:p>
    <w:p>
      <w:pPr>
        <w:jc w:val="both"/>
        <w:ind w:left="660" w:firstLine="1292"/>
        <w:spacing w:after="0" w:line="225" w:lineRule="auto"/>
        <w:tabs>
          <w:tab w:leader="none" w:pos="259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Lien on any property granted to or held by the Collateral Agent under any Security Document (i) if expressly permitted by Section 6.03, Section 6.05, Section 9.20 or any Security Document or (ii) subject to Section 9.08, if approved, authorized or ratified in writing by the Required Lenders;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any actions with respect to any Collateral or Security Documents which may be necessary to perfect and maintain a first priority security interest in and Liens upon the Collateral granted pursuant to the Security Documents;</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604"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any action in exigent circumstances as may be reasonably necessary to preserve any rights or privileges of the Secured Parties under the Loan Documents or applicable law; and</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subordinate any Lien on any property granted to or held by the Collateral Agent under any Loan Document to the holder of any Lien on such property that is permitted by Section 6.02(j).</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Collateral Agent at any time, the Secured Parties will confirm in writing the Collateral Agent’s authority to release particular types or items of Collateral pursuant to this Section 8.09.</w:t>
      </w:r>
    </w:p>
    <w:p>
      <w:pPr>
        <w:spacing w:after="0" w:line="150"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hereby irrevocably appoints each Collateral Agent as such Loan Party’s attorney-in-fact, with full authority to, after the occurrence and during the continuance of an Event of Default, act for such Loan Party and in the name of such Loan Party to, in such Collateral Agent’s discretion upon the occurrence and during the continuance of an Event of Default, (i) file one or more financing or continuation statements, and amendments thereto, relative to all or any part of the Collateral without the signature of such Loan Party where permitted by law, (ii) to receive, endorse, and collect any drafts or other instruments, documents, and chattel paper which are part of the Collateral, (iii) to ask, demand, collect, sue for, recover, compromise, receive, and give acquittance and receipts for moneys due and to become due under or in respect of any of the Collateral, (iv) to file any claims or take any action or institute any proceedings which such Collateral Agent may reasonably deem necessary or desirable for the collection of any of the Collateral or otherwise to enforce the rights of such Collateral Agent with respect to any of the Collateral and (v) if any Loan Party fails to perform any covenant contained in this Agreement or the other Security Documents relating to the Collateral after the expiration of any applicable grace periods, such Collateral Agent may itself perform, or cause performance of, such covenant, and such Loan Party shall pay for the expenses of the Collateral Agent incurred in connection therewith in accordance with Section 9.05. The power of attorney granted hereby is coupled with an interest and is irrevocable.</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powers conferred on the Collateral Agents under this Agreement and the other Security Documents are solely to protect their respective interest in the Collateral and shall not impose any duty upon it to exercise any such powers. Beyond the safe custody thereof, each Collateral Agent and each Secured Party shall have no duty with respect to any Collateral in its possession or control (or in the possession or control of any agent or bailee) or with respect to</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49" w:name="page150"/>
    <w:bookmarkEnd w:id="149"/>
    <w:p>
      <w:pPr>
        <w:jc w:val="both"/>
        <w:spacing w:after="0" w:line="215" w:lineRule="auto"/>
        <w:rPr>
          <w:sz w:val="20"/>
          <w:szCs w:val="20"/>
          <w:color w:val="auto"/>
        </w:rPr>
      </w:pPr>
      <w:r>
        <w:rPr>
          <w:rFonts w:ascii="Times New Roman" w:cs="Times New Roman" w:eastAsia="Times New Roman" w:hAnsi="Times New Roman"/>
          <w:sz w:val="22"/>
          <w:szCs w:val="22"/>
          <w:color w:val="auto"/>
        </w:rPr>
        <w:t>any income thereon or the preservation of rights against prior parties or any other rights pertaining thereto. Each Collateral Agent shall be deemed to have exercised reasonable care in the custody and preservation of the Collateral in its possession if the Collateral is accorded treatment substantially equal to that which such Collateral Agent accords its own property. None of the Agents, any Lender or any other Secured Party shall be liable or responsible for any loss or damage to any of the Collateral, or for any diminution in the value thereof, by reason of the act or omission of any warehouseman, carrier, forwarding agency, consignee, broker or other agent or bailee selected by the Parent Borrower or selected by an Agent in good faith.</w:t>
      </w:r>
    </w:p>
    <w:p>
      <w:pPr>
        <w:spacing w:after="0" w:line="152" w:lineRule="exact"/>
        <w:rPr>
          <w:sz w:val="20"/>
          <w:szCs w:val="20"/>
          <w:color w:val="auto"/>
        </w:rPr>
      </w:pPr>
    </w:p>
    <w:p>
      <w:pPr>
        <w:jc w:val="both"/>
        <w:ind w:firstLine="1304"/>
        <w:spacing w:after="0" w:line="209" w:lineRule="auto"/>
        <w:tabs>
          <w:tab w:leader="none" w:pos="194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any of the Loan Documents to the contrary notwithstanding, the Borrowers, the Agents and each Secured Party hereby agree that (i) no Secured Party shall have any right individually to realize upon any of the Collateral or to enforce any of the Guarantees in the Guarantee Agreements or any other Security Document, it being understood and agreed that all powers, rights and remedies hereunder may be exercised solely by the Applicable Administrative Agent, on behalf of the applicable Secured Parties in accordance with the terms hereof, and all powers, rights and remedies under the Security Documents may be exercised solely by the Applicable Collateral Agents, and (ii) in the event of a foreclosure or similar enforcement action by the Collateral Agent on any of the Collateral pursuant to a public or private sale or other disposition (including, without limitation, pursuant to Section 363(k), Section 1129(b)(2)(a)(ii) or otherwise of the Bankruptcy Code), the Collateral Agents (or any Lender, except with respect to a “credit bid” pursuant to Section 363(k), Section 1129(b)(2)(a)(ii) or otherwise of the Bankruptcy Code,) may be the purchaser or licensor of any or all of such Collateral at any such sale or other disposition and the Collateral Agents, as agent for and representative of the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Agents at such sale or other disposition.</w:t>
      </w:r>
    </w:p>
    <w:p>
      <w:pPr>
        <w:spacing w:after="0" w:line="145"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8.10 </w:t>
      </w:r>
      <w:r>
        <w:rPr>
          <w:rFonts w:ascii="Times New Roman" w:cs="Times New Roman" w:eastAsia="Times New Roman" w:hAnsi="Times New Roman"/>
          <w:sz w:val="22"/>
          <w:szCs w:val="22"/>
          <w:b w:val="1"/>
          <w:bCs w:val="1"/>
          <w:i w:val="1"/>
          <w:iCs w:val="1"/>
          <w:color w:val="auto"/>
        </w:rPr>
        <w:t>No Other Duties, etc.</w:t>
      </w:r>
      <w:r>
        <w:rPr>
          <w:rFonts w:ascii="Times New Roman" w:cs="Times New Roman" w:eastAsia="Times New Roman" w:hAnsi="Times New Roman"/>
          <w:sz w:val="22"/>
          <w:szCs w:val="22"/>
          <w:color w:val="auto"/>
        </w:rPr>
        <w:t>. Anything herein to the contrary notwithstanding, no Lead Arranger or Bookrunner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listed on the cover page hereof shall have any powers, duties or responsibilities under this Agreement or any of the other Loan Documents, except in its capacity, as applicable, as an Agent, a Lender or an Issuing Bank.</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8.11 </w:t>
      </w:r>
      <w:r>
        <w:rPr>
          <w:rFonts w:ascii="Times New Roman" w:cs="Times New Roman" w:eastAsia="Times New Roman" w:hAnsi="Times New Roman"/>
          <w:sz w:val="22"/>
          <w:szCs w:val="22"/>
          <w:b w:val="1"/>
          <w:bCs w:val="1"/>
          <w:i w:val="1"/>
          <w:iCs w:val="1"/>
          <w:color w:val="auto"/>
        </w:rPr>
        <w:t>Agents May File Proofs of Claim</w:t>
      </w:r>
      <w:r>
        <w:rPr>
          <w:rFonts w:ascii="Times New Roman" w:cs="Times New Roman" w:eastAsia="Times New Roman" w:hAnsi="Times New Roman"/>
          <w:sz w:val="22"/>
          <w:szCs w:val="22"/>
          <w:color w:val="auto"/>
        </w:rPr>
        <w:t>. In case of the pendency of any proceeding under any Insolvency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judicial proceeding relative to any Loan Party, the Administrative Agent (irrespective of whether the principal of any Loan or L/C Disbursement shall then be due and payable as herein expressed or by declaration or otherwise and irrespective of whether an Agent shall have made any demand on a Borrower) shall be entitled and empowered, by intervention in such proceeding or otherwise:</w:t>
      </w:r>
    </w:p>
    <w:p>
      <w:pPr>
        <w:spacing w:after="0" w:line="5" w:lineRule="exact"/>
        <w:rPr>
          <w:sz w:val="20"/>
          <w:szCs w:val="20"/>
          <w:color w:val="auto"/>
        </w:rPr>
      </w:pPr>
    </w:p>
    <w:p>
      <w:pPr>
        <w:jc w:val="both"/>
        <w:ind w:firstLine="1304"/>
        <w:spacing w:after="0" w:line="210" w:lineRule="auto"/>
        <w:tabs>
          <w:tab w:leader="none" w:pos="194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L/C Disbursements and all other Obligations (other than obligations of the Parent Borrower or its Subsidiaries owing to any Lender or Affiliate thereof pursuant to any Hedging Agreement, any Banking Services Obligations or the Bilateral Obligations) that are owing and unpaid and to file such other documents as may be necessary or advisable in order to have the claims of the Lenders, the Issuing Banks and the Agents (including any claim for the reasonable expenses, disbursements and advances of the Lenders, the Issuing Bank and the Agents and all other amounts due the Lenders, the Issuing Banks and the Agents under Sections 2.05 and 9.05) allowed in such judicial proceeding; and</w:t>
      </w:r>
    </w:p>
    <w:p>
      <w:pPr>
        <w:spacing w:after="0" w:line="14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the same.</w:t>
      </w: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50" w:name="page151"/>
    <w:bookmarkEnd w:id="150"/>
    <w:p>
      <w:pPr>
        <w:jc w:val="both"/>
        <w:spacing w:after="0" w:line="272" w:lineRule="auto"/>
        <w:rPr>
          <w:sz w:val="20"/>
          <w:szCs w:val="20"/>
          <w:color w:val="auto"/>
        </w:rPr>
      </w:pPr>
      <w:r>
        <w:rPr>
          <w:rFonts w:ascii="Times New Roman" w:cs="Times New Roman" w:eastAsia="Times New Roman" w:hAnsi="Times New Roman"/>
          <w:sz w:val="21"/>
          <w:szCs w:val="21"/>
          <w:color w:val="auto"/>
        </w:rPr>
        <w:t>Any custodian, receiver, assignee, trustee, liquidator, sequestrator or other similar official in any such judicial proceeding is hereby authorized by each Lender and Issuing Bank to make such payments to such Agent and, if such Agent shall consent to the making of such payments directly to the Lenders and the Issuing Banks, to pay to such Agent any amount due for the reasonable expenses, disbursements and advances of such Agent, and any other amounts due such Agent under Sections 2.05 and 9.05.</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Nothing contained herein shall be deemed to authorize any Agent to authorize or consent to or accept or adopt on behalf of any Lender or Issuing Bank any plan of reorganization, arrangement, adjustment or composition affecting the Obligations or the rights of any Lender or Issuing Bank to authorize Agent to vote in respect of the claim of any Lender or Issuing Bank or in any such proceeding.</w:t>
      </w:r>
    </w:p>
    <w:p>
      <w:pPr>
        <w:spacing w:after="0" w:line="15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8.12</w:t>
      </w:r>
      <w:r>
        <w:rPr>
          <w:sz w:val="20"/>
          <w:szCs w:val="20"/>
          <w:color w:val="auto"/>
        </w:rPr>
        <w:tab/>
      </w:r>
      <w:r>
        <w:rPr>
          <w:rFonts w:ascii="Times New Roman" w:cs="Times New Roman" w:eastAsia="Times New Roman" w:hAnsi="Times New Roman"/>
          <w:sz w:val="21"/>
          <w:szCs w:val="21"/>
          <w:b w:val="1"/>
          <w:bCs w:val="1"/>
          <w:i w:val="1"/>
          <w:iCs w:val="1"/>
          <w:color w:val="auto"/>
        </w:rPr>
        <w:t>Certain ERISA Matters</w:t>
      </w:r>
      <w:r>
        <w:rPr>
          <w:rFonts w:ascii="Times New Roman" w:cs="Times New Roman" w:eastAsia="Times New Roman" w:hAnsi="Times New Roman"/>
          <w:sz w:val="21"/>
          <w:szCs w:val="21"/>
          <w:color w:val="auto"/>
        </w:rPr>
        <w:t>.</w:t>
      </w:r>
    </w:p>
    <w:p>
      <w:pPr>
        <w:ind w:left="1940" w:hanging="636"/>
        <w:spacing w:after="0" w:line="216" w:lineRule="auto"/>
        <w:tabs>
          <w:tab w:leader="none" w:pos="1940"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w:t>
      </w:r>
    </w:p>
    <w:p>
      <w:pPr>
        <w:jc w:val="both"/>
        <w:ind w:right="20" w:firstLine="8"/>
        <w:spacing w:after="0" w:line="214" w:lineRule="auto"/>
        <w:tabs>
          <w:tab w:leader="none" w:pos="33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from the date such Person became a Lender party hereto to the date such Person ceases being a Lender party hereto, for the benefit of, the Applicable Administrative Agent, the Lead Arranger and their respective Affiliates, and not, for the avoidance of doubt, to or for the benefit of the Applicable Borrower or any other Loan Party, that at least one of the following is and will be true:</w:t>
      </w:r>
    </w:p>
    <w:p>
      <w:pPr>
        <w:spacing w:after="0" w:line="153"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the Plan Asset Regulations) of one or more Benefit Plans in connection with the Loans, the Letters of Credit or the Commitments,</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598"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604"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w:t>
      </w:r>
      <w:r>
        <w:rPr>
          <w:rFonts w:ascii="Times New Roman" w:cs="Times New Roman" w:eastAsia="Times New Roman" w:hAnsi="Times New Roman"/>
          <w:sz w:val="22"/>
          <w:szCs w:val="22"/>
          <w:i w:val="1"/>
          <w:iCs w:val="1"/>
          <w:color w:val="auto"/>
        </w:rPr>
        <w:t>Qualified Professional Asset Manager</w:t>
      </w:r>
      <w:r>
        <w:rPr>
          <w:rFonts w:ascii="Times New Roman" w:cs="Times New Roman" w:eastAsia="Times New Roman" w:hAnsi="Times New Roman"/>
          <w:sz w:val="22"/>
          <w:szCs w:val="22"/>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139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1" w:right="339" w:bottom="1440" w:gutter="0" w:footer="0" w:header="0"/>
        </w:sectPr>
      </w:pPr>
    </w:p>
    <w:bookmarkStart w:id="151" w:name="page152"/>
    <w:bookmarkEnd w:id="151"/>
    <w:p>
      <w:pPr>
        <w:ind w:left="660" w:firstLine="1292"/>
        <w:spacing w:after="0" w:line="236" w:lineRule="auto"/>
        <w:tabs>
          <w:tab w:leader="none" w:pos="2592"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Applicable Administrative Agent, in its sole discretion, and such Lender.</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Section 8.12(a)(i) is true with respect to a Lender or such Lender has not provided another representation, warranty and covenant as provided in Section 8.12(a)(iv), such Lender further (x) represents and warrants, as of the date such Person became a Lender party hereto, to, and (y) covenants, from the date such Person became a Lender party hereto to the date such Person ceases being a Lender party hereto, for the benefit of, the Applicable Administrative Agent, and each Arranger and their respective Affiliates, and not, for the avoidance of doubt, to or for the benefit of the Applicable Borrower or any other Loan Party, that none of the Applicable Administrative Agent, or any Arranger or any of their respective Affiliates is a fiduciary with respect to the Collateral or the assets of such Lender (including in connection with the reservation or exercise of any rights by the Applicable Administrative Agent under this Agreement, any Loan Document or any documents related to hereto or thereto).</w:t>
      </w:r>
    </w:p>
    <w:p>
      <w:pPr>
        <w:spacing w:after="0" w:line="15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Administrative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8.13</w:t>
      </w:r>
      <w:r>
        <w:rPr>
          <w:sz w:val="20"/>
          <w:szCs w:val="20"/>
          <w:color w:val="auto"/>
        </w:rPr>
        <w:tab/>
      </w:r>
      <w:r>
        <w:rPr>
          <w:rFonts w:ascii="Times New Roman" w:cs="Times New Roman" w:eastAsia="Times New Roman" w:hAnsi="Times New Roman"/>
          <w:sz w:val="21"/>
          <w:szCs w:val="21"/>
          <w:b w:val="1"/>
          <w:bCs w:val="1"/>
          <w:i w:val="1"/>
          <w:iCs w:val="1"/>
          <w:color w:val="auto"/>
        </w:rPr>
        <w:t>Erroneous Payments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07" w:lineRule="auto"/>
        <w:tabs>
          <w:tab w:leader="none" w:pos="194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notifies a Lender, Issuing Bank or Secured Party, or any Person who has received funds on behalf of a Lender, Issuing Bank or Secured Party (any such Lender, Issuing Bank, Secured Party or other recipient, a “</w:t>
      </w:r>
      <w:r>
        <w:rPr>
          <w:rFonts w:ascii="Times New Roman" w:cs="Times New Roman" w:eastAsia="Times New Roman" w:hAnsi="Times New Roman"/>
          <w:sz w:val="22"/>
          <w:szCs w:val="22"/>
          <w:i w:val="1"/>
          <w:iCs w:val="1"/>
          <w:color w:val="auto"/>
        </w:rPr>
        <w:t>Payment Recipient</w:t>
      </w:r>
      <w:r>
        <w:rPr>
          <w:rFonts w:ascii="Times New Roman" w:cs="Times New Roman" w:eastAsia="Times New Roman" w:hAnsi="Times New Roman"/>
          <w:sz w:val="22"/>
          <w:szCs w:val="22"/>
          <w:color w:val="auto"/>
        </w:rPr>
        <w:t>”) that the Administrative Agent has determined in its sole reasonable discretion that any funds received by such Payment Recipient from the Administrative Agent or any of its Affiliates were 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in same day funds (in the currency so received), the amount of any such Erroneous Payment (or portion thereof), together with interest thereon in respect of each day from and including the date such Erroneous Payment (or portion thereof) was received by such Payment Recipient to the date such amount is repaid to the Administrative Agent (i) in respect of amounts under the U.S. Revolving Credit Facility only, at the greater of the Federal Funds Effective Rate and a rate determined by the Administrative Agent in accordance with prevailing banking industry rules on</w:t>
      </w: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4" w:right="339" w:bottom="1440" w:gutter="0" w:footer="0" w:header="0"/>
        </w:sectPr>
      </w:pPr>
    </w:p>
    <w:bookmarkStart w:id="152" w:name="page153"/>
    <w:bookmarkEnd w:id="152"/>
    <w:p>
      <w:pPr>
        <w:jc w:val="both"/>
        <w:spacing w:after="0" w:line="212" w:lineRule="auto"/>
        <w:rPr>
          <w:sz w:val="20"/>
          <w:szCs w:val="20"/>
          <w:color w:val="auto"/>
        </w:rPr>
      </w:pPr>
      <w:r>
        <w:rPr>
          <w:rFonts w:ascii="Times New Roman" w:cs="Times New Roman" w:eastAsia="Times New Roman" w:hAnsi="Times New Roman"/>
          <w:sz w:val="22"/>
          <w:szCs w:val="22"/>
          <w:color w:val="auto"/>
        </w:rPr>
        <w:t>interbank compensation from time to time in effect, or (ii) in respect of the Canadian Revolving Credit Facility only, at a rate determined by the Canadian Administrative Agent in accordance with prevailing banking industry rules on interbank compensation from time to time in effect.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A notice of the Administrative Agent to any Payment Recipient under this clause (a) shall be conclusive, absent manifest error.</w:t>
      </w:r>
    </w:p>
    <w:p>
      <w:pPr>
        <w:spacing w:after="0" w:line="156" w:lineRule="exact"/>
        <w:rPr>
          <w:sz w:val="20"/>
          <w:szCs w:val="20"/>
          <w:color w:val="auto"/>
        </w:rPr>
      </w:pPr>
    </w:p>
    <w:p>
      <w:pPr>
        <w:jc w:val="both"/>
        <w:ind w:firstLine="1304"/>
        <w:spacing w:after="0" w:line="208" w:lineRule="auto"/>
        <w:tabs>
          <w:tab w:leader="none" w:pos="193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Payment Recipient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(the “</w:t>
      </w:r>
      <w:r>
        <w:rPr>
          <w:rFonts w:ascii="Times New Roman" w:cs="Times New Roman" w:eastAsia="Times New Roman" w:hAnsi="Times New Roman"/>
          <w:sz w:val="22"/>
          <w:szCs w:val="22"/>
          <w:i w:val="1"/>
          <w:iCs w:val="1"/>
          <w:color w:val="auto"/>
        </w:rPr>
        <w:t>Payment Notice</w:t>
      </w:r>
      <w:r>
        <w:rPr>
          <w:rFonts w:ascii="Times New Roman" w:cs="Times New Roman" w:eastAsia="Times New Roman" w:hAnsi="Times New Roman"/>
          <w:sz w:val="22"/>
          <w:szCs w:val="22"/>
          <w:color w:val="auto"/>
        </w:rPr>
        <w:t>”), or (y) that was not preceded or accompanied by a Payment Notice sent by the Administrative Agent (or any of its Affiliates), then, said Payment Recipient shall be on notice, in each case, that an error has been made with respect to such Erroneous Payment. Each Payment Recipient agrees that, in each such case, or if it otherwise becomes aware an Erroneous Payment (or portion thereof) may have been sent in error, such Payment Recipient shall promptly notify the Administrative Agent of such occurrence and, upon demand from the Administrative Agent, it shall promptly, but in no event later than one Business Day thereafter, return to the Administrative Agent the amount of any such Erroneous Payment (or portion thereof) in same day funds (in the currency so received), together with interest thereon in respect of each day from and including the date such Erroneous Payment (or portion thereof) was received by such Payment Recipient to the date such amount is repaid to the Administrative Agent (i) in respect of amounts under the U.S. Revolving Credit Facility only, at the greater of the Federal Funds Effective Rate and a rate determined by the Administrative Agent in accordance with prevailing banking industry rules on interbank compensation from time to time in effect, or (ii) in respect of the Canadian Revolving Credit Facility only, at a rate determined by the Canadian Administrative Agent in accordance with prevailing banking industry rules on interbank compensation from time to time in effect.</w:t>
      </w:r>
    </w:p>
    <w:p>
      <w:pPr>
        <w:spacing w:after="0" w:line="164"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Payment Recipient hereby authorizes the Administrative Agent to set off, net and apply any and all amounts at any time owing to such Payment Recipient under any Loan Document, or otherwise payable or distributable by the Administrative Agent to such Payment Recipient from any source, against any amount due to the Administrative Agent under any of the immediately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under the indemnification provisions of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 Erroneous Payment (or portion thereof) is not recovered by the Administrative Agent for any reason, after demand therefor by the Administrative Agent (such unrecovered amount, an “</w:t>
      </w:r>
      <w:r>
        <w:rPr>
          <w:rFonts w:ascii="Times New Roman" w:cs="Times New Roman" w:eastAsia="Times New Roman" w:hAnsi="Times New Roman"/>
          <w:sz w:val="22"/>
          <w:szCs w:val="22"/>
          <w:i w:val="1"/>
          <w:iCs w:val="1"/>
          <w:color w:val="auto"/>
        </w:rPr>
        <w:t>Erroneous Payment Return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Deficiency</w:t>
      </w:r>
      <w:r>
        <w:rPr>
          <w:rFonts w:ascii="Times New Roman" w:cs="Times New Roman" w:eastAsia="Times New Roman" w:hAnsi="Times New Roman"/>
          <w:sz w:val="22"/>
          <w:szCs w:val="22"/>
          <w:color w:val="auto"/>
        </w:rPr>
        <w:t>”), the Borrowers and each other Loan Party hereby agrees that (x) the Administrative Agent shall be subrogated to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rights of such Payment Recipient with respect to such amount (including, without limitation, the right to sell and assign the Loans (or any portion thereof), which were subject to the Erroneous Payment Return Deficiency) and (y)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such Erroneous Payment. For the avoidance of doubt, no assignment of an Erroneous Payment</w:t>
      </w:r>
    </w:p>
    <w:p>
      <w:pPr>
        <w:spacing w:after="0" w:line="200" w:lineRule="exact"/>
        <w:rPr>
          <w:sz w:val="20"/>
          <w:szCs w:val="20"/>
          <w:color w:val="auto"/>
        </w:rPr>
      </w:pPr>
    </w:p>
    <w:p>
      <w:pPr>
        <w:spacing w:after="0" w:line="3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53" w:name="page154"/>
    <w:bookmarkEnd w:id="153"/>
    <w:p>
      <w:pPr>
        <w:jc w:val="both"/>
        <w:spacing w:after="0" w:line="215" w:lineRule="auto"/>
        <w:rPr>
          <w:sz w:val="20"/>
          <w:szCs w:val="20"/>
          <w:color w:val="auto"/>
        </w:rPr>
      </w:pPr>
      <w:r>
        <w:rPr>
          <w:rFonts w:ascii="Times New Roman" w:cs="Times New Roman" w:eastAsia="Times New Roman" w:hAnsi="Times New Roman"/>
          <w:sz w:val="22"/>
          <w:szCs w:val="22"/>
          <w:color w:val="auto"/>
        </w:rPr>
        <w:t>Deficiency will reduce the Commitments of any Payment Recipient and such Commitments shall remain available in accordance with the terms of this Agreement. In addition, each party hereto agrees that, except to the extent that the Administrative Agent has sold a Loan (or portion thereof) acquired pursuant to the assignment of an Erroneous Payment Deficiency, and irrespective of whether the Administrative Agent may be equitably subrogated, the Administrative Agent shall be contractually subrogated to all the rights and interests of the applicable Payment Recipient under the Loan Documents with respect to each Erroneous Payment Return Deficiency.</w:t>
      </w:r>
    </w:p>
    <w:p>
      <w:pPr>
        <w:spacing w:after="0" w:line="152" w:lineRule="exact"/>
        <w:rPr>
          <w:sz w:val="20"/>
          <w:szCs w:val="20"/>
          <w:color w:val="auto"/>
        </w:rPr>
      </w:pPr>
    </w:p>
    <w:p>
      <w:pPr>
        <w:jc w:val="both"/>
        <w:ind w:firstLine="1304"/>
        <w:spacing w:after="0" w:line="220" w:lineRule="auto"/>
        <w:tabs>
          <w:tab w:leader="none" w:pos="194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agreements and waivers under this Section 8.13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8.13, each Lender:</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it is executing and delivering this Agreement with respect to this Section 8.13 both on its own behalf and as agent for and on behalf of its Affiliates referred to in this Section 8.13 and any person receiving funds under or pursuant to any of the Loan Documents on behalf of such Lender or any of such Affiliates;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warrants, covenants and agrees that its Affiliates referred to in this Section 8.13 and any person receiving funds under or pursuant to any of the Loan Documents on behalf of such Lender or any of such Affiliates are bound by the provisions of this Section 8.13;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604"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any matter or thing done or omitted to be done by such Lender, its Affiliates or any person receiving funds under or pursuant to any of the Loan Documents on behalf of such Lender or any of such Affiliates which are the subject of this Section 8.13 will be binding upon such Lender and each Lender does hereby indemnify and save the Agent and its Affiliates harmless from any and all losses, expenses, claims, demands or other liabilities of the Agent and its Affiliates resulting from the failure of such Lender, its Affiliates or such persons to comply with their obligations under and in respect of this Section 8.13, in each case, in accordance with and subject to the limitations in Section 9.08.</w:t>
      </w:r>
    </w:p>
    <w:p>
      <w:pPr>
        <w:spacing w:after="0" w:line="17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6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9.01</w:t>
      </w:r>
      <w:r>
        <w:rPr>
          <w:sz w:val="20"/>
          <w:szCs w:val="20"/>
          <w:color w:val="auto"/>
        </w:rPr>
        <w:tab/>
      </w:r>
      <w:r>
        <w:rPr>
          <w:rFonts w:ascii="Times New Roman" w:cs="Times New Roman" w:eastAsia="Times New Roman" w:hAnsi="Times New Roman"/>
          <w:sz w:val="21"/>
          <w:szCs w:val="21"/>
          <w:b w:val="1"/>
          <w:bCs w:val="1"/>
          <w:i w:val="1"/>
          <w:iCs w:val="1"/>
          <w:color w:val="auto"/>
        </w:rPr>
        <w:t>Notices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18" w:lineRule="auto"/>
        <w:tabs>
          <w:tab w:leader="none" w:pos="194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Generally. </w:t>
      </w:r>
      <w:r>
        <w:rPr>
          <w:rFonts w:ascii="Times New Roman" w:cs="Times New Roman" w:eastAsia="Times New Roman" w:hAnsi="Times New Roman"/>
          <w:sz w:val="22"/>
          <w:szCs w:val="22"/>
          <w:color w:val="auto"/>
        </w:rPr>
        <w:t>Except in the case of notices and other communications expressly permitted to be given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telephone (and except as provided in paragraph (b) below), notices and other communications provided for herein or (except as</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54" w:name="page155"/>
    <w:bookmarkEnd w:id="154"/>
    <w:p>
      <w:pPr>
        <w:spacing w:after="0" w:line="236" w:lineRule="auto"/>
        <w:rPr>
          <w:sz w:val="20"/>
          <w:szCs w:val="20"/>
          <w:color w:val="auto"/>
        </w:rPr>
      </w:pPr>
      <w:r>
        <w:rPr>
          <w:rFonts w:ascii="Times New Roman" w:cs="Times New Roman" w:eastAsia="Times New Roman" w:hAnsi="Times New Roman"/>
          <w:sz w:val="22"/>
          <w:szCs w:val="22"/>
          <w:color w:val="auto"/>
        </w:rPr>
        <w:t>otherwise provided therein) any other Loan Document shall be in writing and shall be delivered by hand or overnight courier service, mailed by certified or registered mail or sent by fax or electronic transmission (in .pdf format), as follows:</w:t>
      </w:r>
    </w:p>
    <w:p>
      <w:pPr>
        <w:spacing w:after="0" w:line="150" w:lineRule="exact"/>
        <w:rPr>
          <w:sz w:val="20"/>
          <w:szCs w:val="20"/>
          <w:color w:val="auto"/>
        </w:rPr>
      </w:pPr>
    </w:p>
    <w:p>
      <w:pPr>
        <w:jc w:val="both"/>
        <w:ind w:left="660" w:firstLine="1292"/>
        <w:spacing w:after="0" w:line="225" w:lineRule="auto"/>
        <w:tabs>
          <w:tab w:leader="none" w:pos="2592"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Parent Borrower, to it at Three Allen Center, 333 Clay Street, Suite 4400, Houston, Texas 77002, Attention of Director, Treasury &amp; Risk Management (Fax No. (713) 510-2499; Email: jeremiah.carter@civeo.com);</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U.S. Borrower, to it at Three Allen Center, 333 Clay Street, Suite 4400, Houston, Texas 77002, Attention of Director, Treasury &amp; Risk Management (Fax No. (713) 510-2499; Email: jeremiah.carter@civeo.com);</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6" w:lineRule="auto"/>
        <w:tabs>
          <w:tab w:leader="none" w:pos="2604"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Australian Borrower, to it at Civeo Pty Limited, c/o Civeo Corporation, Three Allen Center, 333 Clay Street, Suite 4400, Houston, Texas 77002, Attention of Director, Treasury &amp; Risk Management (Fax No.</w:t>
      </w:r>
    </w:p>
    <w:p>
      <w:pPr>
        <w:spacing w:after="0" w:line="1" w:lineRule="exact"/>
        <w:rPr>
          <w:rFonts w:ascii="Times New Roman" w:cs="Times New Roman" w:eastAsia="Times New Roman" w:hAnsi="Times New Roman"/>
          <w:sz w:val="21"/>
          <w:szCs w:val="21"/>
          <w:color w:val="auto"/>
        </w:rPr>
      </w:pPr>
    </w:p>
    <w:p>
      <w:pPr>
        <w:ind w:left="1180" w:hanging="524"/>
        <w:spacing w:after="0"/>
        <w:tabs>
          <w:tab w:leader="none" w:pos="118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510-2499; Email: jeremiah.carter@civeo.com);</w:t>
      </w:r>
    </w:p>
    <w:p>
      <w:pPr>
        <w:spacing w:after="0" w:line="155" w:lineRule="exact"/>
        <w:rPr>
          <w:rFonts w:ascii="Times New Roman" w:cs="Times New Roman" w:eastAsia="Times New Roman" w:hAnsi="Times New Roman"/>
          <w:sz w:val="22"/>
          <w:szCs w:val="22"/>
          <w:color w:val="auto"/>
        </w:rPr>
      </w:pPr>
    </w:p>
    <w:p>
      <w:pPr>
        <w:jc w:val="both"/>
        <w:ind w:left="660" w:firstLine="1292"/>
        <w:spacing w:after="0" w:line="207" w:lineRule="auto"/>
        <w:tabs>
          <w:tab w:leader="none" w:pos="2592"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or the U.S. Collateral Agent, to Royal Bank of Canada, at 155 Wellington Street West,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Toronto, Ontario M5V 3K7, Attention: Manager, Agency Services Group (Email: rbcmagnt@rbccm.com);</w:t>
      </w:r>
    </w:p>
    <w:p>
      <w:pPr>
        <w:spacing w:after="0" w:line="149" w:lineRule="exact"/>
        <w:rPr>
          <w:rFonts w:ascii="Times New Roman" w:cs="Times New Roman" w:eastAsia="Times New Roman" w:hAnsi="Times New Roman"/>
          <w:sz w:val="22"/>
          <w:szCs w:val="22"/>
          <w:color w:val="auto"/>
        </w:rPr>
      </w:pPr>
    </w:p>
    <w:p>
      <w:pPr>
        <w:jc w:val="both"/>
        <w:ind w:left="660" w:firstLine="1292"/>
        <w:spacing w:after="0" w:line="207" w:lineRule="auto"/>
        <w:tabs>
          <w:tab w:leader="none" w:pos="2599"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Canadian Administrative Agent or the Canadian Collateral Agent, to Royal Bank of Canada, at 155 Wellington Street West,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Toronto, Ontario M5V 3K7, Attention: Manager, Agency Services Group (Fax No. (416) 842-4023; Email: rbcmagnt@rbccm.com);</w:t>
      </w:r>
    </w:p>
    <w:p>
      <w:pPr>
        <w:spacing w:after="0" w:line="14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Australian Administrative Agent or the Australian Collateral Agent, to RBC Europe Limited, at RBC Europe Limited, Thames Court, One Queenhithe, London, EC4V 3DQ, United Kingdom, Attention: Manager Loans Agency (Fax No. +44 20 7029 7914; Email: rbcmagnt@rbccm.com); and</w:t>
      </w:r>
    </w:p>
    <w:p>
      <w:pPr>
        <w:spacing w:after="0" w:line="15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 Lender or an Issuing Bank, to it at its address (or fax number) set forth in its Administrative</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Questionnaire.</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 Any party may change its address for notices by giving notice of such change to each party in accordance with this Section 9.01;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Lender shall be required only to provide notice of such change to the Applicable Borrower and the Applicable Administrative Agent.</w:t>
      </w:r>
    </w:p>
    <w:p>
      <w:pPr>
        <w:spacing w:after="0" w:line="149" w:lineRule="exact"/>
        <w:rPr>
          <w:sz w:val="20"/>
          <w:szCs w:val="20"/>
          <w:color w:val="auto"/>
        </w:rPr>
      </w:pPr>
    </w:p>
    <w:p>
      <w:pPr>
        <w:jc w:val="both"/>
        <w:ind w:firstLine="1304"/>
        <w:spacing w:after="0" w:line="216" w:lineRule="auto"/>
        <w:tabs>
          <w:tab w:leader="none" w:pos="193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Communications</w:t>
      </w:r>
      <w:r>
        <w:rPr>
          <w:rFonts w:ascii="Times New Roman" w:cs="Times New Roman" w:eastAsia="Times New Roman" w:hAnsi="Times New Roman"/>
          <w:sz w:val="22"/>
          <w:szCs w:val="22"/>
          <w:color w:val="auto"/>
        </w:rPr>
        <w:t>. Notices and other communications to the Lenders and the Issuing Banks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hereunder may be delivered or furnished by electronic communication (including e-mail and Internet or intranet websites) pursuant to procedures approved by the Applicable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notices to any Lender or Issuing Bank pursuant to Article II if such Lender or Issuing Bank, as applicable, has notified the Applicable Administrative Agent that it is incapable of receiving notices under such Article by electronic communication. Each Administrative Agent or</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55" w:name="page156"/>
    <w:bookmarkEnd w:id="155"/>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Unless an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4" w:lineRule="exact"/>
        <w:rPr>
          <w:sz w:val="20"/>
          <w:szCs w:val="20"/>
          <w:color w:val="auto"/>
        </w:rPr>
      </w:pPr>
    </w:p>
    <w:p>
      <w:pPr>
        <w:jc w:val="both"/>
        <w:ind w:firstLine="1304"/>
        <w:spacing w:after="0" w:line="216" w:lineRule="auto"/>
        <w:tabs>
          <w:tab w:leader="none" w:pos="194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Effectiveness of Facsimile Documents and Signatures</w:t>
      </w:r>
      <w:r>
        <w:rPr>
          <w:rFonts w:ascii="Times New Roman" w:cs="Times New Roman" w:eastAsia="Times New Roman" w:hAnsi="Times New Roman"/>
          <w:sz w:val="22"/>
          <w:szCs w:val="22"/>
          <w:color w:val="auto"/>
        </w:rPr>
        <w:t>. Loan Documents may be transmitted and/or signed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by facsimile or in electronic (i.e., “pdf” or “tif”) format. The effectiveness of any such documents and signatures shall, subject to applicable law, have the same force and effect as manually-signed originals and shall be binding on all Loan Parties, the Agents and the Lenders. The Agents may also require that any such documents and signatures be confirmed by a manually-signed original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failure to request or deliver the same shall not limit the effectiveness of any facsimile document or signature.</w:t>
      </w:r>
    </w:p>
    <w:p>
      <w:pPr>
        <w:spacing w:after="0" w:line="145"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Platform</w:t>
      </w:r>
      <w:r>
        <w:rPr>
          <w:rFonts w:ascii="Times New Roman" w:cs="Times New Roman" w:eastAsia="Times New Roman" w:hAnsi="Times New Roman"/>
          <w:sz w:val="21"/>
          <w:szCs w:val="21"/>
          <w:color w:val="auto"/>
        </w:rPr>
        <w:t>. THE PLATFORM IS PROVIDED “AS IS” AND “AS AVAILABLE.” THE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any Agent or any of its Related Parties (collectively, the “</w:t>
      </w:r>
      <w:r>
        <w:rPr>
          <w:rFonts w:ascii="Times New Roman" w:cs="Times New Roman" w:eastAsia="Times New Roman" w:hAnsi="Times New Roman"/>
          <w:sz w:val="21"/>
          <w:szCs w:val="21"/>
          <w:i w:val="1"/>
          <w:iCs w:val="1"/>
          <w:color w:val="auto"/>
        </w:rPr>
        <w:t>Agent Parties</w:t>
      </w:r>
      <w:r>
        <w:rPr>
          <w:rFonts w:ascii="Times New Roman" w:cs="Times New Roman" w:eastAsia="Times New Roman" w:hAnsi="Times New Roman"/>
          <w:sz w:val="21"/>
          <w:szCs w:val="21"/>
          <w:color w:val="auto"/>
        </w:rPr>
        <w:t xml:space="preserve">”) have any liability to any Borrower, any Lender, any Issuing Bank or any other person for losses, claims, damages, liabilities or expenses of any kind (whether in tort, contract or otherwise) arising out of any Borrower’s or any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 </w:t>
      </w:r>
      <w:r>
        <w:rPr>
          <w:rFonts w:ascii="Times New Roman" w:cs="Times New Roman" w:eastAsia="Times New Roman" w:hAnsi="Times New Roman"/>
          <w:sz w:val="21"/>
          <w:szCs w:val="21"/>
          <w:color w:val="auto"/>
        </w:rPr>
        <w:t>that in no event shall any Agent Party have any liability to any Borrower, any Lender, any Issuing Bank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other person for indirect, special, incidental, consequential or punitive damages (as opposed to direct or actual damages).</w:t>
      </w:r>
    </w:p>
    <w:p>
      <w:pPr>
        <w:spacing w:after="0" w:line="155" w:lineRule="exact"/>
        <w:rPr>
          <w:rFonts w:ascii="Times New Roman" w:cs="Times New Roman" w:eastAsia="Times New Roman" w:hAnsi="Times New Roman"/>
          <w:sz w:val="21"/>
          <w:szCs w:val="21"/>
          <w:color w:val="auto"/>
        </w:rPr>
      </w:pPr>
    </w:p>
    <w:p>
      <w:pPr>
        <w:jc w:val="both"/>
        <w:ind w:firstLine="1304"/>
        <w:spacing w:after="0" w:line="218" w:lineRule="auto"/>
        <w:tabs>
          <w:tab w:leader="none" w:pos="194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Reliance by Agents, Issuing Banks and Lenders</w:t>
      </w:r>
      <w:r>
        <w:rPr>
          <w:rFonts w:ascii="Times New Roman" w:cs="Times New Roman" w:eastAsia="Times New Roman" w:hAnsi="Times New Roman"/>
          <w:sz w:val="22"/>
          <w:szCs w:val="22"/>
          <w:color w:val="auto"/>
        </w:rPr>
        <w:t>. Each of the Agents, Issuing Banks and the Lenders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entitled to rely and act upon any notices (including telephonic and electronically communicated (e-mailed) Borrowing Requests) purportedly given by or on behalf of a Loan Party even if (i) such notices were not made in a manner specified herein, were incomplete or were not preceded or followed by any other form of notice specified herein, or (ii) the terms thereof, as understood by the recipient, varied from any confirmation</w:t>
      </w: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56" w:name="page157"/>
    <w:bookmarkEnd w:id="156"/>
    <w:p>
      <w:pPr>
        <w:jc w:val="both"/>
        <w:spacing w:after="0" w:line="220" w:lineRule="auto"/>
        <w:rPr>
          <w:sz w:val="20"/>
          <w:szCs w:val="20"/>
          <w:color w:val="auto"/>
        </w:rPr>
      </w:pPr>
      <w:r>
        <w:rPr>
          <w:rFonts w:ascii="Times New Roman" w:cs="Times New Roman" w:eastAsia="Times New Roman" w:hAnsi="Times New Roman"/>
          <w:sz w:val="22"/>
          <w:szCs w:val="22"/>
          <w:color w:val="auto"/>
        </w:rPr>
        <w:t>thereof. The Borrowers shall indemnify the Agents, the Issuing Banks, each Lender and their Related Parties from all losses, costs, expenses and liabilities resulting from the reliance by such person on each notice purportedly given by or on behalf of any Borrower. All telephonic notices to and other communications with any Agent, Issuing Bank or Lender may be recorded by such Agent, Issuing Bank or Lender, and each of the parties hereto hereby consents to such recording.</w:t>
      </w:r>
    </w:p>
    <w:p>
      <w:pPr>
        <w:spacing w:after="0" w:line="146"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Section 9.02 </w:t>
      </w:r>
      <w:r>
        <w:rPr>
          <w:rFonts w:ascii="Times New Roman" w:cs="Times New Roman" w:eastAsia="Times New Roman" w:hAnsi="Times New Roman"/>
          <w:sz w:val="22"/>
          <w:szCs w:val="22"/>
          <w:b w:val="1"/>
          <w:bCs w:val="1"/>
          <w:i w:val="1"/>
          <w:iCs w:val="1"/>
          <w:color w:val="auto"/>
        </w:rPr>
        <w:t>Survival of Agreement</w:t>
      </w:r>
      <w:r>
        <w:rPr>
          <w:rFonts w:ascii="Times New Roman" w:cs="Times New Roman" w:eastAsia="Times New Roman" w:hAnsi="Times New Roman"/>
          <w:sz w:val="22"/>
          <w:szCs w:val="22"/>
          <w:color w:val="auto"/>
        </w:rPr>
        <w:t>. All covenants, agreements, representations and warranties made by a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and in the certificates or other instruments prepared or delivered in connection with or pursuant to this Agreement or any other Loan Document shall be considered to have been relied upon by the Lenders and the Issuing Banks and shall survive the making by the Lenders of the Loans and the issuance of Letters of Credit by the Issuing Banks, regardless of any investigation made by the Lenders or the Issuing Banks or on their behalf,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been terminated. The provisions of Sections 2.13, 2.15, 2.19, 9.05 and 9.16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the Administrative Agents, the Collateral Agents, any Lender or any Issuing Bank.</w:t>
      </w:r>
    </w:p>
    <w:p>
      <w:pPr>
        <w:spacing w:after="0" w:line="4" w:lineRule="exact"/>
        <w:rPr>
          <w:sz w:val="20"/>
          <w:szCs w:val="20"/>
          <w:color w:val="auto"/>
        </w:rPr>
      </w:pPr>
    </w:p>
    <w:p>
      <w:pPr>
        <w:jc w:val="both"/>
        <w:ind w:right="20"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9.03 </w:t>
      </w:r>
      <w:r>
        <w:rPr>
          <w:rFonts w:ascii="Times New Roman" w:cs="Times New Roman" w:eastAsia="Times New Roman" w:hAnsi="Times New Roman"/>
          <w:sz w:val="22"/>
          <w:szCs w:val="22"/>
          <w:b w:val="1"/>
          <w:bCs w:val="1"/>
          <w:i w:val="1"/>
          <w:iCs w:val="1"/>
          <w:color w:val="auto"/>
        </w:rPr>
        <w:t>Binding Effect</w:t>
      </w:r>
      <w:r>
        <w:rPr>
          <w:rFonts w:ascii="Times New Roman" w:cs="Times New Roman" w:eastAsia="Times New Roman" w:hAnsi="Times New Roman"/>
          <w:sz w:val="22"/>
          <w:szCs w:val="22"/>
          <w:color w:val="auto"/>
        </w:rPr>
        <w:t>. This Agreement shall become effective when it shall have been executed by the Borrowers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Administrative Agent and when the Administrative Agent shall have received counterparts hereof which, when taken together, bear the signatures of each of the other parties hereto.</w:t>
      </w:r>
    </w:p>
    <w:p>
      <w:pPr>
        <w:ind w:left="660"/>
        <w:spacing w:after="0" w:line="217"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9.04</w:t>
      </w:r>
      <w:r>
        <w:rPr>
          <w:sz w:val="20"/>
          <w:szCs w:val="20"/>
          <w:color w:val="auto"/>
        </w:rPr>
        <w:tab/>
      </w:r>
      <w:r>
        <w:rPr>
          <w:rFonts w:ascii="Times New Roman" w:cs="Times New Roman" w:eastAsia="Times New Roman" w:hAnsi="Times New Roman"/>
          <w:sz w:val="21"/>
          <w:szCs w:val="21"/>
          <w:b w:val="1"/>
          <w:bCs w:val="1"/>
          <w:i w:val="1"/>
          <w:iCs w:val="1"/>
          <w:color w:val="auto"/>
        </w:rPr>
        <w:t>Successors and Assigns</w:t>
      </w:r>
      <w:r>
        <w:rPr>
          <w:rFonts w:ascii="Times New Roman" w:cs="Times New Roman" w:eastAsia="Times New Roman" w:hAnsi="Times New Roman"/>
          <w:sz w:val="21"/>
          <w:szCs w:val="21"/>
          <w:i w:val="1"/>
          <w:iCs w:val="1"/>
          <w:color w:val="auto"/>
        </w:rPr>
        <w:t>.</w:t>
      </w:r>
    </w:p>
    <w:p>
      <w:pPr>
        <w:spacing w:after="0" w:line="1" w:lineRule="exact"/>
        <w:rPr>
          <w:sz w:val="20"/>
          <w:szCs w:val="20"/>
          <w:color w:val="auto"/>
        </w:rPr>
      </w:pPr>
    </w:p>
    <w:p>
      <w:pPr>
        <w:jc w:val="both"/>
        <w:ind w:firstLine="1304"/>
        <w:spacing w:after="0" w:line="207" w:lineRule="auto"/>
        <w:tabs>
          <w:tab w:leader="none" w:pos="194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terms and provisions of this Agreement and the other Loan Documents shall be binding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upon and inure to the benefit of the parties hereto and their respective successors and assigns permitted hereby, except that no Loan Party may assign or otherwise transfer any of its rights or obligations hereunder except as expressly permitted hereunder without the prior written consent of each Lender and no Lender may assign or otherwise transfer any of its rights or obligations hereunder except (i) to an Eligible Assignee in accordance with the provisions of paragraph (b) of this Section, (ii) by way of participation in accordance with the provisions of paragraph (d) of this Section, (iii) by way of pledge or assignment of a security interest subject to the restrictions of paragraph (f) or (h) of this Section or (iv) to an SPC in accordance with the provisions of paragraph (g) of this Section (and any other attempted assignment or transfer by any party hereto shall be null and void);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with respect to any such assignment under the Australian Revolving Credit Facility, if such assignment would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result in there being only one Australian Lender, such Lender shall acknowledge in the applicable Assignment and Acceptance that such assignment may have an effect on Australian Withholding Taxes in relation to interest payments made by the Australian Borrower.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Indemnitees) any legal or equitable right, remedy or claim under or by reason of this Agreement.</w:t>
      </w:r>
    </w:p>
    <w:p>
      <w:pPr>
        <w:spacing w:after="0" w:line="155"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by Lenders</w:t>
      </w:r>
      <w:r>
        <w:rPr>
          <w:rFonts w:ascii="Times New Roman" w:cs="Times New Roman" w:eastAsia="Times New Roman" w:hAnsi="Times New Roman"/>
          <w:sz w:val="22"/>
          <w:szCs w:val="22"/>
          <w:color w:val="auto"/>
        </w:rPr>
        <w:t>. Any Lender may at any time assign to one or more Eligible Assignees all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portion of its rights and obligations under this Agreement (including all or a portion of its Commitments (including, for purposes of this Section 9.04(b),</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57" w:name="page158"/>
    <w:bookmarkEnd w:id="157"/>
    <w:p>
      <w:pPr>
        <w:ind w:right="20"/>
        <w:spacing w:after="0" w:line="238" w:lineRule="auto"/>
        <w:rPr>
          <w:sz w:val="20"/>
          <w:szCs w:val="20"/>
          <w:color w:val="auto"/>
        </w:rPr>
      </w:pPr>
      <w:r>
        <w:rPr>
          <w:rFonts w:ascii="Times New Roman" w:cs="Times New Roman" w:eastAsia="Times New Roman" w:hAnsi="Times New Roman"/>
          <w:sz w:val="22"/>
          <w:szCs w:val="22"/>
          <w:color w:val="auto"/>
        </w:rPr>
        <w:t xml:space="preserve">participations in Letters of Credit and Swing Line Loans) and the Loans at the time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46" w:lineRule="exact"/>
        <w:rPr>
          <w:sz w:val="20"/>
          <w:szCs w:val="20"/>
          <w:color w:val="auto"/>
        </w:rPr>
      </w:pPr>
    </w:p>
    <w:p>
      <w:pPr>
        <w:ind w:left="2580" w:hanging="628"/>
        <w:spacing w:after="0"/>
        <w:tabs>
          <w:tab w:leader="none" w:pos="25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Amounts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300" w:firstLine="1300"/>
        <w:spacing w:after="0" w:line="236" w:lineRule="auto"/>
        <w:tabs>
          <w:tab w:leader="none" w:pos="3235"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case of an assignment of the entire remaining amount of the assigning Lender’s Commitment under any Facility or the Loans at the time owing to it under such Facility or in the case of an assignment to a Lender, an Affiliate of a Lender or an Approved Fund, no minimum amount need be assigned; and</w:t>
      </w:r>
    </w:p>
    <w:p>
      <w:pPr>
        <w:spacing w:after="0" w:line="151" w:lineRule="exact"/>
        <w:rPr>
          <w:rFonts w:ascii="Times New Roman" w:cs="Times New Roman" w:eastAsia="Times New Roman" w:hAnsi="Times New Roman"/>
          <w:sz w:val="19"/>
          <w:szCs w:val="19"/>
          <w:color w:val="auto"/>
        </w:rPr>
      </w:pPr>
    </w:p>
    <w:p>
      <w:pPr>
        <w:jc w:val="both"/>
        <w:ind w:left="1300" w:firstLine="1300"/>
        <w:spacing w:after="0" w:line="210" w:lineRule="auto"/>
        <w:tabs>
          <w:tab w:leader="none" w:pos="3238"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U.S.$5,000,000, unless each of the Applicable Administrative Agent and, so long as no Event of Default has occurred and is continuing, the Parent Borrower otherwise consents (each such consent not to be unreasonably withheld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53" w:lineRule="exact"/>
        <w:rPr>
          <w:rFonts w:ascii="Times New Roman" w:cs="Times New Roman" w:eastAsia="Times New Roman" w:hAnsi="Times New Roman"/>
          <w:sz w:val="20"/>
          <w:szCs w:val="20"/>
          <w:color w:val="auto"/>
        </w:rPr>
      </w:pPr>
    </w:p>
    <w:p>
      <w:pPr>
        <w:jc w:val="both"/>
        <w:ind w:left="660" w:firstLine="1292"/>
        <w:spacing w:after="0" w:line="221" w:lineRule="auto"/>
        <w:tabs>
          <w:tab w:leader="none" w:pos="2598"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Proportionate Amounts</w:t>
      </w:r>
      <w:r>
        <w:rPr>
          <w:rFonts w:ascii="Times New Roman" w:cs="Times New Roman" w:eastAsia="Times New Roman" w:hAnsi="Times New Roman"/>
          <w:sz w:val="22"/>
          <w:szCs w:val="22"/>
          <w:color w:val="auto"/>
        </w:rPr>
        <w:t>. Each partial assignment shall be made as an assignment of a proportionate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 of all the assigning Lender’s rights and obligations under this Agreement with respect to the Loan or the Commitment assigned, except that this clause (ii) shall not apply to the Applicable Swing Line Lender’s rights and obligations in respect of Swing Line Loans.</w:t>
      </w:r>
    </w:p>
    <w:p>
      <w:pPr>
        <w:spacing w:after="0" w:line="148" w:lineRule="exact"/>
        <w:rPr>
          <w:rFonts w:ascii="Times New Roman" w:cs="Times New Roman" w:eastAsia="Times New Roman" w:hAnsi="Times New Roman"/>
          <w:sz w:val="22"/>
          <w:szCs w:val="22"/>
          <w:color w:val="auto"/>
        </w:rPr>
      </w:pPr>
    </w:p>
    <w:p>
      <w:pPr>
        <w:ind w:left="660" w:firstLine="1292"/>
        <w:spacing w:after="0" w:line="238" w:lineRule="auto"/>
        <w:tabs>
          <w:tab w:leader="none" w:pos="260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Required Consents</w:t>
      </w:r>
      <w:r>
        <w:rPr>
          <w:rFonts w:ascii="Times New Roman" w:cs="Times New Roman" w:eastAsia="Times New Roman" w:hAnsi="Times New Roman"/>
          <w:sz w:val="22"/>
          <w:szCs w:val="22"/>
          <w:color w:val="auto"/>
        </w:rPr>
        <w:t>. No consent shall be required for any assignment except to the extent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paragraph (b)(i)(B) of this Section and, in addition:</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11" w:lineRule="auto"/>
        <w:tabs>
          <w:tab w:leader="none" w:pos="3235"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consent of the Parent Borrower (such consent not to be unreasonably withheld or delayed) shall be required for assignments in respect of the U.S. Revolving Credit Facility, the Canadian Revolving Credit Facility or the Australian Revolving Credit Facility, if such assignment is to a person that is not a Lender under the U.S. Revolving Credit Facility, the Canadian Revolving Credit Facility or the Australian Revolving Credit Facility, an Affiliate of such Lender or any Approved Fund with respect to such Lender,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such consent shall be required if an Event of Default shall have occurred and is continuing;</w:t>
      </w:r>
      <w:r>
        <w:rPr>
          <w:rFonts w:ascii="Times New Roman" w:cs="Times New Roman" w:eastAsia="Times New Roman" w:hAnsi="Times New Roman"/>
          <w:sz w:val="22"/>
          <w:szCs w:val="22"/>
          <w:i w:val="1"/>
          <w:iCs w:val="1"/>
          <w:color w:val="auto"/>
        </w:rPr>
        <w:t xml:space="preserve"> provided further </w:t>
      </w:r>
      <w:r>
        <w:rPr>
          <w:rFonts w:ascii="Times New Roman" w:cs="Times New Roman" w:eastAsia="Times New Roman" w:hAnsi="Times New Roman"/>
          <w:sz w:val="22"/>
          <w:szCs w:val="22"/>
          <w:color w:val="auto"/>
        </w:rPr>
        <w:t>that if the Parent Borrower shall fail to respond to a request for consent to an assignment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 (10) Business Days following receipt of such request, the Parent Borrower shall be deemed to have given such consent.</w:t>
      </w:r>
    </w:p>
    <w:p>
      <w:pPr>
        <w:spacing w:after="0" w:line="158" w:lineRule="exact"/>
        <w:rPr>
          <w:rFonts w:ascii="Times New Roman" w:cs="Times New Roman" w:eastAsia="Times New Roman" w:hAnsi="Times New Roman"/>
          <w:sz w:val="20"/>
          <w:szCs w:val="20"/>
          <w:color w:val="auto"/>
        </w:rPr>
      </w:pPr>
    </w:p>
    <w:p>
      <w:pPr>
        <w:ind w:left="1300" w:firstLine="1300"/>
        <w:spacing w:after="0" w:line="236" w:lineRule="auto"/>
        <w:tabs>
          <w:tab w:leader="none" w:pos="3238"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consent of the Applicable Administrative Agent (such consent not to be unreasonably withheld or delayed) shall be required for</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58" w:name="page159"/>
    <w:bookmarkEnd w:id="158"/>
    <w:p>
      <w:pPr>
        <w:jc w:val="both"/>
        <w:ind w:left="1300" w:right="20"/>
        <w:spacing w:after="0" w:line="220" w:lineRule="auto"/>
        <w:rPr>
          <w:sz w:val="20"/>
          <w:szCs w:val="20"/>
          <w:color w:val="auto"/>
        </w:rPr>
      </w:pPr>
      <w:r>
        <w:rPr>
          <w:rFonts w:ascii="Times New Roman" w:cs="Times New Roman" w:eastAsia="Times New Roman" w:hAnsi="Times New Roman"/>
          <w:sz w:val="22"/>
          <w:szCs w:val="22"/>
          <w:color w:val="auto"/>
        </w:rPr>
        <w:t>assignments in respect of the U.S. Revolving Credit Facility, the Canadian Revolving Credit Facility or the Australian Revolving Credit Facility if such assignment is to a person that is not a Lender under the U.S. Revolving Credit Facility, the Canadian Revolving Credit Facility or the Australian Revolving Credit Facility, an Affiliate of such Lender or an Approved Fund with respect to such Lender;</w:t>
      </w:r>
    </w:p>
    <w:p>
      <w:pPr>
        <w:spacing w:after="0" w:line="152" w:lineRule="exact"/>
        <w:rPr>
          <w:sz w:val="20"/>
          <w:szCs w:val="20"/>
          <w:color w:val="auto"/>
        </w:rPr>
      </w:pPr>
    </w:p>
    <w:p>
      <w:pPr>
        <w:jc w:val="both"/>
        <w:ind w:left="1300" w:firstLine="1300"/>
        <w:spacing w:after="0" w:line="225" w:lineRule="auto"/>
        <w:tabs>
          <w:tab w:leader="none" w:pos="323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consent of each Issuing Bank (such consent not to be unreasonably withheld or delayed) shall be required for any assignment in respect of the U.S. Revolving Credit Facility, the Canadian Revolving Credit Facility or the Australian Revolving Credit Facility; and</w:t>
      </w:r>
    </w:p>
    <w:p>
      <w:pPr>
        <w:spacing w:after="0" w:line="152" w:lineRule="exact"/>
        <w:rPr>
          <w:rFonts w:ascii="Times New Roman" w:cs="Times New Roman" w:eastAsia="Times New Roman" w:hAnsi="Times New Roman"/>
          <w:sz w:val="20"/>
          <w:szCs w:val="20"/>
          <w:color w:val="auto"/>
        </w:rPr>
      </w:pPr>
    </w:p>
    <w:p>
      <w:pPr>
        <w:jc w:val="both"/>
        <w:ind w:left="1300" w:firstLine="1300"/>
        <w:spacing w:after="0" w:line="225" w:lineRule="auto"/>
        <w:tabs>
          <w:tab w:leader="none" w:pos="3235"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consent of the Applicable Swing Line Lender (such consent not to be unreasonably withheld or delayed) shall be required for any assignment in respect of the U.S. Revolving Credit Facility or the Canadian Revolving Credit Facility, as applicable.</w:t>
      </w:r>
    </w:p>
    <w:p>
      <w:pPr>
        <w:spacing w:after="0" w:line="148" w:lineRule="exact"/>
        <w:rPr>
          <w:rFonts w:ascii="Times New Roman" w:cs="Times New Roman" w:eastAsia="Times New Roman" w:hAnsi="Times New Roman"/>
          <w:sz w:val="20"/>
          <w:szCs w:val="20"/>
          <w:color w:val="auto"/>
        </w:rPr>
      </w:pPr>
    </w:p>
    <w:p>
      <w:pPr>
        <w:jc w:val="both"/>
        <w:ind w:left="660" w:firstLine="1292"/>
        <w:spacing w:after="0" w:line="213" w:lineRule="auto"/>
        <w:tabs>
          <w:tab w:leader="none" w:pos="259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 and Acceptance</w:t>
      </w:r>
      <w:r>
        <w:rPr>
          <w:rFonts w:ascii="Times New Roman" w:cs="Times New Roman" w:eastAsia="Times New Roman" w:hAnsi="Times New Roman"/>
          <w:sz w:val="22"/>
          <w:szCs w:val="22"/>
          <w:color w:val="auto"/>
        </w:rPr>
        <w:t>. The parties to each assignment shall execute and deliver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Applicable Administrative Agent an Assignment and Acceptance, together with a processing and recordation fee of $3,500;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Applicable Administrative Agent may, in its sole discretion, elect to waive such processing and recordation fee in the case of any assignment;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only one such fee shall be payable in the event of contemporaneous assignments to members of an Assignee Group and concurrent assignments from members of an Assignee Group to a single Eligible Assignee (or to an Eligible Assignee and members of its Assignee Group). The assignee, if it is not a Lender, shall deliver to the Applicable Administrative Agent an Administrative Questionnaire.</w:t>
      </w:r>
    </w:p>
    <w:p>
      <w:pPr>
        <w:spacing w:after="0" w:line="147" w:lineRule="exact"/>
        <w:rPr>
          <w:rFonts w:ascii="Times New Roman" w:cs="Times New Roman" w:eastAsia="Times New Roman" w:hAnsi="Times New Roman"/>
          <w:sz w:val="22"/>
          <w:szCs w:val="22"/>
          <w:color w:val="auto"/>
        </w:rPr>
      </w:pPr>
    </w:p>
    <w:p>
      <w:pPr>
        <w:ind w:left="660" w:firstLine="1292"/>
        <w:spacing w:after="0" w:line="238" w:lineRule="auto"/>
        <w:tabs>
          <w:tab w:leader="none" w:pos="259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Assignment to Borrower</w:t>
      </w:r>
      <w:r>
        <w:rPr>
          <w:rFonts w:ascii="Times New Roman" w:cs="Times New Roman" w:eastAsia="Times New Roman" w:hAnsi="Times New Roman"/>
          <w:sz w:val="22"/>
          <w:szCs w:val="22"/>
          <w:color w:val="auto"/>
        </w:rPr>
        <w:t>. No such assignment shall be made to the Parent Borrower or any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Parent Borrower’s Affiliates or Subsidiaries.</w:t>
      </w:r>
    </w:p>
    <w:p>
      <w:pPr>
        <w:spacing w:after="0" w:line="14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Assignment to Natural Persons</w:t>
      </w:r>
      <w:r>
        <w:rPr>
          <w:rFonts w:ascii="Times New Roman" w:cs="Times New Roman" w:eastAsia="Times New Roman" w:hAnsi="Times New Roman"/>
          <w:sz w:val="22"/>
          <w:szCs w:val="22"/>
          <w:color w:val="auto"/>
        </w:rPr>
        <w:t>. No such assignment shall be made to a natural person.</w:t>
      </w:r>
    </w:p>
    <w:p>
      <w:pPr>
        <w:spacing w:after="0" w:line="179" w:lineRule="exact"/>
        <w:rPr>
          <w:rFonts w:ascii="Times New Roman" w:cs="Times New Roman" w:eastAsia="Times New Roman" w:hAnsi="Times New Roman"/>
          <w:sz w:val="22"/>
          <w:szCs w:val="22"/>
          <w:color w:val="auto"/>
        </w:rPr>
      </w:pPr>
    </w:p>
    <w:p>
      <w:pPr>
        <w:ind w:left="660" w:right="20" w:firstLine="1292"/>
        <w:spacing w:after="0" w:line="238" w:lineRule="auto"/>
        <w:tabs>
          <w:tab w:leader="none" w:pos="259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Defaulting Lenders</w:t>
      </w:r>
      <w:r>
        <w:rPr>
          <w:rFonts w:ascii="Times New Roman" w:cs="Times New Roman" w:eastAsia="Times New Roman" w:hAnsi="Times New Roman"/>
          <w:sz w:val="22"/>
          <w:szCs w:val="22"/>
          <w:color w:val="auto"/>
        </w:rPr>
        <w:t>. No assignment shall be made to any Defaulting Lender or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or any person who, upon becoming a Lender hereunder, would constitute any of the foregoing persons.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Upon such execution, delivery, acceptance and recording thereof by the Applicable Administrative Agent pursuant to paragraph</w:t>
      </w:r>
    </w:p>
    <w:p>
      <w:pPr>
        <w:spacing w:after="0" w:line="39" w:lineRule="exact"/>
        <w:rPr>
          <w:sz w:val="20"/>
          <w:szCs w:val="20"/>
          <w:color w:val="auto"/>
        </w:rPr>
      </w:pPr>
    </w:p>
    <w:p>
      <w:pPr>
        <w:jc w:val="both"/>
        <w:ind w:firstLine="8"/>
        <w:spacing w:after="0" w:line="247" w:lineRule="auto"/>
        <w:tabs>
          <w:tab w:leader="none" w:pos="31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from and after the effective date specified in each Assignment and Acceptance, (A) the Eligible Assignee thereunder shall be a party hereto for all purposes and, to the extent that rights and obligations hereunder have been assigned to it pursuant to such Assignment and Acceptance, have the rights and obligations of a Lender hereunder and (B) such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such Lender’s rights and obligations under this Agreement, such Lender shall cease to be a party hereto) but shall continue to be entitled to the benefits of Sections 2.11, 2.13, and 9.05 with respect to facts and circumstances occurring prior to the effective date of such assignment. Any assignment or</w:t>
      </w: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59" w:name="page160"/>
    <w:bookmarkEnd w:id="159"/>
    <w:p>
      <w:pPr>
        <w:jc w:val="both"/>
        <w:spacing w:after="0" w:line="257" w:lineRule="auto"/>
        <w:rPr>
          <w:sz w:val="20"/>
          <w:szCs w:val="20"/>
          <w:color w:val="auto"/>
        </w:rPr>
      </w:pPr>
      <w:r>
        <w:rPr>
          <w:rFonts w:ascii="Times New Roman" w:cs="Times New Roman" w:eastAsia="Times New Roman" w:hAnsi="Times New Roman"/>
          <w:sz w:val="22"/>
          <w:szCs w:val="22"/>
          <w:color w:val="auto"/>
        </w:rPr>
        <w:t>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Applicable Administrative Agent in an aggregate amount sufficient, upon distribution thereof as appropriate (which may be outright payment, purchases by the assignee of participations or sub-participations, or other compensating actions, including funding, with the consent of the Parent Borrower and the Applicable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Administrative Agent or any Lender hereunder (and interest accrued thereon) and (y) acquire (and fund as appropriate) its full pro rata share of all Loans and participations in Letters of Credit and Swing Line Loans in accordance with its Applicable Pro Rata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2" w:lineRule="exact"/>
        <w:rPr>
          <w:sz w:val="20"/>
          <w:szCs w:val="20"/>
          <w:color w:val="auto"/>
        </w:rPr>
      </w:pPr>
    </w:p>
    <w:p>
      <w:pPr>
        <w:jc w:val="both"/>
        <w:ind w:firstLine="1304"/>
        <w:spacing w:after="0" w:line="212" w:lineRule="auto"/>
        <w:tabs>
          <w:tab w:leader="none" w:pos="194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Applicable Administrative Agent shall maintain at its applicable lending office a copy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Assignment and Acceptance delivered to and accepted by it and a register for the recordation of the names and addresses of the Lenders and the Commitments of, and principal amount of the Loans owing to, each Lender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and binding for all purposes, absent manifest error, and each of the Loan Parties, the Agents, the Issuing Banks, and the Lenders may treat each person whose name is recorded in the Register as a Lender hereunder for all purposes of this Agreement. In addition, the Applicable Administrative Agent shall maintain on the Register information regarding the designation, and revocation of designation, of any Lender as a Defaulting Lender. The Register shall be available for inspection by the Parent Borrower, the U.S. Borrowers or any Lender at any reasonable time and from time to time upon reasonable prior notice.</w:t>
      </w:r>
    </w:p>
    <w:p>
      <w:pPr>
        <w:spacing w:after="0" w:line="148"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Any Lender may at any time, without the consent of, or notice to, the Parent Borrower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Applicable Administrative Agent, sell participations to any person (other than a natural person, a Defaulting Lender or the Parent Borrower or any of the Parent Borrower’s or a Defaulting Lender’s Affiliates or subsidiaries) (each,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and the other Loan Documents (including all or a portion of its Commitment and/or the Loans (including such Lender’s participations in Letter of Credit Obligations and Swing Line Loans) 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Parent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160" w:name="page161"/>
    <w:bookmarkEnd w:id="160"/>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and to approve any amendment, modification or waiver of any provision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waiver or other modification described in the first proviso to Section 9.08 that directly affects such Participant. Subject to subsection (e) of this Section, the Parent Borrower agrees that each Participant shall be entitled to the benefits of Sections 2.13, 2.14, 2.15, 2.19 and 9.05 to the same extent as if it were a Lender and had acquired its interest by assignment pursuant to subsection (b) of this Section. To the extent permitted by law, each Participant also shall be entitled to the benefits of Section 9.06 as though it were a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agrees to be subject to Section 2.17 as though it were a Lender. Each Lender that sells a participation shall, acting solely for this purpose as an agent of the applicable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Administrative Agent (in its capacity as Administrative Agent) shall have any responsibility for maintaining a Participant Register.</w:t>
      </w:r>
    </w:p>
    <w:p>
      <w:pPr>
        <w:spacing w:after="0" w:line="162" w:lineRule="exact"/>
        <w:rPr>
          <w:sz w:val="20"/>
          <w:szCs w:val="20"/>
          <w:color w:val="auto"/>
        </w:rPr>
      </w:pPr>
    </w:p>
    <w:p>
      <w:pPr>
        <w:jc w:val="both"/>
        <w:ind w:firstLine="1304"/>
        <w:spacing w:after="0" w:line="215" w:lineRule="auto"/>
        <w:tabs>
          <w:tab w:leader="none" w:pos="194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entitled to receive any greater payment under Section 2.13 or Section 2.14 than the applicable Lender would have been entitled to receive with respect to the participation sold to such Participant, unless the sale of the participation to such Participant is made with the Parent Borrower’s prior written consent. A Participant that would be a Foreign Lender if it were a Lender shall not be entitled to the benefits of Section 2.19 unless the Applicable Borrower is notified of the participation sold to such Participant and such Participant agrees, for the benefit of the Applicable Borrower, to comply with Section 2.19(g) as though it were a Lender.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48"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any Lender (a “</w:t>
      </w:r>
      <w:r>
        <w:rPr>
          <w:rFonts w:ascii="Times New Roman" w:cs="Times New Roman" w:eastAsia="Times New Roman" w:hAnsi="Times New Roman"/>
          <w:sz w:val="22"/>
          <w:szCs w:val="22"/>
          <w:i w:val="1"/>
          <w:iCs w:val="1"/>
          <w:color w:val="auto"/>
        </w:rPr>
        <w:t>Granting Lender</w:t>
      </w:r>
      <w:r>
        <w:rPr>
          <w:rFonts w:ascii="Times New Roman" w:cs="Times New Roman" w:eastAsia="Times New Roman" w:hAnsi="Times New Roman"/>
          <w:sz w:val="22"/>
          <w:szCs w:val="22"/>
          <w:color w:val="auto"/>
        </w:rPr>
        <w:t>”) may grant to a special purpose funding vehicle identified as such in writing from time to time by the Granting Lender to the Applicable Administrative Agent and the Parent Borrower (an “</w:t>
      </w:r>
      <w:r>
        <w:rPr>
          <w:rFonts w:ascii="Times New Roman" w:cs="Times New Roman" w:eastAsia="Times New Roman" w:hAnsi="Times New Roman"/>
          <w:sz w:val="22"/>
          <w:szCs w:val="22"/>
          <w:i w:val="1"/>
          <w:iCs w:val="1"/>
          <w:color w:val="auto"/>
        </w:rPr>
        <w:t>SPC</w:t>
      </w:r>
      <w:r>
        <w:rPr>
          <w:rFonts w:ascii="Times New Roman" w:cs="Times New Roman" w:eastAsia="Times New Roman" w:hAnsi="Times New Roman"/>
          <w:sz w:val="22"/>
          <w:szCs w:val="22"/>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nothing herein shall constitute a commitment by any SPC to fund any Loan, and (ii) if a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 (ii) no SPC shall be liable for any indemnity or similar payment obligation under this Agreement for which a Lender would be liable, and (iii) the Granting Lender shall for</w:t>
      </w: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149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61" w:name="page162"/>
    <w:bookmarkEnd w:id="161"/>
    <w:p>
      <w:pPr>
        <w:jc w:val="both"/>
        <w:spacing w:after="0" w:line="220" w:lineRule="auto"/>
        <w:rPr>
          <w:sz w:val="20"/>
          <w:szCs w:val="20"/>
          <w:color w:val="auto"/>
        </w:rPr>
      </w:pPr>
      <w:r>
        <w:rPr>
          <w:rFonts w:ascii="Times New Roman" w:cs="Times New Roman" w:eastAsia="Times New Roman" w:hAnsi="Times New Roman"/>
          <w:sz w:val="21"/>
          <w:szCs w:val="21"/>
          <w:color w:val="auto"/>
        </w:rPr>
        <w:t>all purposes, including the approval of any amendment, waiver or other modification of any provision of any Loan Document, remain the lender of record hereunder. The making of a Loan by a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Parent Borrower and the Applicable Administrative Agent and without paying any processing fee therefor,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57" w:lineRule="exact"/>
        <w:rPr>
          <w:sz w:val="20"/>
          <w:szCs w:val="20"/>
          <w:color w:val="auto"/>
        </w:rPr>
      </w:pPr>
    </w:p>
    <w:p>
      <w:pPr>
        <w:jc w:val="both"/>
        <w:ind w:firstLine="1304"/>
        <w:spacing w:after="0" w:line="213" w:lineRule="auto"/>
        <w:tabs>
          <w:tab w:leader="none" w:pos="193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and until such trustee actually becomes a Lender in compliance with the other provisions of this Section 9.04,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4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9.05</w:t>
      </w:r>
      <w:r>
        <w:rPr>
          <w:sz w:val="20"/>
          <w:szCs w:val="20"/>
          <w:color w:val="auto"/>
        </w:rPr>
        <w:tab/>
      </w:r>
      <w:r>
        <w:rPr>
          <w:rFonts w:ascii="Times New Roman" w:cs="Times New Roman" w:eastAsia="Times New Roman" w:hAnsi="Times New Roman"/>
          <w:sz w:val="21"/>
          <w:szCs w:val="21"/>
          <w:b w:val="1"/>
          <w:bCs w:val="1"/>
          <w:i w:val="1"/>
          <w:iCs w:val="1"/>
          <w:color w:val="auto"/>
        </w:rPr>
        <w:t>Expenses; Indemnity</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07" w:lineRule="auto"/>
        <w:tabs>
          <w:tab w:leader="none" w:pos="194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Costs and Expenses. </w:t>
      </w:r>
      <w:r>
        <w:rPr>
          <w:rFonts w:ascii="Times New Roman" w:cs="Times New Roman" w:eastAsia="Times New Roman" w:hAnsi="Times New Roman"/>
          <w:sz w:val="22"/>
          <w:szCs w:val="22"/>
          <w:color w:val="auto"/>
        </w:rPr>
        <w:t>The Borrowers agree, jointly and severally, to pay or reimburse (i) all reasonable out-of-pocket expenses incurred by the Lead Arranger, the Administrative Agents, the Collateral Agents, the Issuing Banks and their Affiliates (including the reasonable fees, charges and disbursements of counsel for the Agents, but limited to, with respect to legal expenses, reasonable and documented fees and expenses of one primary counsel and, if reasonably necessary, one local counsel in each of Australia, Canada and any other relevant material jurisdiction and, solely in the case of an actual or potential conflict of interest, one additional counsel to the affected person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hereby or thereby shall be consummated), and (ii) all reasonable out-of-pocket expenses incurred by any Agent, any Lender or Issuing Bank (including, the reasonable fees, charges and disbursements of any counsel for any Agent, any Lender or Issuing Bank),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 The foregoing costs and expenses under this Section 9.05 shall include all due diligence, search, filing, recording, title insurance, printing, reproduction, document delivery, travel, CUSIP, electronic platform, communication costs and appraisal charges and fees and Taxes related thereto, and other out-of-pocket expenses reasonably incurred by any Agent, Lender or Issuing Bank (including, in connection with any workout or restructuring, the cost of financial advisors and other outside experts retained by any</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62" w:name="page163"/>
    <w:bookmarkEnd w:id="162"/>
    <w:p>
      <w:pPr>
        <w:jc w:val="both"/>
        <w:spacing w:after="0" w:line="225" w:lineRule="auto"/>
        <w:rPr>
          <w:sz w:val="20"/>
          <w:szCs w:val="20"/>
          <w:color w:val="auto"/>
        </w:rPr>
      </w:pPr>
      <w:r>
        <w:rPr>
          <w:rFonts w:ascii="Times New Roman" w:cs="Times New Roman" w:eastAsia="Times New Roman" w:hAnsi="Times New Roman"/>
          <w:sz w:val="22"/>
          <w:szCs w:val="22"/>
          <w:color w:val="auto"/>
        </w:rPr>
        <w:t>Agent). All amounts due under this Section 9.05 shall be payable within 30 days after written demand therefore unless such amounts are being contested in good faith by the Parent Borrower. The agreements in this Section shall survive the termination of the Commitments and repayment of all Obligations.</w:t>
      </w:r>
    </w:p>
    <w:p>
      <w:pPr>
        <w:spacing w:after="0" w:line="148" w:lineRule="exact"/>
        <w:rPr>
          <w:sz w:val="20"/>
          <w:szCs w:val="20"/>
          <w:color w:val="auto"/>
        </w:rPr>
      </w:pPr>
    </w:p>
    <w:p>
      <w:pPr>
        <w:jc w:val="both"/>
        <w:ind w:firstLine="1304"/>
        <w:spacing w:after="0" w:line="216" w:lineRule="auto"/>
        <w:tabs>
          <w:tab w:leader="none" w:pos="1939"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Indemnification by the Borrowers. </w:t>
      </w:r>
      <w:r>
        <w:rPr>
          <w:rFonts w:ascii="Times New Roman" w:cs="Times New Roman" w:eastAsia="Times New Roman" w:hAnsi="Times New Roman"/>
          <w:sz w:val="21"/>
          <w:szCs w:val="21"/>
          <w:color w:val="auto"/>
        </w:rPr>
        <w:t>The Borrowers agree, jointly and severally, to indemnify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Agents, the Collateral Agents, each Lender, each Issuing Bank and the Related Parties of any of the foregoing persons (each such person being called an “</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 against, and to hold each Indemnitee harmless from, any and all losses, claims, damages, liabilities and related expenses, including reasonable counsel fees (limited to reasonable and documented fees and expenses of one primary counsel and, if reasonably necessary, one local counsel in Australia, Canada and any other relevant material jurisdiction and, solely in the case of an actual or potential conflict of interest, one additional counsel to the affected Indemnitees (taken as a whole)), charges and disbursements but excluding any such loss, claim, damage, liability or expense resulting from a claim or proceeding brought by a Lender against any other Lender (other than any Agent in its capacity as such), incurred by or asserted against any Indemnitee arising out of, in any way connected with, or as a result of (i) the execution or delivery of this Agreement or any other Loan Document or any agreement or instrument contemplated hereby or thereby, the performance by the parties thereto of their respective obligations thereunder or the consummation of the transactions contemplated thereby, (ii) any Loan or Letter of Credit or the use or proposed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(iii) any actual or prospective claim, litigation, investigation or proceeding relating to any of the foregoing, whether based on contract, tort or any other theory, whether brought by a third party or by a Borrower or any other Loan Party, and regardless of whether or not any Indemnitee is a party thereto, or (iv) any actual or alleged presence or Release of Hazardous Materials on any property owned or operated by a Borrower or any of the Subsidiaries, or any Environmental Liability related in any way to a Borrower or the Subsidiaries (collectively, the “</w:t>
      </w:r>
      <w:r>
        <w:rPr>
          <w:rFonts w:ascii="Times New Roman" w:cs="Times New Roman" w:eastAsia="Times New Roman" w:hAnsi="Times New Roman"/>
          <w:sz w:val="21"/>
          <w:szCs w:val="21"/>
          <w:i w:val="1"/>
          <w:iCs w:val="1"/>
          <w:color w:val="auto"/>
        </w:rPr>
        <w:t>Indemnified Liabilities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b w:val="1"/>
          <w:bCs w:val="1"/>
          <w:color w:val="auto"/>
        </w:rPr>
        <w:t>SUCH INDEMNITY SHALL EXPRESSLY</w:t>
      </w:r>
    </w:p>
    <w:p>
      <w:pPr>
        <w:spacing w:after="0" w:line="2" w:lineRule="exact"/>
        <w:rPr>
          <w:rFonts w:ascii="Times New Roman" w:cs="Times New Roman" w:eastAsia="Times New Roman" w:hAnsi="Times New Roman"/>
          <w:sz w:val="21"/>
          <w:szCs w:val="21"/>
          <w:color w:val="auto"/>
        </w:rPr>
      </w:pPr>
    </w:p>
    <w:p>
      <w:pPr>
        <w:jc w:val="both"/>
        <w:spacing w:after="0" w:line="21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INCLUDE ANY SUCH LOSSES, LIABILITIES, CLAIMS, DAMAGES OR EXPENSE INCURRED BY REASON OF THE PERSON BEING INDEMNIFIED’S OWN NEGLIGENCE;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foregoing indemnity will not, as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apply to losses, claims, damages, liabilities or related expenses to the extent they are found in a final, non-appealable judgment of a court of competent jurisdiction to have resulted from the willful misconduct, bad faith or gross negligence of such Indemnitee or, with respect to any Environmental Liability, to the extent such Indemnitee, after foreclosure or other remedial action, has caused such Environmental Liability.</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TO THE FULLEST EXTENT PERMITTED BY APPLICABLE LEGAL REQUIREMENTS, NO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63" w:name="page164"/>
    <w:bookmarkEnd w:id="163"/>
    <w:p>
      <w:pPr>
        <w:ind w:firstLine="648"/>
        <w:spacing w:after="0" w:line="266" w:lineRule="auto"/>
        <w:rPr>
          <w:sz w:val="20"/>
          <w:szCs w:val="20"/>
          <w:color w:val="auto"/>
        </w:rPr>
      </w:pPr>
      <w:r>
        <w:rPr>
          <w:rFonts w:ascii="Times New Roman" w:cs="Times New Roman" w:eastAsia="Times New Roman" w:hAnsi="Times New Roman"/>
          <w:sz w:val="21"/>
          <w:szCs w:val="21"/>
          <w:color w:val="auto"/>
        </w:rPr>
        <w:t>No Borrower shall be liable for any settlement of any claim, litigation, investigation or proceeding (any of the foregoing, a “</w:t>
      </w:r>
      <w:r>
        <w:rPr>
          <w:rFonts w:ascii="Times New Roman" w:cs="Times New Roman" w:eastAsia="Times New Roman" w:hAnsi="Times New Roman"/>
          <w:sz w:val="21"/>
          <w:szCs w:val="21"/>
          <w:i w:val="1"/>
          <w:iCs w:val="1"/>
          <w:color w:val="auto"/>
        </w:rPr>
        <w:t>Proceeding</w:t>
      </w:r>
      <w:r>
        <w:rPr>
          <w:rFonts w:ascii="Times New Roman" w:cs="Times New Roman" w:eastAsia="Times New Roman" w:hAnsi="Times New Roman"/>
          <w:sz w:val="21"/>
          <w:szCs w:val="21"/>
          <w:color w:val="auto"/>
        </w:rPr>
        <w:t>”) effected without its consent (which consent shall not be unreasonably conditioned, withheld or delayed) unless</w:t>
      </w:r>
    </w:p>
    <w:p>
      <w:pPr>
        <w:spacing w:after="0" w:line="2" w:lineRule="exact"/>
        <w:rPr>
          <w:sz w:val="20"/>
          <w:szCs w:val="20"/>
          <w:color w:val="auto"/>
        </w:rPr>
      </w:pPr>
    </w:p>
    <w:p>
      <w:pPr>
        <w:jc w:val="both"/>
        <w:ind w:firstLine="8"/>
        <w:spacing w:after="0" w:line="246" w:lineRule="auto"/>
        <w:tabs>
          <w:tab w:leader="none" w:pos="31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has not confirmed that the indemnity provisions of this Section 9.05(b) are applicable or (y) a claim for indemnity has been made in accordance with this Section 9.05(b) which the Applicable Borrower has not paid with 30 days of the date on which such claim was made. If any Proceeding is settled with any Borrower’s written consent or if there is a final judgment for the plaintiff in any such Proceedings, the Borrowers shall indemnify and hold harmless each Indemnitee from and against any and all losses, claims, damages, liabilities and expenses by reason of such settlement or judgment in accordance with the preceding paragraph. The Borrowers shall not, without the prior written consent of an Indemnitee (which consent shall not be unreasonably conditioned, withheld or delayed), effect any settlement or consent to the entry of any judgment of any pending or threatened Proceedings in respect of which indemnity could have been sought hereunder by such Indemnitee unless (i) such settlement includes an unconditional release of such Indemnitee in form and substance satisfactory to such Indemnitee from all liability on claims that are the subject matter of such Proceedings, (ii) does not include any statement as to or any admission of fault, culpability or a failure to act by or on behalf of any Indemnitee and (iii) contains customary confidentiality and non-disparagement provisions.</w:t>
      </w:r>
    </w:p>
    <w:p>
      <w:pPr>
        <w:spacing w:after="0" w:line="167"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 by Lenders</w:t>
      </w:r>
      <w:r>
        <w:rPr>
          <w:rFonts w:ascii="Times New Roman" w:cs="Times New Roman" w:eastAsia="Times New Roman" w:hAnsi="Times New Roman"/>
          <w:sz w:val="22"/>
          <w:szCs w:val="22"/>
          <w:color w:val="auto"/>
        </w:rPr>
        <w:t>. To the extent that a Borrower for any reason fails to indefeasibly pay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required under paragraph (a) or (b) of this Section to be paid by it to an Agent (or any sub-agent thereof), an Issuing Bank, a Swing Line Lender or any Related Party of any of the foregoing, each Lender severally agrees to pay to the Applicable Administrative Agent (or any such sub-agent), the Applicable Issuing Bank, the Applicable Swing Line Lender or such Related Party, as the case may be, such Lender’s Applicable Pro Rata Percentage (determined as of the time that the applicable unreimbursed expense or indemnity payment is sought) of such unpaid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Applicable Administrative Agent (or any such sub-agent), the Applicable Issuing Bank or the Applicable Swing Line Lender in its capacity as such, or against any Related Party of any of the foregoing acting for the Applicable Administrative Agent (or any such sub-agent), Applicable Issuing Bank or the Applicable Swing Line Lender in connection with such capacity.</w:t>
      </w:r>
    </w:p>
    <w:p>
      <w:pPr>
        <w:spacing w:after="0" w:line="155"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9.05 shall remain operative and in full force and effect regardless of the expiration of the term of this Agreement, the consummation of the transactions contemplated hereby, the repayment of any of the Loans, the expiration of the Commitments, the expiration of any Letter of Credit, the invalidity or unenforceability of any term or provision of this Agreement or any other Loan Document, or any investigation made by or on behalf of any Agent, Lender or Issuing Bank. All amounts due under this Section 9.05 shall be payable on written demand therefor.</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9.06 </w:t>
      </w:r>
      <w:r>
        <w:rPr>
          <w:rFonts w:ascii="Times New Roman" w:cs="Times New Roman" w:eastAsia="Times New Roman" w:hAnsi="Times New Roman"/>
          <w:sz w:val="22"/>
          <w:szCs w:val="22"/>
          <w:b w:val="1"/>
          <w:bCs w:val="1"/>
          <w:i w:val="1"/>
          <w:iCs w:val="1"/>
          <w:color w:val="auto"/>
        </w:rPr>
        <w:t>Right of Setoff</w:t>
      </w:r>
      <w:r>
        <w:rPr>
          <w:rFonts w:ascii="Times New Roman" w:cs="Times New Roman" w:eastAsia="Times New Roman" w:hAnsi="Times New Roman"/>
          <w:sz w:val="22"/>
          <w:szCs w:val="22"/>
          <w:color w:val="auto"/>
        </w:rPr>
        <w:t>. If an Event of Default shall have occurred and be continuing, each Agent, Lender, Issuing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and each of their respective Affiliates is hereby authorized at any time and from time to time, except to the extent prohibited by law, to set off and apply any and all deposits (general or special, time or demand, provisional or final, in whatever currency) at any time held and other Indebtedness (in whatever currency) at any time owing by such Agent, Lender, Issuing Bank to or for the credit or the account of any Borrower or any other Loan Party to whom it has made Loans against any of and all the obligations of such</w:t>
      </w: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164" w:name="page165"/>
    <w:bookmarkEnd w:id="164"/>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Borrower or Loan Party now or hereafter existing under this Agreement and other Loan Documents held by such Agent, Lender or Issuing Bank, irrespective of whether or not such Agent, Lender or Issuing Bank shall have made any demand under this Agreement or such other Loan Document and although such obligations may be contingent or unmatured or are owed to a branch or office of such Lender or Issuing Bank different from the branch or office holding such deposit or obligated on such Indebtedness. The rights of each Agent, Lender, Issuing Bank and their respective Affiliates under this Section 9.06 are in addition to other rights and remedies (including other rights of setoff) which such Agent, Lender, Issuing Bank or their respective Affiliates may have. Each Agent, Lender and Issuing Bank agrees to notify the Parent Borrower and the Administrative Agent promptly after any such setoff and application,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4" w:lineRule="exact"/>
        <w:rPr>
          <w:sz w:val="20"/>
          <w:szCs w:val="20"/>
          <w:color w:val="auto"/>
        </w:rPr>
      </w:pPr>
    </w:p>
    <w:p>
      <w:pPr>
        <w:jc w:val="both"/>
        <w:ind w:right="20"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9.07 </w:t>
      </w:r>
      <w:r>
        <w:rPr>
          <w:rFonts w:ascii="Times New Roman" w:cs="Times New Roman" w:eastAsia="Times New Roman" w:hAnsi="Times New Roman"/>
          <w:sz w:val="22"/>
          <w:szCs w:val="22"/>
          <w:b w:val="1"/>
          <w:bCs w:val="1"/>
          <w:i w:val="1"/>
          <w:iCs w:val="1"/>
          <w:color w:val="auto"/>
        </w:rPr>
        <w:t>Applicable Law</w:t>
      </w:r>
      <w:r>
        <w:rPr>
          <w:rFonts w:ascii="Times New Roman" w:cs="Times New Roman" w:eastAsia="Times New Roman" w:hAnsi="Times New Roman"/>
          <w:sz w:val="22"/>
          <w:szCs w:val="22"/>
          <w:color w:val="auto"/>
        </w:rPr>
        <w:t>. THIS AGREEMENT SHALL BE CONSTRUED IN ACCORDANCE WITH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NEW YORK.</w:t>
      </w:r>
    </w:p>
    <w:p>
      <w:pPr>
        <w:ind w:left="660"/>
        <w:spacing w:after="0" w:line="216"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9.08</w:t>
      </w:r>
      <w:r>
        <w:rPr>
          <w:sz w:val="20"/>
          <w:szCs w:val="20"/>
          <w:color w:val="auto"/>
        </w:rPr>
        <w:tab/>
      </w:r>
      <w:r>
        <w:rPr>
          <w:rFonts w:ascii="Times New Roman" w:cs="Times New Roman" w:eastAsia="Times New Roman" w:hAnsi="Times New Roman"/>
          <w:sz w:val="21"/>
          <w:szCs w:val="21"/>
          <w:b w:val="1"/>
          <w:bCs w:val="1"/>
          <w:i w:val="1"/>
          <w:iCs w:val="1"/>
          <w:color w:val="auto"/>
        </w:rPr>
        <w:t>Waivers; Amendment</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06" w:lineRule="auto"/>
        <w:tabs>
          <w:tab w:leader="none" w:pos="194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failure or delay of any Agent, any Lender or any Issuing Bank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Loan Documents are cumulative and are not exclusive of any rights or remedies that they would otherwise have. No waiver of any provision of this Agreement or any other Loan Document or consent to any departure by the Borrowers or any other Loan Party therefrom shall in any event be effective unless the same shall be permitted by Section 9.08(b), and then such waiver or consent shall be effective only in the specific instance and for the purpose for which given. No notice or demand on a Borrower in any case shall entitle the Borrowers to any other or further notice or demand in similar or other circumstances.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Agents in accordance with Sections 7.02 or 7.03 for the benefit of all the Secured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foregoing shall not prohibit (i) the Agent from exercising on their own behalf the rights and remedies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inure to its benefit (solely in its capacity as an Agent) hereunder and under the other Loan Documents, (ii) any Issuing Bank from exercising the rights and remedies that inure to its benefit (solely in its capacity as Issuing Bank) hereunder and under the other Loan Documents, (iii) any Swing Line Lender from exercising the rights and remedies that inure to its benefit (solely in its capacity as Swing Line Lender) hereunder and under the other Loan Documents, (iv) any Lender from exercising setoff rights in accordance with Section 9.06 (subject to the terms of Section 2.17), or (v) subject to Section 8.11, any Lender from filing proofs of claim or appearing and filing pleadings on its own behalf during the pendency of a proceeding relative to any Loan Party under any Insolvency Law.</w:t>
      </w:r>
    </w:p>
    <w:p>
      <w:pPr>
        <w:spacing w:after="0" w:line="16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amendment or waiver of any provision of this Agreement or any other Loan Document (other than the Fee Letter or any Letter of Credit Document), and any consent to any departure by a Borrower or any other Loan Party therefrom, shall be effective if the same shall be in writing and signed by the Required Lenders and the Borrowers (or by the Administrative Agent (with the prior written consent of the Required Lenders) and the Borrowers),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waiver or consent shall be effective only in the specific instance and for the specific purpose for which given;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(x) any provision of this Agreement or any other Loan Document may be amended by an agreement in writing signed by</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65" w:name="page166"/>
    <w:bookmarkEnd w:id="165"/>
    <w:p>
      <w:pPr>
        <w:jc w:val="both"/>
        <w:spacing w:after="0" w:line="220" w:lineRule="auto"/>
        <w:rPr>
          <w:sz w:val="20"/>
          <w:szCs w:val="20"/>
          <w:color w:val="auto"/>
        </w:rPr>
      </w:pPr>
      <w:r>
        <w:rPr>
          <w:rFonts w:ascii="Times New Roman" w:cs="Times New Roman" w:eastAsia="Times New Roman" w:hAnsi="Times New Roman"/>
          <w:sz w:val="22"/>
          <w:szCs w:val="22"/>
          <w:color w:val="auto"/>
        </w:rPr>
        <w:t>the Administrative Agent and the Parent Borrower to cure any ambiguity, omission, defect or inconsistency so long as, in each case,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and (y) no amendment, waiver or consent shall:</w:t>
      </w:r>
    </w:p>
    <w:p>
      <w:pPr>
        <w:spacing w:after="0" w:line="152" w:lineRule="exact"/>
        <w:rPr>
          <w:sz w:val="20"/>
          <w:szCs w:val="20"/>
          <w:color w:val="auto"/>
        </w:rPr>
      </w:pPr>
    </w:p>
    <w:p>
      <w:pPr>
        <w:jc w:val="both"/>
        <w:ind w:left="660" w:firstLine="1292"/>
        <w:spacing w:after="0" w:line="225" w:lineRule="auto"/>
        <w:tabs>
          <w:tab w:leader="none" w:pos="2592"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Maturity Date of or increase the stated amount of any Commitment of any Lender or reinstate any Commitment of any Lender terminated pursuant to the terms hereof without the written consent of such Lender;</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for any scheduled payment (but not any prepayment) of principal, interest or fees due to any Lender hereunder without the written consent of such Lender;</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8" w:lineRule="auto"/>
        <w:tabs>
          <w:tab w:leader="none" w:pos="2604" w:val="left"/>
        </w:tabs>
        <w:numPr>
          <w:ilvl w:val="1"/>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reduce the principal of, or the rate of interest specified herein on, any Loan or L/C Disbursement or any interest or Fees payable hereunder without the prior written consent of each Lender directly affected thereby (it being understood and agreed that any change in the definition of “Total Net Leverage Ratio”, “Senior Secured Net Leverage Ratio” or in the component definitions thereof, shall not constitute a reduction of rate of interest or any interest or Fees payable hereunder);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only the consent of the Required U.S. Revolving Lenders shall be required to waive any obligation of the U.S. Borrowers to pay default interest pursuant to Section 2.07 with respect to the U.S. Revolving Credit Facility, including with respect to any amount payable thereunder or in connection therewith</w:t>
      </w:r>
    </w:p>
    <w:p>
      <w:pPr>
        <w:jc w:val="both"/>
        <w:ind w:left="660" w:hanging="4"/>
        <w:spacing w:after="0" w:line="214" w:lineRule="auto"/>
        <w:tabs>
          <w:tab w:leader="none" w:pos="1004"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the consent of the Required Canadian Revolving Lenders, as applicable shall be required to waive any obligation of the Parent Borrower or the U.S. Borrowers to pay default interest pursuant to Section 2.07 with respect to the Canadian Revolving Credit Facility, including with respect to any amount payable thereunder or in connection therewith and</w:t>
      </w:r>
    </w:p>
    <w:p>
      <w:pPr>
        <w:spacing w:after="0" w:line="2" w:lineRule="exact"/>
        <w:rPr>
          <w:rFonts w:ascii="Times New Roman" w:cs="Times New Roman" w:eastAsia="Times New Roman" w:hAnsi="Times New Roman"/>
          <w:sz w:val="21"/>
          <w:szCs w:val="21"/>
          <w:color w:val="auto"/>
        </w:rPr>
      </w:pPr>
    </w:p>
    <w:p>
      <w:pPr>
        <w:jc w:val="both"/>
        <w:ind w:left="660" w:hanging="4"/>
        <w:spacing w:after="0" w:line="218" w:lineRule="auto"/>
        <w:tabs>
          <w:tab w:leader="none" w:pos="1037"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the consent of the Required Australian Revolving Lenders shall be required to waive any obligation of the Australian Borrower to pay default interest pursuant to Section 2.07 with respect to the Australian Revolving Credit Facility, including with respect to any amount payable thereunder or in connection therewith;</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2"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Section 2.16 in a manner that would alter the pro rata sharing of payments required thereby without the written consent of each Lender adversely affected thereby or change the order of application, as among the Facilities, of any prepayment or other amount specified in Section 7.05 from the order set forth in such Section in a manner that adversely affects the Lenders under any Facility without the prior written consent of (A) if such Facility is the U.S. Revolving Credit Facility, the Required U.S. Lenders, (B) if such Facility is the Canadian Revolving Credit Facility, the Required Canadian Revolving Lenders, (C) if such Facility is the Australian Revolving Credit Facility, the Required Australian Lenders and (D) if the Bilateral Lender is materially and adversely affected by such change, the Bilateral Lender;</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provision of this Section, or the percentage specified in definition of “Required Lenders,” “Required U.S. Lenders,” “Required Canadian Revolving Lenders,” “Required Australian Lenders,” or “Required Revolving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66" w:name="page167"/>
    <w:bookmarkEnd w:id="166"/>
    <w:p>
      <w:pPr>
        <w:jc w:val="both"/>
        <w:ind w:left="660" w:firstLine="1292"/>
        <w:spacing w:after="0" w:line="220" w:lineRule="auto"/>
        <w:tabs>
          <w:tab w:leader="none" w:pos="259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permitted hereunder or under any Security Document, (A) release the guaranty provided by the Parent Borrower pursuant to the Guarantee Agreement without the written consent of each Lender, or (B) release all or substantially all of the value of the guaranties provided by the other Guarantors hereunder or all or substantially all of the Collateral without the written consent of each Lender;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8"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Section 9.04 in a manner that imposes additional restrictions on the ability of any Lender under any Facility to assign any of its rights or obligations hereunder without the prior written consent of (A) if such Facility is the U.S. Revolving Credit Facility, the Required U.S. Lenders, (B) if such Facility is the Canadian Revolving Credit Facility, the Required Canadian Revolving Lenders, and (C) if such Facility is the Australian Revolving Credit Facility, the Required Australian Lenders;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60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provisions of any Loan Document in a manner that by its terms adversely affects the rights in respect of payments due to Lenders holding one Class of Loans differently from the rights in respect of payments due to Lenders holding another Class of Loans without the prior written consent of the Required U.S. Lenders (if the U.S. Revolving Lenders are the adversely affected Class), Required Canadian Revolving Lenders (if the Canadian Revolving Lenders are the adversely affected Class) or Required Australian Lenders (if the Australian Lenders are the adversely affected Class);</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protections afforded to an SPC pursuant to the provisions of Section 9.04(g) without the written consent of such SPC;</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Section 7.05 or any Security Document in a manner that results in the Bilateral Obligations secured by such Security Document no longer being secured thereby on at least an equal and ratable basis with the principal of the Loans, or amend or otherwise change the definition of “Obligations”, in each case if the Bilateral Lender is adversely affected by such amendment, modification or change, without the written consent of the Bilateral Lender; or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592"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any Event of Default under Sections 7.01(g) or 7.01(h), (x) subordinate the Liens on the Collateral securing the Obligations to the Liens securing any other Indebtedness or other obligations in any transaction or series of related transactions or (y) subordinate any of the Obligations in contractual right of payment to any other Indebtedness or other obligations in any transaction or series of related transactions (in each case of clauses</w:t>
      </w:r>
    </w:p>
    <w:p>
      <w:pPr>
        <w:spacing w:after="0" w:line="2" w:lineRule="exact"/>
        <w:rPr>
          <w:rFonts w:ascii="Times New Roman" w:cs="Times New Roman" w:eastAsia="Times New Roman" w:hAnsi="Times New Roman"/>
          <w:sz w:val="22"/>
          <w:szCs w:val="22"/>
          <w:color w:val="auto"/>
        </w:rPr>
      </w:pPr>
    </w:p>
    <w:p>
      <w:pPr>
        <w:jc w:val="both"/>
        <w:ind w:left="660" w:hanging="4"/>
        <w:spacing w:after="0" w:line="209" w:lineRule="auto"/>
        <w:tabs>
          <w:tab w:leader="none" w:pos="97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(y), other than in connection with (1) any Indebtedness that is expressly permitted by the Loan Documents as in effect on the Closing Date (or as later amended in connection with an unrelated transaction) to be secured by a lien on the Collateral that is senior to the Liens securing the Obligations, (2) any “debtor-in-possession” financing or the use of the Collateral in any proceeding under any Insolvency Law and/or (3) any other financing, in the case of this clause (3) with respect to which each Lender under this Agreement is offered the opportunity to provide such financing on the same terms and conditions), in each case without the consent of each adversely affected Lender (any such other Indebtedness or other obligations referred to in clause (x) or (y) above, to which such Liens securing any of the Obligations or such Obligations, as applicable, are subordinated, “</w:t>
      </w:r>
      <w:r>
        <w:rPr>
          <w:rFonts w:ascii="Times New Roman" w:cs="Times New Roman" w:eastAsia="Times New Roman" w:hAnsi="Times New Roman"/>
          <w:sz w:val="22"/>
          <w:szCs w:val="22"/>
          <w:i w:val="1"/>
          <w:iCs w:val="1"/>
          <w:color w:val="auto"/>
        </w:rPr>
        <w:t>Senior Indebtedness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952"/>
        <w:spacing w:after="0" w:line="259" w:lineRule="auto"/>
        <w:tabs>
          <w:tab w:leader="none" w:pos="2667"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no such agreement shall amend, modify or otherwise affect the rights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duties of an Agent, an Issuing Bank or a Swing Line Lender hereunder or under any other Loan Document without the prior written consent of such Agent, Issuing Bank or Swing Line Lender, respectively.</w:t>
      </w: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67" w:name="page168"/>
    <w:bookmarkEnd w:id="167"/>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no Defaulting Lender shall have any right to approve or disapprove any amendment, waiver or consent hereunder or under any other Loan Document (and any amendment, waiver or consent which by its terms requires the consent of all Lenders, all Lenders or a majority in interest of Lenders under any Facility or each affected Lender may be effected with the consent of the applicable Lenders other than Defaulting Lender);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amendment, waiver or consent referred to in clause (b)(i), (ii) or (iii) above that, but for this sentence, would require the prior written consent of such Defaulting Lender, will continue to require the consent of such Defaulting Lender;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such amendment, waiver or consent requiring the consent of all Lenders, such Lender or each affected Lender that by its terms affects any Defaulting Lender more adversely than any other Lender whose consent is so required shall require the consent of such Defaulting Lender.</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 Lender or any Affiliate of a Lender shall have any voting rights under any Loan Document as a result of the existence of obligations owed to it under Hedging Agreements, Banking Services Obligations or the Bilateral Obligations.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in this Section 9.08 or any other provision of this Agreement or any other Loan Document, (A) the Security Documents and related documents in connection with this Agreement and the other Loan Documents may be in a form reasonably determined by the Administrative Agent and the Collateral Agent and may be, together with this Agreement, amended, supplemented and waived with the consent of the Administrative Agent and the Collateral Agent at the request of the Parent Borrower without the need to obtain the consent of any other Lender if such amendment, supplement or waiver is delivered in order (i) to comply with local law or advice of local counsel, or (ii) to cause such Security Documents or other documents to be consistent with this Agreement and the other Loan Documents, (B) this Agreement and any other Loan Document may be amended solely with the consent of the Administrative Agent and the Parent Borrower without the need to obtain the consent of any other Lender if such amendment is consummated in order (x) to correct or cure any ambiguities, errors, omissions, mistakes, inconsistencies or defects jointly identified by the Parent Borrower and the Administrative Agent, (y) to effect administrative changes of a technical or immaterial nature or (z) to fix incorrect cross-references or similar inaccuracies in this Agreement or the applicable Loan Document;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the Administrative Agent shall have notified the Lenders of such amendment and the Required Lenders shall not have objected in writing to such amendment within five Business Days of notice thereof, (C) the Administrative Agent and the Borrowers may, without the consent of any Lender, enter into amendments or modifications to this Agreement or any of the other Loan Documents or to enter into additional Loan Documents as the Administrative Agent deems appropriate in order to implement any Benchmark Replacement or any Conforming Changes or otherwise effectuate the terms of Section 2.26 in accordance with the terms thereof and (D) the Canadian Administrative Agent and the Borrowers may, without the consent of any Lender, enter into amendments or modifications to this Agreement or any of the other Loan Documents or to enter into additional Loan Documents as the Canadian Administrative Agent deems appropriate in order to implement any Canadian Benchmark Replacement or any Canadian Conforming Change or otherwise effectuate the terms of Section 2.27 in accordance with the terms thereof.</w:t>
      </w: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22" w:right="339" w:bottom="1440" w:gutter="0" w:footer="0" w:header="0"/>
        </w:sectPr>
      </w:pPr>
    </w:p>
    <w:bookmarkStart w:id="168" w:name="page169"/>
    <w:bookmarkEnd w:id="168"/>
    <w:p>
      <w:pPr>
        <w:jc w:val="both"/>
        <w:ind w:firstLine="648"/>
        <w:spacing w:after="0" w:line="206" w:lineRule="auto"/>
        <w:rPr>
          <w:sz w:val="20"/>
          <w:szCs w:val="20"/>
          <w:color w:val="auto"/>
        </w:rPr>
      </w:pPr>
      <w:r>
        <w:rPr>
          <w:rFonts w:ascii="Times New Roman" w:cs="Times New Roman" w:eastAsia="Times New Roman" w:hAnsi="Times New Roman"/>
          <w:sz w:val="22"/>
          <w:szCs w:val="22"/>
          <w:b w:val="1"/>
          <w:bCs w:val="1"/>
          <w:color w:val="auto"/>
        </w:rPr>
        <w:t xml:space="preserve">Section 9.09 </w:t>
      </w:r>
      <w:r>
        <w:rPr>
          <w:rFonts w:ascii="Times New Roman" w:cs="Times New Roman" w:eastAsia="Times New Roman" w:hAnsi="Times New Roman"/>
          <w:sz w:val="22"/>
          <w:szCs w:val="22"/>
          <w:b w:val="1"/>
          <w:bCs w:val="1"/>
          <w:i w:val="1"/>
          <w:iCs w:val="1"/>
          <w:color w:val="auto"/>
        </w:rPr>
        <w:t>Interest Rate Limitation</w:t>
      </w:r>
      <w:r>
        <w:rPr>
          <w:rFonts w:ascii="Times New Roman" w:cs="Times New Roman" w:eastAsia="Times New Roman" w:hAnsi="Times New Roman"/>
          <w:sz w:val="22"/>
          <w:szCs w:val="22"/>
          <w:color w:val="auto"/>
        </w:rPr>
        <w:t>. Regardless of any provisions contained in this Agreement or in any other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the Lenders shall never be deemed to have contracted for or be entitled to receive, collect or apply as interest on any Loan or participation in any L/C Disbursement any amount in excess of the maximum lawful rate (the “</w:t>
      </w:r>
      <w:r>
        <w:rPr>
          <w:rFonts w:ascii="Times New Roman" w:cs="Times New Roman" w:eastAsia="Times New Roman" w:hAnsi="Times New Roman"/>
          <w:sz w:val="22"/>
          <w:szCs w:val="22"/>
          <w:i w:val="1"/>
          <w:iCs w:val="1"/>
          <w:color w:val="auto"/>
        </w:rPr>
        <w:t>Maximum Rate</w:t>
      </w:r>
      <w:r>
        <w:rPr>
          <w:rFonts w:ascii="Times New Roman" w:cs="Times New Roman" w:eastAsia="Times New Roman" w:hAnsi="Times New Roman"/>
          <w:sz w:val="22"/>
          <w:szCs w:val="22"/>
          <w:color w:val="auto"/>
        </w:rPr>
        <w:t>”), and in the event any Lender ever receives, collects or applies as interest (whether termed interest herein or deemed to be interest by operation of law or judicial determination) any such excess, or if an acceleration of the maturities of the Loans or if any prepayment by any Borrower results in such Borrower having paid any interest in excess of the Maximum Rate, such amount which would be excessive interest shall be deemed to be a partial prepayment of principal and applied to the reduction of the unpaid principal balance of the Loans for which such excess was received, collected or applied, and, if the principal amount of the Obligations is paid in full, any remaining excess shall forthwith be paid to the Applicable Borrower. All sums paid or agreed to be paid to the Lenders for the use, forbearance or detention of the Obligations evidenced by this Agreement shall, to the extent permitted by applicable law, be amortized, prorated, allocated and spread, in equal or unequal parts, throughout the full term of such Obligations until payment in full so that the rate or amount of interest on account of such indebtedness does not exceed the Maximum Rate. In determining whether or not the interest paid or payable under any specific contingency exceeds the Maximum Rate of interest permitted by law, the Borrowers and the Lenders shall, to the maximum extent permitted under applicable law, (i) characterize any non-principal payment as an expense, fee or premium, rather than as interest; and (ii) exclude voluntary prepayments and the effect thereof; and (iii) compare the total amount of interest contracted for, charged or received with the total amount of interest which could be contracted for, charged or received throughout the entire contemplated term of the Loans at the Maximum Rate.</w:t>
      </w:r>
    </w:p>
    <w:p>
      <w:pPr>
        <w:spacing w:after="0" w:line="9"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9.10 </w:t>
      </w:r>
      <w:r>
        <w:rPr>
          <w:rFonts w:ascii="Times New Roman" w:cs="Times New Roman" w:eastAsia="Times New Roman" w:hAnsi="Times New Roman"/>
          <w:sz w:val="22"/>
          <w:szCs w:val="22"/>
          <w:b w:val="1"/>
          <w:bCs w:val="1"/>
          <w:i w:val="1"/>
          <w:iCs w:val="1"/>
          <w:color w:val="auto"/>
        </w:rPr>
        <w:t>Entire Agreement</w:t>
      </w:r>
      <w:r>
        <w:rPr>
          <w:rFonts w:ascii="Times New Roman" w:cs="Times New Roman" w:eastAsia="Times New Roman" w:hAnsi="Times New Roman"/>
          <w:sz w:val="22"/>
          <w:szCs w:val="22"/>
          <w:color w:val="auto"/>
        </w:rPr>
        <w:t>. This Agreement, the other Loan Documents and the Fee Letter constitute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 among the parties relating to the subject matter hereof and supersede any and all previous agreements and understandings, oral or written, relating to the subject matter hereof.</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9.11 </w:t>
      </w:r>
      <w:r>
        <w:rPr>
          <w:rFonts w:ascii="Times New Roman" w:cs="Times New Roman" w:eastAsia="Times New Roman" w:hAnsi="Times New Roman"/>
          <w:sz w:val="22"/>
          <w:szCs w:val="22"/>
          <w:b w:val="1"/>
          <w:bCs w:val="1"/>
          <w:i w:val="1"/>
          <w:iCs w:val="1"/>
          <w:color w:val="auto"/>
        </w:rPr>
        <w:t>WAIVER OF JURY TRIAL</w:t>
      </w:r>
      <w:r>
        <w:rPr>
          <w:rFonts w:ascii="Times New Roman" w:cs="Times New Roman" w:eastAsia="Times New Roman" w:hAnsi="Times New Roman"/>
          <w:sz w:val="22"/>
          <w:szCs w:val="22"/>
          <w:color w:val="auto"/>
        </w:rPr>
        <w:t>. EACH PARTY HERETO HEREBY EXPRESSLY AND IRREVOCABLY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WAIVES, TO THE FULLEST EXTENT PERMITTED BY APPLICABLE LAW, ANY RIGHT IT MAY HAVE TO A TRIAL BY JURY IN RESPECT OF ANY CLAIM, DEMAND, ACTION OR CAUSE OF ACTION DIRECTLY OR INDIRECTLY ARISING OUT OF, UNDER OR IN ANY CONNECTION WITH THIS AGREEMENT OR ANY OF THE OTHER LOAN DOCUMENTS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5"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9.12 </w:t>
      </w:r>
      <w:r>
        <w:rPr>
          <w:rFonts w:ascii="Times New Roman" w:cs="Times New Roman" w:eastAsia="Times New Roman" w:hAnsi="Times New Roman"/>
          <w:sz w:val="22"/>
          <w:szCs w:val="22"/>
          <w:b w:val="1"/>
          <w:bCs w:val="1"/>
          <w:i w:val="1"/>
          <w:iCs w:val="1"/>
          <w:color w:val="auto"/>
        </w:rPr>
        <w:t>Severability</w:t>
      </w:r>
      <w:r>
        <w:rPr>
          <w:rFonts w:ascii="Times New Roman" w:cs="Times New Roman" w:eastAsia="Times New Roman" w:hAnsi="Times New Roman"/>
          <w:sz w:val="22"/>
          <w:szCs w:val="22"/>
          <w:color w:val="auto"/>
        </w:rPr>
        <w:t>. In the event any one or more of the provisions contained in this Agreement or in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w:t>
      </w: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89" w:right="339" w:bottom="1440" w:gutter="0" w:footer="0" w:header="0"/>
        </w:sectPr>
      </w:pPr>
    </w:p>
    <w:bookmarkStart w:id="169" w:name="page170"/>
    <w:bookmarkEnd w:id="169"/>
    <w:p>
      <w:pPr>
        <w:jc w:val="both"/>
        <w:spacing w:after="0" w:line="208" w:lineRule="auto"/>
        <w:rPr>
          <w:sz w:val="20"/>
          <w:szCs w:val="20"/>
          <w:color w:val="auto"/>
        </w:rPr>
      </w:pPr>
      <w:r>
        <w:rPr>
          <w:rFonts w:ascii="Times New Roman" w:cs="Times New Roman" w:eastAsia="Times New Roman" w:hAnsi="Times New Roman"/>
          <w:sz w:val="22"/>
          <w:szCs w:val="22"/>
          <w:color w:val="auto"/>
        </w:rPr>
        <w:t>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The invalidity of a provision in a particular jurisdiction shall not invalidate or render unenforceable such provision in any other jurisdiction. Without limiting the foregoing provisions of this Section 9.12, if and to the extent that the enforceability of any provisions in this Agreement relating to Defaulting Lenders shall be limited by Insolvency Laws, as determined in good faith by an Agent or Issuing Bank, as applicable, then such provisions shall be deemed to be in effect only to the extent not so limited.</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9.13 </w:t>
      </w:r>
      <w:r>
        <w:rPr>
          <w:rFonts w:ascii="Times New Roman" w:cs="Times New Roman" w:eastAsia="Times New Roman" w:hAnsi="Times New Roman"/>
          <w:sz w:val="22"/>
          <w:szCs w:val="22"/>
          <w:b w:val="1"/>
          <w:bCs w:val="1"/>
          <w:i w:val="1"/>
          <w:iCs w:val="1"/>
          <w:color w:val="auto"/>
        </w:rPr>
        <w:t>Counterparts</w:t>
      </w:r>
      <w:r>
        <w:rPr>
          <w:rFonts w:ascii="Times New Roman" w:cs="Times New Roman" w:eastAsia="Times New Roman" w:hAnsi="Times New Roman"/>
          <w:sz w:val="22"/>
          <w:szCs w:val="22"/>
          <w:color w:val="auto"/>
        </w:rPr>
        <w:t>. This Agreement may be executed in counterparts (and by different parties hereto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different counterparts), each of which shall constitute an original but all of which when taken together shall constitute a single contract, and shall become effective as provided in Section 9.03. Delivery of an executed signature page to (x) this Agreement,</w:t>
      </w:r>
    </w:p>
    <w:p>
      <w:pPr>
        <w:spacing w:after="0" w:line="3" w:lineRule="exact"/>
        <w:rPr>
          <w:sz w:val="20"/>
          <w:szCs w:val="20"/>
          <w:color w:val="auto"/>
        </w:rPr>
      </w:pPr>
    </w:p>
    <w:p>
      <w:pPr>
        <w:jc w:val="both"/>
        <w:ind w:firstLine="8"/>
        <w:spacing w:after="0" w:line="206" w:lineRule="auto"/>
        <w:tabs>
          <w:tab w:leader="none" w:pos="32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2"/>
          <w:szCs w:val="22"/>
          <w:i w:val="1"/>
          <w:iCs w:val="1"/>
          <w:color w:val="auto"/>
        </w:rPr>
        <w:t>Ancillary Document</w:t>
      </w:r>
      <w:r>
        <w:rPr>
          <w:rFonts w:ascii="Times New Roman" w:cs="Times New Roman" w:eastAsia="Times New Roman" w:hAnsi="Times New Roman"/>
          <w:sz w:val="22"/>
          <w:szCs w:val="22"/>
          <w:color w:val="auto"/>
        </w:rPr>
        <w:t xml:space="preserve">”), including an Electronic Signature, by facsimile transmission or by electronic communication (e-mail) shall be as effective as delivery of a manually signed counterpart of this Agreement, such other Loan Document or such Ancillary Document, as applicable. The words “execution,” “execute”, “signed,” “signature,” “delivery,” and words of like import in or related to any document to be signed in connection with this Agreement, any other Loan Document, any Ancillary Document and the transactions contemplated hereby shall be deemed to include Electronic Signatures, the electronic matching of assignment terms and contract formations on electronic platforms approved by the Administrative Agents,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herein shall require the Applicable Administrative Agent to accept Electronic Signatures in any form or format without its prior written consent and pursuant to procedures approved by it;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without limiting the foregoing, (i) to the extent the Applicable Administrative Agent has agreed to accept any Electronic Signature, the Applicable Administrative Agent and each of the Lenders, Swing Line Lenders and Issuing Banks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Applicable Administrative Agent, any Lender, any Swing Line Lender or any Issuing Bank, any Electronic Signature shall be promptly followed by a manually executed counterpart. Without limiting the generality of the foregoing, each Borrower and each other Loan Party hereby (A) agrees that, for all purposes, including without limitation, in connection with any workout, restructuring, enforcement of remedies, bankruptcy proceedings or litigation among the Agents, the Lenders, the Swing Line Lenders, the Issuing Banks, the Borrowers and the other Loan Parties, Electronic Signatures transmitted by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Applicable Administrative Agent and each of the Lenders, Swing Line Lenders and Issuing Banks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w:t>
      </w:r>
    </w:p>
    <w:p>
      <w:pPr>
        <w:spacing w:after="0" w:line="3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70" w:name="page171"/>
    <w:bookmarkEnd w:id="170"/>
    <w:p>
      <w:pPr>
        <w:jc w:val="both"/>
        <w:spacing w:after="0" w:line="206" w:lineRule="auto"/>
        <w:rPr>
          <w:sz w:val="20"/>
          <w:szCs w:val="20"/>
          <w:color w:val="auto"/>
        </w:rPr>
      </w:pPr>
      <w:r>
        <w:rPr>
          <w:rFonts w:ascii="Times New Roman" w:cs="Times New Roman" w:eastAsia="Times New Roman" w:hAnsi="Times New Roman"/>
          <w:sz w:val="22"/>
          <w:szCs w:val="22"/>
          <w:color w:val="auto"/>
        </w:rPr>
        <w:t xml:space="preserve">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Related Parties of any of the Lenders, Swing Line Lenders or Issuing Banks for any liabilities arising solely from the Applicable Administrative Agent’s, any Lender’s, any Swing Line Lender’s and/or any Issuing Bank’s reliance on or use of Electronic Signatures and/or transmissions by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 The Applicable Administrative Agent may, in its discretion, require that any such documents and signatures executed electronically or delivered by fax or other electronic transmission be confirmed by a manually-signed original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request or deliver the same shall not limit the effectiveness of any document or signature executed electronically or delivered by fax or other electronic transmission.</w:t>
      </w:r>
    </w:p>
    <w:p>
      <w:pPr>
        <w:spacing w:after="0" w:line="9"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9.14 </w:t>
      </w:r>
      <w:r>
        <w:rPr>
          <w:rFonts w:ascii="Times New Roman" w:cs="Times New Roman" w:eastAsia="Times New Roman" w:hAnsi="Times New Roman"/>
          <w:sz w:val="22"/>
          <w:szCs w:val="22"/>
          <w:b w:val="1"/>
          <w:bCs w:val="1"/>
          <w:i w:val="1"/>
          <w:iCs w:val="1"/>
          <w:color w:val="auto"/>
        </w:rPr>
        <w:t>Headings</w:t>
      </w:r>
      <w:r>
        <w:rPr>
          <w:rFonts w:ascii="Times New Roman" w:cs="Times New Roman" w:eastAsia="Times New Roman" w:hAnsi="Times New Roman"/>
          <w:sz w:val="22"/>
          <w:szCs w:val="22"/>
          <w:color w:val="auto"/>
        </w:rPr>
        <w:t>. Article and Section headings and the Table of Contents used herein are for convenience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only, are not part of this Agreement and are not to affect the construction of, or to be taken into consideration in interpreting, this Agreement.</w:t>
      </w:r>
    </w:p>
    <w:p>
      <w:pPr>
        <w:ind w:left="660"/>
        <w:spacing w:after="0" w:line="217" w:lineRule="auto"/>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9.15</w:t>
      </w:r>
      <w:r>
        <w:rPr>
          <w:sz w:val="20"/>
          <w:szCs w:val="20"/>
          <w:color w:val="auto"/>
        </w:rPr>
        <w:tab/>
      </w:r>
      <w:r>
        <w:rPr>
          <w:rFonts w:ascii="Times New Roman" w:cs="Times New Roman" w:eastAsia="Times New Roman" w:hAnsi="Times New Roman"/>
          <w:sz w:val="21"/>
          <w:szCs w:val="21"/>
          <w:b w:val="1"/>
          <w:bCs w:val="1"/>
          <w:i w:val="1"/>
          <w:iCs w:val="1"/>
          <w:color w:val="auto"/>
        </w:rPr>
        <w:t>Jurisdiction; Consent to Service of Process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09" w:lineRule="auto"/>
        <w:tabs>
          <w:tab w:leader="none" w:pos="194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legal action or proceeding with respect to this Agreement or any other Loan Document may be brought in the courts of the State of New York sitting in the Borough of Manhattan, New York City or of the United States for the Eastern District of such state, and by execution and delivery of this Agreement, each of the Borrowers hereby irrevocably and unconditionally submits, for itself and its property, to the nonexclusive jurisdiction of those courts. Each of the parties hereto agrees that a final judgment in any such action or proceeding shall be conclusive and may be enforced in other jurisdictions by suit on the judgment or in any other manner provided by law. Nothing in this Agreement shall affect any right that an Agent, an Issuing Bank or any Lender may otherwise have to bring any action or proceeding relating to this Agreement or the other Loan Documents against the Borrowers or their respective properties in the courts of any jurisdiction.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such New York state or Federal court. Each of the parties hereto hereby irrevocably waives, to the fullest extent permitted by law, the defense of an inconvenient forum to the maintenance of such action or proceeding in any such court.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9.01. Nothing in this Agreement will affect the right of any party to this Agreement to serve process in any other manner permitted by law. Each Borrower waives personal service of any summons, complaint or other process, which may be made by any other means permitted by the law of such state.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(other than the Parent Borrower) hereby irrevocably appoints the Parent Borrower as its agent to receive on its behalf and on behalf of its property service of copies of any summons or complaint or any other process which may be served in any action. Such service may be made by mailing or delivering a copy of such process to such Loan Party in care of the Parent Borrower at the Parent Borrower’s address set forth in Section 9.01,</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159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t>and each such Loan Party hereby irrevocably authorizes and directs the Parent Borrower to accept such service on its behalf.</w:t>
      </w:r>
    </w:p>
    <w:p>
      <w:pPr>
        <w:spacing w:after="0" w:line="17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Section 9.16 </w:t>
      </w:r>
      <w:r>
        <w:rPr>
          <w:rFonts w:ascii="Times New Roman" w:cs="Times New Roman" w:eastAsia="Times New Roman" w:hAnsi="Times New Roman"/>
          <w:sz w:val="21"/>
          <w:szCs w:val="21"/>
          <w:b w:val="1"/>
          <w:bCs w:val="1"/>
          <w:i w:val="1"/>
          <w:iCs w:val="1"/>
          <w:color w:val="auto"/>
        </w:rPr>
        <w:t>Confidentiality</w:t>
      </w:r>
      <w:r>
        <w:rPr>
          <w:rFonts w:ascii="Times New Roman" w:cs="Times New Roman" w:eastAsia="Times New Roman" w:hAnsi="Times New Roman"/>
          <w:sz w:val="21"/>
          <w:szCs w:val="21"/>
          <w:color w:val="auto"/>
        </w:rPr>
        <w:t>. Each of the Agents, the Issuing Banks and the Lenders agrees to maintain, and cause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respective Affiliates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 or by any subpoena or similar legal process, except that the parties hereto agree to the extent permitted they will not disclose information of the kind described by section 275(1) of the PPSA (Australia) except as permitted by any other provision of this clause or required by any other law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pledgee under Section 9.04(f) or Participant in, or any prospective assignee of, pledgee under Section 9.04(f) or Participant in, any of its rights or obligations under this Agreement or</w:t>
      </w:r>
    </w:p>
    <w:p>
      <w:pPr>
        <w:spacing w:after="0" w:line="13" w:lineRule="exact"/>
        <w:rPr>
          <w:sz w:val="20"/>
          <w:szCs w:val="20"/>
          <w:color w:val="auto"/>
        </w:rPr>
      </w:pPr>
    </w:p>
    <w:p>
      <w:pPr>
        <w:jc w:val="both"/>
        <w:ind w:firstLine="8"/>
        <w:spacing w:after="0" w:line="214" w:lineRule="auto"/>
        <w:tabs>
          <w:tab w:leader="none" w:pos="327"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actual or prospective counterparty (or its advisors) to any swap or derivative transaction relating to the Loan Parties and their obligations, (g) with the consent of the Parent Borrower or (h) to the extent such Information (x) becomes publicly available other than as a result of a breach of this Section or (y) becomes available to any Agent, any Issuing Bank or any Lender on a non-confidential basis from a source other than a Borrower. For purposes of this Section, “</w:t>
      </w:r>
      <w:r>
        <w:rPr>
          <w:rFonts w:ascii="Times New Roman" w:cs="Times New Roman" w:eastAsia="Times New Roman" w:hAnsi="Times New Roman"/>
          <w:sz w:val="21"/>
          <w:szCs w:val="21"/>
          <w:i w:val="1"/>
          <w:iCs w:val="1"/>
          <w:color w:val="auto"/>
        </w:rPr>
        <w:t>Information</w:t>
      </w:r>
      <w:r>
        <w:rPr>
          <w:rFonts w:ascii="Times New Roman" w:cs="Times New Roman" w:eastAsia="Times New Roman" w:hAnsi="Times New Roman"/>
          <w:sz w:val="21"/>
          <w:szCs w:val="21"/>
          <w:color w:val="auto"/>
        </w:rPr>
        <w:t xml:space="preserve">” shall mean all information received from any Loan Party relating to any Loan Party or any of their respective businesses, other than any such information that is available to an Agent, an Issuing Bank or any Lender on a non-confidential basis prior to disclosure by any Loan Party,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in the case of information received from a Loan Party after the date hereof, such information is clearly identified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6" w:lineRule="exact"/>
        <w:rPr>
          <w:rFonts w:ascii="Times New Roman" w:cs="Times New Roman" w:eastAsia="Times New Roman" w:hAnsi="Times New Roman"/>
          <w:sz w:val="21"/>
          <w:szCs w:val="21"/>
          <w:color w:val="auto"/>
        </w:rPr>
      </w:pPr>
    </w:p>
    <w:p>
      <w:pPr>
        <w:ind w:left="660"/>
        <w:spacing w:after="0" w:line="20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Section 9.17  </w:t>
      </w:r>
      <w:r>
        <w:rPr>
          <w:rFonts w:ascii="Times New Roman" w:cs="Times New Roman" w:eastAsia="Times New Roman" w:hAnsi="Times New Roman"/>
          <w:sz w:val="22"/>
          <w:szCs w:val="22"/>
          <w:b w:val="1"/>
          <w:bCs w:val="1"/>
          <w:i w:val="1"/>
          <w:iCs w:val="1"/>
          <w:color w:val="auto"/>
        </w:rPr>
        <w:t>Judgment Currency</w:t>
      </w:r>
      <w:r>
        <w:rPr>
          <w:rFonts w:ascii="Times New Roman" w:cs="Times New Roman" w:eastAsia="Times New Roman" w:hAnsi="Times New Roman"/>
          <w:sz w:val="22"/>
          <w:szCs w:val="22"/>
          <w:color w:val="auto"/>
        </w:rPr>
        <w:t>.</w:t>
      </w:r>
    </w:p>
    <w:p>
      <w:pPr>
        <w:jc w:val="both"/>
        <w:ind w:firstLine="1304"/>
        <w:spacing w:after="0" w:line="208" w:lineRule="auto"/>
        <w:tabs>
          <w:tab w:leader="none" w:pos="1941"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Borrowers and the other Loan Parties hereunder and under the other Loan Documents to make payments in U.S. dollars, Canadian dollars or Australian dollars (the “</w:t>
      </w:r>
      <w:r>
        <w:rPr>
          <w:rFonts w:ascii="Times New Roman" w:cs="Times New Roman" w:eastAsia="Times New Roman" w:hAnsi="Times New Roman"/>
          <w:sz w:val="22"/>
          <w:szCs w:val="22"/>
          <w:i w:val="1"/>
          <w:iCs w:val="1"/>
          <w:color w:val="auto"/>
        </w:rPr>
        <w:t>Obligation Currency</w:t>
      </w:r>
      <w:r>
        <w:rPr>
          <w:rFonts w:ascii="Times New Roman" w:cs="Times New Roman" w:eastAsia="Times New Roman" w:hAnsi="Times New Roman"/>
          <w:sz w:val="22"/>
          <w:szCs w:val="22"/>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Applicable Administrative Agent or a Lender or an Issuing Bank of the full amount of the Obligation Currency expressed to be payable to such Administrative Agent, Lender or Issuing Bank under this Agreement or the other Loan Documents. If, for the purpose of obtaining or enforcing judgment against a Borrower or any other Loan Party or in any court or in any jurisdiction, it becomes necessary to convert into or from any currency other than the Obligation Currency (such other currency being hereinafter referred to as the “</w:t>
      </w:r>
      <w:r>
        <w:rPr>
          <w:rFonts w:ascii="Times New Roman" w:cs="Times New Roman" w:eastAsia="Times New Roman" w:hAnsi="Times New Roman"/>
          <w:sz w:val="22"/>
          <w:szCs w:val="22"/>
          <w:i w:val="1"/>
          <w:iCs w:val="1"/>
          <w:color w:val="auto"/>
        </w:rPr>
        <w:t>Judgment Currency</w:t>
      </w:r>
      <w:r>
        <w:rPr>
          <w:rFonts w:ascii="Times New Roman" w:cs="Times New Roman" w:eastAsia="Times New Roman" w:hAnsi="Times New Roman"/>
          <w:sz w:val="22"/>
          <w:szCs w:val="22"/>
          <w:color w:val="auto"/>
        </w:rPr>
        <w:t>”) an amount due in the Obligation Currency, the conversion shall be made at the Canadian Dollar Equivalent, U.S. Dollar Equivalent or Australian Dollar Equivalent, or,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date</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160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72" w:name="page173"/>
    <w:bookmarkEnd w:id="172"/>
    <w:p>
      <w:pPr>
        <w:spacing w:after="0" w:line="238" w:lineRule="auto"/>
        <w:rPr>
          <w:sz w:val="20"/>
          <w:szCs w:val="20"/>
          <w:color w:val="auto"/>
        </w:rPr>
      </w:pPr>
      <w:r>
        <w:rPr>
          <w:rFonts w:ascii="Times New Roman" w:cs="Times New Roman" w:eastAsia="Times New Roman" w:hAnsi="Times New Roman"/>
          <w:sz w:val="22"/>
          <w:szCs w:val="22"/>
          <w:color w:val="auto"/>
        </w:rPr>
        <w:t>immediately preceding the day on which the judgment is given (such Business Day being hereinafter referred to as the “</w:t>
      </w:r>
      <w:r>
        <w:rPr>
          <w:rFonts w:ascii="Times New Roman" w:cs="Times New Roman" w:eastAsia="Times New Roman" w:hAnsi="Times New Roman"/>
          <w:sz w:val="22"/>
          <w:szCs w:val="22"/>
          <w:i w:val="1"/>
          <w:iCs w:val="1"/>
          <w:color w:val="auto"/>
        </w:rPr>
        <w:t>Judgment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Currency Conversion Date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304"/>
        <w:spacing w:after="0" w:line="213" w:lineRule="auto"/>
        <w:tabs>
          <w:tab w:leader="none" w:pos="19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 change in the rate of exchange prevailing between the Judgment Currency Conversion Date and the date of actual payment of the amount due, each Borrower covenants and agrees to pay, or cause to be paid, as a separate obligation and notwithstanding any judgment,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Canadian Dollar Equivalent, U.S. Dollar Equivalent or Australian Dollar Equivalent or rate of exchange for this Section, such amounts shall include any premium and costs payable in connection with the purchase of the Obligation Currency.</w:t>
      </w:r>
    </w:p>
    <w:p>
      <w:pPr>
        <w:spacing w:after="0" w:line="147"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b w:val="1"/>
          <w:bCs w:val="1"/>
          <w:color w:val="auto"/>
        </w:rPr>
        <w:t xml:space="preserve">Section 9.18 </w:t>
      </w:r>
      <w:r>
        <w:rPr>
          <w:rFonts w:ascii="Times New Roman" w:cs="Times New Roman" w:eastAsia="Times New Roman" w:hAnsi="Times New Roman"/>
          <w:sz w:val="22"/>
          <w:szCs w:val="22"/>
          <w:b w:val="1"/>
          <w:bCs w:val="1"/>
          <w:i w:val="1"/>
          <w:iCs w:val="1"/>
          <w:color w:val="auto"/>
        </w:rPr>
        <w:t>Exculpation Provisions</w:t>
      </w:r>
      <w:r>
        <w:rPr>
          <w:rFonts w:ascii="Times New Roman" w:cs="Times New Roman" w:eastAsia="Times New Roman" w:hAnsi="Times New Roman"/>
          <w:sz w:val="22"/>
          <w:szCs w:val="22"/>
          <w:color w:val="auto"/>
        </w:rPr>
        <w:t>. EACH OF THE PARTIES HERETO SPECIFICALLY AGREES THAT IT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DUTY TO 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1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9.19 </w:t>
      </w:r>
      <w:r>
        <w:rPr>
          <w:rFonts w:ascii="Times New Roman" w:cs="Times New Roman" w:eastAsia="Times New Roman" w:hAnsi="Times New Roman"/>
          <w:sz w:val="22"/>
          <w:szCs w:val="22"/>
          <w:b w:val="1"/>
          <w:bCs w:val="1"/>
          <w:i w:val="1"/>
          <w:iCs w:val="1"/>
          <w:color w:val="auto"/>
        </w:rPr>
        <w:t>Payments Set Aside</w:t>
      </w:r>
      <w:r>
        <w:rPr>
          <w:rFonts w:ascii="Times New Roman" w:cs="Times New Roman" w:eastAsia="Times New Roman" w:hAnsi="Times New Roman"/>
          <w:sz w:val="22"/>
          <w:szCs w:val="22"/>
          <w:color w:val="auto"/>
        </w:rPr>
        <w:t>. To the extent that any payment by or on behalf of any Loan Party is made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Issuing Bank or Lender, or any Agent, Issuing Bank or Lender exercises its right of setoff, and such payment or the proceeds of such setoff or any part thereof is subsequently invalidated, declared to be fraudulent or preferential, set aside or required (including pursuant to any settlement entered into by such Agent, Issuing Bank or Lender in its discretion) to be repaid to a trustee, receiver or any other party, in connection with any proceeding under any Insolvency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Applicable Administrative Agent upon demand its applicable share (without duplication) of any amount so recovered from or repaid by the Applicable Administrative Agent, plus interest thereon from the date of such demand to the date such payment is made at a rate per annum equal to the applicable overnight rate from time to time in effect, in the applicable currency of such recovery or payment. The</w:t>
      </w:r>
    </w:p>
    <w:p>
      <w:pPr>
        <w:spacing w:after="0" w:line="3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161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1" w:right="339" w:bottom="1440" w:gutter="0" w:footer="0" w:header="0"/>
        </w:sectPr>
      </w:pPr>
    </w:p>
    <w:bookmarkStart w:id="173" w:name="page174"/>
    <w:bookmarkEnd w:id="173"/>
    <w:p>
      <w:pPr>
        <w:jc w:val="both"/>
        <w:spacing w:after="0" w:line="216" w:lineRule="auto"/>
        <w:rPr>
          <w:sz w:val="20"/>
          <w:szCs w:val="20"/>
          <w:color w:val="auto"/>
        </w:rPr>
      </w:pPr>
      <w:r>
        <w:rPr>
          <w:rFonts w:ascii="Times New Roman" w:cs="Times New Roman" w:eastAsia="Times New Roman" w:hAnsi="Times New Roman"/>
          <w:sz w:val="22"/>
          <w:szCs w:val="22"/>
          <w:color w:val="auto"/>
        </w:rPr>
        <w:t>obligations of the Lenders and the Issuing Bank under clause (b) of the preceding sentence shall survive the payment in full of the Obligations and the termination of this Agreement.</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9.20 </w:t>
      </w:r>
      <w:r>
        <w:rPr>
          <w:rFonts w:ascii="Times New Roman" w:cs="Times New Roman" w:eastAsia="Times New Roman" w:hAnsi="Times New Roman"/>
          <w:sz w:val="22"/>
          <w:szCs w:val="22"/>
          <w:b w:val="1"/>
          <w:bCs w:val="1"/>
          <w:i w:val="1"/>
          <w:iCs w:val="1"/>
          <w:color w:val="auto"/>
        </w:rPr>
        <w:t>Termination</w:t>
      </w:r>
      <w:r>
        <w:rPr>
          <w:rFonts w:ascii="Times New Roman" w:cs="Times New Roman" w:eastAsia="Times New Roman" w:hAnsi="Times New Roman"/>
          <w:sz w:val="22"/>
          <w:szCs w:val="22"/>
          <w:color w:val="auto"/>
        </w:rPr>
        <w:t>. This Agreement and each other Loan Document, and the covenants and agreements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herein and therein, and, in the case of any Security Document, all security interests and other Liens created thereunder, shall terminate upon the payment in full of all principal of and any accrued interest on any Loan and all Fees and other amounts payable under this Agreement, the termination or expiration of all Letters of Credit and the termination or expiration of the Commitments;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provisions of Sections 2.13, 2.15, 2.19 and 9.05 and Article VIII, and any other provision set forth herein or therein that by its terms survives the termination of this Agreement or such other Loan Document, shall survive and remain in full force and effect.</w:t>
      </w:r>
    </w:p>
    <w:p>
      <w:pPr>
        <w:spacing w:after="0" w:line="7"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9.21 </w:t>
      </w:r>
      <w:r>
        <w:rPr>
          <w:rFonts w:ascii="Times New Roman" w:cs="Times New Roman" w:eastAsia="Times New Roman" w:hAnsi="Times New Roman"/>
          <w:sz w:val="22"/>
          <w:szCs w:val="22"/>
          <w:b w:val="1"/>
          <w:bCs w:val="1"/>
          <w:i w:val="1"/>
          <w:iCs w:val="1"/>
          <w:color w:val="auto"/>
        </w:rPr>
        <w:t>Patriot Act Notice</w:t>
      </w:r>
      <w:r>
        <w:rPr>
          <w:rFonts w:ascii="Times New Roman" w:cs="Times New Roman" w:eastAsia="Times New Roman" w:hAnsi="Times New Roman"/>
          <w:sz w:val="22"/>
          <w:szCs w:val="22"/>
          <w:color w:val="auto"/>
        </w:rPr>
        <w:t>. Each Lender hereby notifies each Borrower that pursuant to the requirements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USA Patriot Act (Title III of Pub. L. 107-56 (signed into law October 26, 2001))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it is required to obtain, verify and record information that identifies such Borrower, which information includes the name and address of such Borrower and other information that will allow such Lender to identify such Borrower in accordance with the Patriot Act.</w:t>
      </w:r>
    </w:p>
    <w:p>
      <w:pPr>
        <w:spacing w:after="0" w:line="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9.22</w:t>
      </w:r>
      <w:r>
        <w:rPr>
          <w:sz w:val="20"/>
          <w:szCs w:val="20"/>
          <w:color w:val="auto"/>
        </w:rPr>
        <w:tab/>
      </w:r>
      <w:r>
        <w:rPr>
          <w:rFonts w:ascii="Times New Roman" w:cs="Times New Roman" w:eastAsia="Times New Roman" w:hAnsi="Times New Roman"/>
          <w:sz w:val="21"/>
          <w:szCs w:val="21"/>
          <w:b w:val="1"/>
          <w:bCs w:val="1"/>
          <w:i w:val="1"/>
          <w:iCs w:val="1"/>
          <w:color w:val="auto"/>
        </w:rPr>
        <w:t>Public Offer</w:t>
      </w:r>
    </w:p>
    <w:p>
      <w:pPr>
        <w:spacing w:after="0" w:line="151" w:lineRule="exact"/>
        <w:rPr>
          <w:sz w:val="20"/>
          <w:szCs w:val="20"/>
          <w:color w:val="auto"/>
        </w:rPr>
      </w:pPr>
    </w:p>
    <w:p>
      <w:pPr>
        <w:ind w:firstLine="1304"/>
        <w:spacing w:after="0" w:line="238" w:lineRule="auto"/>
        <w:tabs>
          <w:tab w:leader="none" w:pos="194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Lead Arranger’s representations, warranties and undertakings</w:t>
      </w:r>
      <w:r>
        <w:rPr>
          <w:rFonts w:ascii="Times New Roman" w:cs="Times New Roman" w:eastAsia="Times New Roman" w:hAnsi="Times New Roman"/>
          <w:sz w:val="22"/>
          <w:szCs w:val="22"/>
          <w:color w:val="auto"/>
        </w:rPr>
        <w:t>. The Lead Arranger undertakes, represents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warrants to the Australian Loan Parties as follows:</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92" w:val="left"/>
        </w:tabs>
        <w:numPr>
          <w:ilvl w:val="2"/>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behalf of the Australian Loan Parties, the Lead Arranger made invitations to become a Lender under this Agreement to at least 10 persons, each of whom, as at the date the relevant invitation is made, the relevant officers of the Lead Arranger involved in the transaction on a day to day basis believe carries on the business of providing finance or investing or dealing in securities in the course of operating in financial markets, for the purposes of section 128F(3A)(a)(i) of the Australian Tax Act, and each of whom has been disclosed to the Australian Loan Parties;</w:t>
      </w:r>
    </w:p>
    <w:p>
      <w:pPr>
        <w:spacing w:after="0" w:line="153" w:lineRule="exact"/>
        <w:rPr>
          <w:rFonts w:ascii="Times New Roman" w:cs="Times New Roman" w:eastAsia="Times New Roman" w:hAnsi="Times New Roman"/>
          <w:sz w:val="21"/>
          <w:szCs w:val="21"/>
          <w:color w:val="auto"/>
        </w:rPr>
      </w:pPr>
    </w:p>
    <w:p>
      <w:pPr>
        <w:jc w:val="both"/>
        <w:ind w:left="660" w:firstLine="1292"/>
        <w:spacing w:after="0" w:line="220" w:lineRule="auto"/>
        <w:tabs>
          <w:tab w:leader="none" w:pos="2598" w:val="left"/>
        </w:tabs>
        <w:numPr>
          <w:ilvl w:val="2"/>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10 of the persons to whom the Lead Arranger (on behalf of the Australian Loan Parties) has made invitations referred to in paragraph (i) above are not, as at the date the invitations are made, to the knowledge of the relevant officers of the Lead Arranger involved in the transaction, Associates of any of the others of those 10 invitees, the Lead Arranger or any Lender;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2"/>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Arranger has not made and will not make offers or invitations referred to in paragraph (i) above to persons whom the relevant officers of the Lead Arranger involved in the transaction know or suspect are Offshore Associates of the Australian Loan Parties.</w:t>
      </w:r>
    </w:p>
    <w:p>
      <w:pPr>
        <w:spacing w:after="0" w:line="14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Australian Loan Parties’ representations and warranties</w:t>
      </w:r>
      <w:r>
        <w:rPr>
          <w:rFonts w:ascii="Times New Roman" w:cs="Times New Roman" w:eastAsia="Times New Roman" w:hAnsi="Times New Roman"/>
          <w:sz w:val="21"/>
          <w:szCs w:val="21"/>
          <w:color w:val="auto"/>
        </w:rPr>
        <w:t>. The Australian Loan Parties represent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warrant that none of the potential offerees whose names were disclosed to it by the Lead Arranger before the date of this Agreement were known or suspected by it to be an Offshore Associate of it or an Associate of any other such offeree. The Lead Arranger shall not, after the date of this Agreement, make an invitation to become a Lender under this Agreement to any potential offeree unless and until (i) the Lead Arranger has disclosed the name of such potential offeree to the Australian Loan Parties, and</w:t>
      </w:r>
    </w:p>
    <w:p>
      <w:pPr>
        <w:spacing w:after="0" w:line="1" w:lineRule="exact"/>
        <w:rPr>
          <w:rFonts w:ascii="Times New Roman" w:cs="Times New Roman" w:eastAsia="Times New Roman" w:hAnsi="Times New Roman"/>
          <w:sz w:val="21"/>
          <w:szCs w:val="21"/>
          <w:color w:val="auto"/>
        </w:rPr>
      </w:pPr>
    </w:p>
    <w:p>
      <w:pPr>
        <w:jc w:val="both"/>
        <w:ind w:firstLine="8"/>
        <w:spacing w:after="0" w:line="218" w:lineRule="auto"/>
        <w:tabs>
          <w:tab w:leader="none" w:pos="32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Australian Loan Parties have confirmed to the Lead Arranger and the Administrative Agents that such potential offeree is not known or suspected by it to be an Offshore Associate of it. Each Australian Loan Party under this Agreement is a member of the same “wholly-owned group” (as</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162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2"/>
          <w:szCs w:val="22"/>
          <w:color w:val="auto"/>
        </w:rPr>
        <w:t>defined in the Australian Tax Act) or an Associate of each other Australian Loan Party under this Agreement.</w:t>
      </w:r>
    </w:p>
    <w:p>
      <w:pPr>
        <w:spacing w:after="0" w:line="175" w:lineRule="exact"/>
        <w:rPr>
          <w:sz w:val="20"/>
          <w:szCs w:val="20"/>
          <w:color w:val="auto"/>
        </w:rPr>
      </w:pPr>
    </w:p>
    <w:p>
      <w:pPr>
        <w:jc w:val="both"/>
        <w:ind w:firstLine="1304"/>
        <w:spacing w:after="0" w:line="221" w:lineRule="auto"/>
        <w:tabs>
          <w:tab w:leader="none" w:pos="194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Lenders’ representations and warranties</w:t>
      </w:r>
      <w:r>
        <w:rPr>
          <w:rFonts w:ascii="Times New Roman" w:cs="Times New Roman" w:eastAsia="Times New Roman" w:hAnsi="Times New Roman"/>
          <w:sz w:val="22"/>
          <w:szCs w:val="22"/>
          <w:color w:val="auto"/>
        </w:rPr>
        <w:t>. Each Lender represents and warrants to the Australian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Parties that, if it received an invitation under paragraph (a)(i) above, at the time it received the invitation it was not an Offshore Associate of the Australian Loan Parties and it was carrying on the business of providing finance, or investing or dealing in securities, in the course of operating in financial markets.</w:t>
      </w:r>
    </w:p>
    <w:p>
      <w:pPr>
        <w:spacing w:after="0" w:line="148"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The Lead Arranger and each Lender will provide to the Australian Loan Parties when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requested any factual information in its possession or which it is reasonably able to provide to assist the Australian Loan Parties to demonstrate (based upon tax advice received by the Australian Loan Parties) that section 128F of the Australian Tax Act has been satisfied where to do so will not, in the reasonable opinion of the Lead Arranger or the Lenders, breach any law or regulation or any duty of confidence.</w:t>
      </w:r>
    </w:p>
    <w:p>
      <w:pPr>
        <w:spacing w:after="0" w:line="147"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Cooperation if s128F requirement not satisfied</w:t>
      </w:r>
      <w:r>
        <w:rPr>
          <w:rFonts w:ascii="Times New Roman" w:cs="Times New Roman" w:eastAsia="Times New Roman" w:hAnsi="Times New Roman"/>
          <w:sz w:val="22"/>
          <w:szCs w:val="22"/>
          <w:color w:val="auto"/>
        </w:rPr>
        <w:t>. If, for any reason, the requirements of section 128F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Australian Tax Act have not been satisfied in relation to interest payable on Loans (except to an Offshore Associate of the Australian Loan Parties), then on request by the Administrative Agents, the Lead Arranger or the Australian Loan Parties, each party shall cooperate and take steps reasonably requested with a view to satisfying those requirements in paragraph (a), where a Lender breaches paragraph (c) above, at the cost of that Lender, or in all other cases, at the cost of the Australian Loan Parties.</w:t>
      </w:r>
    </w:p>
    <w:p>
      <w:pPr>
        <w:spacing w:after="0" w:line="147" w:lineRule="exact"/>
        <w:rPr>
          <w:rFonts w:ascii="Times New Roman" w:cs="Times New Roman" w:eastAsia="Times New Roman" w:hAnsi="Times New Roman"/>
          <w:sz w:val="22"/>
          <w:szCs w:val="22"/>
          <w:color w:val="auto"/>
        </w:rPr>
      </w:pPr>
    </w:p>
    <w:p>
      <w:pPr>
        <w:ind w:firstLine="1304"/>
        <w:spacing w:after="0" w:line="238" w:lineRule="auto"/>
        <w:tabs>
          <w:tab w:leader="none" w:pos="194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128F syndication statement</w:t>
      </w:r>
      <w:r>
        <w:rPr>
          <w:rFonts w:ascii="Times New Roman" w:cs="Times New Roman" w:eastAsia="Times New Roman" w:hAnsi="Times New Roman"/>
          <w:sz w:val="22"/>
          <w:szCs w:val="22"/>
          <w:color w:val="auto"/>
        </w:rPr>
        <w:t>. The parties agree that this Agreement is a “syndicated facility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for the purposes of section 128F(11)(a) of the Australian Tax Act.</w:t>
      </w:r>
    </w:p>
    <w:p>
      <w:pPr>
        <w:spacing w:after="0" w:line="144"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9.23 </w:t>
      </w:r>
      <w:r>
        <w:rPr>
          <w:rFonts w:ascii="Times New Roman" w:cs="Times New Roman" w:eastAsia="Times New Roman" w:hAnsi="Times New Roman"/>
          <w:sz w:val="22"/>
          <w:szCs w:val="22"/>
          <w:b w:val="1"/>
          <w:bCs w:val="1"/>
          <w:i w:val="1"/>
          <w:iCs w:val="1"/>
          <w:color w:val="auto"/>
        </w:rPr>
        <w:t>Keepwell</w:t>
      </w:r>
      <w:r>
        <w:rPr>
          <w:rFonts w:ascii="Times New Roman" w:cs="Times New Roman" w:eastAsia="Times New Roman" w:hAnsi="Times New Roman"/>
          <w:sz w:val="22"/>
          <w:szCs w:val="22"/>
          <w:color w:val="auto"/>
        </w:rPr>
        <w:t>. The Parent Borrower hereby absolutely, unconditionally and irrevocably undertakes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funds or other support as may be needed from time to time by each Guarantor to honor all of its obligations under its Guarantee in respect of Swap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Parent Borrower shall only be liable under this Section 9.23 for the maximum amount of such liability that can be hereby incurred without rendering its obligations under this Section</w:t>
      </w:r>
    </w:p>
    <w:p>
      <w:pPr>
        <w:jc w:val="both"/>
        <w:spacing w:after="0" w:line="214" w:lineRule="auto"/>
        <w:rPr>
          <w:sz w:val="20"/>
          <w:szCs w:val="20"/>
          <w:color w:val="auto"/>
        </w:rPr>
      </w:pPr>
      <w:r>
        <w:rPr>
          <w:rFonts w:ascii="Times New Roman" w:cs="Times New Roman" w:eastAsia="Times New Roman" w:hAnsi="Times New Roman"/>
          <w:sz w:val="21"/>
          <w:szCs w:val="21"/>
          <w:color w:val="auto"/>
        </w:rPr>
        <w:t>9.23, or otherwise under this Agreement, voidable under applicable law relating to fraudulent conveyance or fraudulent transfer, and not for any greater amount). The obligations of the Parent Borrower under this Section shall remain in full force and effect until the termination of all Commitments and payment in full of all Obligations (other than contingent indemnification obligations) and the expiration or termination of all Letters of Credit (other than Letters of Credit as to which other arrangements satisfactory to the Applicable Administrative Agent and the Applicable Issuing Bank have been made). The Parent Borrower intends that this Section 9.23 constitute, and this Section 9.23 shall be deemed to constitute, a “keepwell, support, or other agreement” for the benefit of each Guarantor for all purposes of Section 1a(18)(A)(v)(II) of the Commodity Exchange Act.</w:t>
      </w:r>
    </w:p>
    <w:p>
      <w:pPr>
        <w:spacing w:after="0" w:line="5"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b w:val="1"/>
          <w:bCs w:val="1"/>
          <w:color w:val="auto"/>
        </w:rPr>
        <w:t xml:space="preserve">Section 9.24 </w:t>
      </w:r>
      <w:r>
        <w:rPr>
          <w:rFonts w:ascii="Times New Roman" w:cs="Times New Roman" w:eastAsia="Times New Roman" w:hAnsi="Times New Roman"/>
          <w:sz w:val="22"/>
          <w:szCs w:val="22"/>
          <w:b w:val="1"/>
          <w:bCs w:val="1"/>
          <w:i w:val="1"/>
          <w:iCs w:val="1"/>
          <w:color w:val="auto"/>
        </w:rPr>
        <w:t>Acknowledgement and Consent to Bail-In of Affected Financial Institutions</w:t>
      </w:r>
      <w:r>
        <w:rPr>
          <w:rFonts w:ascii="Times New Roman" w:cs="Times New Roman" w:eastAsia="Times New Roman" w:hAnsi="Times New Roman"/>
          <w:sz w:val="22"/>
          <w:szCs w:val="22"/>
          <w:color w:val="auto"/>
        </w:rPr>
        <w:t>. Notwithstanding anything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5" w:lineRule="exact"/>
        <w:rPr>
          <w:sz w:val="20"/>
          <w:szCs w:val="20"/>
          <w:color w:val="auto"/>
        </w:rPr>
      </w:pPr>
    </w:p>
    <w:p>
      <w:pPr>
        <w:ind w:firstLine="1304"/>
        <w:spacing w:after="0" w:line="225" w:lineRule="auto"/>
        <w:tabs>
          <w:tab w:leader="none" w:pos="194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an applicable Resolution Authority to any such liabilities arising hereunder which may be payable to it by any party hereto that is an Affected Financial Institution; and</w:t>
      </w:r>
    </w:p>
    <w:p>
      <w:pPr>
        <w:spacing w:after="0" w:line="200" w:lineRule="exact"/>
        <w:rPr>
          <w:sz w:val="20"/>
          <w:szCs w:val="20"/>
          <w:color w:val="auto"/>
        </w:rPr>
      </w:pPr>
    </w:p>
    <w:p>
      <w:pPr>
        <w:spacing w:after="0" w:line="3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163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75" w:name="page176"/>
    <w:bookmarkEnd w:id="175"/>
    <w:p>
      <w:pPr>
        <w:ind w:left="1940" w:hanging="636"/>
        <w:spacing w:after="0"/>
        <w:tabs>
          <w:tab w:leader="none" w:pos="19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8"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44"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9.25 </w:t>
      </w:r>
      <w:r>
        <w:rPr>
          <w:rFonts w:ascii="Times New Roman" w:cs="Times New Roman" w:eastAsia="Times New Roman" w:hAnsi="Times New Roman"/>
          <w:sz w:val="22"/>
          <w:szCs w:val="22"/>
          <w:b w:val="1"/>
          <w:bCs w:val="1"/>
          <w:i w:val="1"/>
          <w:iCs w:val="1"/>
          <w:color w:val="auto"/>
        </w:rPr>
        <w:t>Acknowledgment Regarding Any Supported QFCs</w:t>
      </w:r>
      <w:r>
        <w:rPr>
          <w:rFonts w:ascii="Times New Roman" w:cs="Times New Roman" w:eastAsia="Times New Roman" w:hAnsi="Times New Roman"/>
          <w:sz w:val="22"/>
          <w:szCs w:val="22"/>
          <w:color w:val="auto"/>
        </w:rPr>
        <w:t>. To the extent that the Loan Documents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support, through a guarantee or otherwise, for any agreement or instrument that is a QFC (such support “</w:t>
      </w:r>
      <w:r>
        <w:rPr>
          <w:rFonts w:ascii="Times New Roman" w:cs="Times New Roman" w:eastAsia="Times New Roman" w:hAnsi="Times New Roman"/>
          <w:sz w:val="22"/>
          <w:szCs w:val="22"/>
          <w:i w:val="1"/>
          <w:iCs w:val="1"/>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i w:val="1"/>
          <w:iCs w:val="1"/>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i w:val="1"/>
          <w:iCs w:val="1"/>
          <w:color w:val="auto"/>
        </w:rPr>
        <w:t>U.S. Special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Regimes</w:t>
      </w:r>
      <w:r>
        <w:rPr>
          <w:rFonts w:ascii="Times New Roman" w:cs="Times New Roman" w:eastAsia="Times New Roman" w:hAnsi="Times New Roman"/>
          <w:sz w:val="22"/>
          <w:szCs w:val="22"/>
          <w:color w:val="auto"/>
        </w:rPr>
        <w:t>”) in respect of such Supported QFC and QFC Credit Support (with the provisions below applicable notwithstanding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Loan Documents and any Supported QFC may in fact be stated to be governed by the laws of the State of New York and/or of the United States or any other state of the United States):</w:t>
      </w:r>
    </w:p>
    <w:p>
      <w:pPr>
        <w:spacing w:after="0" w:line="4"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9.26 </w:t>
      </w:r>
      <w:r>
        <w:rPr>
          <w:rFonts w:ascii="Times New Roman" w:cs="Times New Roman" w:eastAsia="Times New Roman" w:hAnsi="Times New Roman"/>
          <w:sz w:val="22"/>
          <w:szCs w:val="22"/>
          <w:b w:val="1"/>
          <w:bCs w:val="1"/>
          <w:i w:val="1"/>
          <w:iCs w:val="1"/>
          <w:color w:val="auto"/>
        </w:rPr>
        <w:t>Recognition of Hong Kong Stay Power</w:t>
      </w:r>
      <w:r>
        <w:rPr>
          <w:rFonts w:ascii="Times New Roman" w:cs="Times New Roman" w:eastAsia="Times New Roman" w:hAnsi="Times New Roman"/>
          <w:sz w:val="22"/>
          <w:szCs w:val="22"/>
          <w:color w:val="auto"/>
        </w:rPr>
        <w:t>. Notwithstanding anything to the contrary in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Loan Document or any other agreement, arrangement or understanding between the parties hereto relating to this Agreement, each of the parties hereto (other than any Excluded Counterparties) expressly agrees to be bound by any suspension of any termination right in relation to this Agreement imposed by the Resolution Authority in accordance with section 90(2) of the Financial Institutions (Resolution) Ordinance (Cap. 628) of Hong Kong, to the same extent as if this Agreement was governed by the laws of Hong Kong.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purpose of this Section 9.26:</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164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76" w:name="page177"/>
    <w:bookmarkEnd w:id="176"/>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Counterparty</w:t>
      </w:r>
      <w:r>
        <w:rPr>
          <w:rFonts w:ascii="Times New Roman" w:cs="Times New Roman" w:eastAsia="Times New Roman" w:hAnsi="Times New Roman"/>
          <w:sz w:val="22"/>
          <w:szCs w:val="22"/>
          <w:color w:val="auto"/>
        </w:rPr>
        <w:t>” means any person which is (a) a financial market infrastructure; (b) the Hong Kong Monetary Authority; (c) the Government of the Hong Kong Special Administrative Region; (d) the government of a jurisdiction other than Hong Kong; or (e) the central bank of a jurisdiction other than Hong Kong; and</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Resolution Authority</w:t>
      </w:r>
      <w:r>
        <w:rPr>
          <w:rFonts w:ascii="Times New Roman" w:cs="Times New Roman" w:eastAsia="Times New Roman" w:hAnsi="Times New Roman"/>
          <w:sz w:val="22"/>
          <w:szCs w:val="22"/>
          <w:color w:val="auto"/>
        </w:rPr>
        <w:t>” means the resolution authority in Hong Kong in relation to a banking sector entity from time to time, which is currently the Hong Kong Monetary Authority.</w:t>
      </w:r>
    </w:p>
    <w:p>
      <w:pPr>
        <w:spacing w:after="0" w:line="11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9.27</w:t>
      </w:r>
      <w:r>
        <w:rPr>
          <w:sz w:val="20"/>
          <w:szCs w:val="20"/>
          <w:color w:val="auto"/>
        </w:rPr>
        <w:tab/>
      </w:r>
      <w:r>
        <w:rPr>
          <w:rFonts w:ascii="Times New Roman" w:cs="Times New Roman" w:eastAsia="Times New Roman" w:hAnsi="Times New Roman"/>
          <w:sz w:val="21"/>
          <w:szCs w:val="21"/>
          <w:b w:val="1"/>
          <w:bCs w:val="1"/>
          <w:i w:val="1"/>
          <w:iCs w:val="1"/>
          <w:color w:val="auto"/>
        </w:rPr>
        <w:t>Existing Credit Agreement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1304"/>
        <w:spacing w:after="0" w:line="208" w:lineRule="auto"/>
        <w:tabs>
          <w:tab w:leader="none" w:pos="194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Existing Credit Agreement shall be amended and restated in its entirety by this Agreement, and the Existing Credit Agreement shall thereafter be read and construed as so amended and restated by this Agreement, and the Borrowers, the Agents, the Lenders and the Issuing Banks agree that (i) the incurrence by the Borrowers of “Obligations” under and as defined in the Existing Credit Agreement (whether or not such Obligations are contingent as of the Closing Date) shall continue to exist under and be evidenced by this Agreement and the other Loan Documents, (ii) the Lenders party hereto waive the requirement that the Borrowers shall pay any breakage costs under Section 2.15 of the Existing Credit Agreement with respect to each such Lender’s loans thereunder, and (iii) except as expressly stated herein or amended, amended and restated or otherwise modified, the other Loan Documents are ratified and confirmed as remaining unmodified and in full force and effect with respect to all Obligations. The amendments and restatements set forth herein shall not cure any breach thereof or any “Default” or “Event of Default” under and as defined in the Existing Credit Agreement existing prior to the Closing Date. This Agreement is not in any way intended to constitute a novation of the obligations and liabilities existing under the Existing Credit Agreement or evidence payment of all or any portion of such obligations and liabilities.</w:t>
      </w:r>
    </w:p>
    <w:p>
      <w:pPr>
        <w:spacing w:after="0" w:line="153" w:lineRule="exact"/>
        <w:rPr>
          <w:rFonts w:ascii="Times New Roman" w:cs="Times New Roman" w:eastAsia="Times New Roman" w:hAnsi="Times New Roman"/>
          <w:sz w:val="22"/>
          <w:szCs w:val="22"/>
          <w:color w:val="auto"/>
        </w:rPr>
      </w:pPr>
    </w:p>
    <w:p>
      <w:pPr>
        <w:jc w:val="both"/>
        <w:ind w:firstLine="1304"/>
        <w:spacing w:after="0" w:line="225" w:lineRule="auto"/>
        <w:tabs>
          <w:tab w:leader="none" w:pos="2005"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this Agreement and the Agents’, the Lenders’, Swing Line Lenders’ and the Issuing Banks’ rights and remedies under this Agreement and the other Loan Documents shall apply to all of the Obligations incurred under the Existing Credit Agreement and the Letters of Credit issued thereunder.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Closing Date, (i) all references to the Existing Credit Agreement (or to any amendment or any amendment and restatement thereof) in the Loan Documents (other than this Agreement) shall be deemed to refer to the Existing Credit Agreement, as amended and restated hereby (as it may be further amended, modified or restated), (ii) all references to any section (or subsection) of the Existing Credit Agreement or in any Loan Document (but not herein) shall be amended to become, mutatis mutandis, references to the corresponding provisions of this Agreement and (iii) except as the context otherwise provides, on or after the Closing Date, all references to this Agreement herein (including for purposes of indemnification and reimbursement of fees) shall be deemed to be references to the Existing Credit Agreement, as amended and restated hereby (as it may be further amended, modified or restated).</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restatement is limited as written and is not a consent to any other amendment, restatement or waiver, whether or not similar and, except as expressly provided herein or in any other Loan Document, all terms and conditions of the Loan Documents remain in full force and effect unless specifically amended hereby or by any other Loan Document.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party to the Existing Credit Agreement have agreed among themselves, if applicable, to reallocate their respective applicable Commitments (as defined in the Existing Credit Agreement) as contemplated by this Agreement. On the Closing Date and</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165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418" w:right="339" w:bottom="1440" w:gutter="0" w:footer="0" w:header="0"/>
        </w:sectPr>
      </w:pPr>
    </w:p>
    <w:bookmarkStart w:id="177" w:name="page178"/>
    <w:bookmarkEnd w:id="177"/>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after giving effect to such reallocation and adjustment of the applicable Commitments, the applicable Commitments of each Lender shall be as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hereto and each Lender shall own its Applicable Pro Rata Percentage of the applicable outstanding Loans. The reallocation and adjustment to the applicable Commitments of each Lender as contemplated by this Section 9.27 shall be deemed to have been consummated pursuant to the terms of the Assignment and Acceptance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as if each of the Lenders had executed an Assignment and Acceptance with respect to such reallocation and adjustment. The Borrowers and the Administrative Agents hereby consent to such reallocation and adjustment of the Commitments. The Applicable Administrative Agent hereby waives the processing and recordation fee set forth in Section 9.04 with respect to the assignments and reallocations of the Commitments contemplated by this Section 9.27.</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166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US-DOCS\169528160.13</w:t>
      </w:r>
    </w:p>
    <w:p>
      <w:pPr>
        <w:sectPr>
          <w:pgSz w:w="11900" w:h="16838" w:orient="portrait"/>
          <w:cols w:equalWidth="0" w:num="1">
            <w:col w:w="11240"/>
          </w:cols>
          <w:pgMar w:left="320" w:top="1395" w:right="339" w:bottom="1440" w:gutter="0" w:footer="0" w:header="0"/>
        </w:sectPr>
      </w:pPr>
    </w:p>
    <w:bookmarkStart w:id="178" w:name="page179"/>
    <w:bookmarkEnd w:id="178"/>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as of the date first written above.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BORROWERS:</w:t>
      </w:r>
    </w:p>
    <w:p>
      <w:pPr>
        <w:spacing w:after="0" w:line="10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CIVEO CORPORATION</w:t>
      </w:r>
    </w:p>
    <w:p>
      <w:pPr>
        <w:spacing w:after="0" w:line="200" w:lineRule="exact"/>
        <w:rPr>
          <w:sz w:val="20"/>
          <w:szCs w:val="20"/>
          <w:color w:val="auto"/>
        </w:rPr>
      </w:pPr>
    </w:p>
    <w:p>
      <w:pPr>
        <w:spacing w:after="0" w:line="3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r>
        <w:rPr>
          <w:rFonts w:ascii="Times New Roman" w:cs="Times New Roman" w:eastAsia="Times New Roman" w:hAnsi="Times New Roman"/>
          <w:sz w:val="20"/>
          <w:szCs w:val="20"/>
          <w:color w:val="auto"/>
        </w:rPr>
        <w:t>_______ __</w:t>
      </w:r>
      <w:r>
        <w:rPr>
          <w:rFonts w:ascii="Times New Roman" w:cs="Times New Roman" w:eastAsia="Times New Roman" w:hAnsi="Times New Roman"/>
          <w:sz w:val="20"/>
          <w:szCs w:val="20"/>
          <w:u w:val="single" w:color="auto"/>
          <w:color w:val="auto"/>
        </w:rPr>
        <w:t>_</w:t>
      </w:r>
      <w:r>
        <w:rPr>
          <w:rFonts w:ascii="Times New Roman" w:cs="Times New Roman" w:eastAsia="Times New Roman" w:hAnsi="Times New Roman"/>
          <w:sz w:val="20"/>
          <w:szCs w:val="20"/>
          <w:color w:val="auto"/>
        </w:rPr>
        <w:t xml:space="preserve">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4208145</wp:posOffset>
            </wp:positionH>
            <wp:positionV relativeFrom="paragraph">
              <wp:posOffset>-10795</wp:posOffset>
            </wp:positionV>
            <wp:extent cx="31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Bradley J. Dodson</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8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auto"/>
        </w:rPr>
        <w:t>CIVEO MANAGEMENT LLC</w:t>
      </w:r>
    </w:p>
    <w:p>
      <w:pPr>
        <w:spacing w:after="0" w:line="200" w:lineRule="exact"/>
        <w:rPr>
          <w:sz w:val="20"/>
          <w:szCs w:val="20"/>
          <w:color w:val="auto"/>
        </w:rPr>
      </w:pPr>
    </w:p>
    <w:p>
      <w:pPr>
        <w:spacing w:after="0" w:line="3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r>
        <w:rPr>
          <w:rFonts w:ascii="Times New Roman" w:cs="Times New Roman" w:eastAsia="Times New Roman" w:hAnsi="Times New Roman"/>
          <w:sz w:val="20"/>
          <w:szCs w:val="20"/>
          <w:color w:val="auto"/>
        </w:rPr>
        <w:t>_____ 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-10795</wp:posOffset>
            </wp:positionV>
            <wp:extent cx="31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-10795</wp:posOffset>
            </wp:positionV>
            <wp:extent cx="31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Bradley J. Dodson</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CIVEO USA LLC</w:t>
      </w:r>
    </w:p>
    <w:p>
      <w:pPr>
        <w:spacing w:after="0" w:line="200" w:lineRule="exact"/>
        <w:rPr>
          <w:sz w:val="20"/>
          <w:szCs w:val="20"/>
          <w:color w:val="auto"/>
        </w:rPr>
      </w:pPr>
    </w:p>
    <w:p>
      <w:pPr>
        <w:spacing w:after="0" w:line="3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r>
        <w:rPr>
          <w:rFonts w:ascii="Times New Roman" w:cs="Times New Roman" w:eastAsia="Times New Roman" w:hAnsi="Times New Roman"/>
          <w:sz w:val="20"/>
          <w:szCs w:val="20"/>
          <w:color w:val="auto"/>
        </w:rPr>
        <w:t>____ 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4019550</wp:posOffset>
            </wp:positionH>
            <wp:positionV relativeFrom="paragraph">
              <wp:posOffset>-10795</wp:posOffset>
            </wp:positionV>
            <wp:extent cx="31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4364990</wp:posOffset>
            </wp:positionH>
            <wp:positionV relativeFrom="paragraph">
              <wp:posOffset>-10795</wp:posOffset>
            </wp:positionV>
            <wp:extent cx="31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Bradley J. Dodson</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CIVEO PTY LIMITED</w:t>
      </w:r>
    </w:p>
    <w:p>
      <w:pPr>
        <w:spacing w:after="0" w:line="3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/s/ Peter McCann</w:t>
      </w:r>
      <w:r>
        <w:rPr>
          <w:rFonts w:ascii="Times New Roman" w:cs="Times New Roman" w:eastAsia="Times New Roman" w:hAnsi="Times New Roman"/>
          <w:sz w:val="20"/>
          <w:szCs w:val="20"/>
          <w:color w:val="auto"/>
        </w:rPr>
        <w:t>_______ 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-10795</wp:posOffset>
            </wp:positionV>
            <wp:extent cx="31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Signature of Director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Peter McCann</w:t>
      </w:r>
      <w:r>
        <w:rPr>
          <w:rFonts w:ascii="Times New Roman" w:cs="Times New Roman" w:eastAsia="Times New Roman" w:hAnsi="Times New Roman"/>
          <w:sz w:val="20"/>
          <w:szCs w:val="20"/>
          <w:color w:val="auto"/>
        </w:rPr>
        <w:t>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Director</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/s/ Vanessa Mackett</w:t>
      </w:r>
      <w:r>
        <w:rPr>
          <w:rFonts w:ascii="Times New Roman" w:cs="Times New Roman" w:eastAsia="Times New Roman" w:hAnsi="Times New Roman"/>
          <w:sz w:val="20"/>
          <w:szCs w:val="20"/>
          <w:color w:val="auto"/>
        </w:rPr>
        <w:t>__________________</w:t>
      </w:r>
    </w:p>
    <w:p>
      <w:pPr>
        <w:spacing w:after="0" w:line="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Signature of Director/Company Secretary</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Vanessa Mackett</w:t>
      </w:r>
      <w:r>
        <w:rPr>
          <w:rFonts w:ascii="Times New Roman" w:cs="Times New Roman" w:eastAsia="Times New Roman" w:hAnsi="Times New Roman"/>
          <w:sz w:val="20"/>
          <w:szCs w:val="20"/>
          <w:color w:val="auto"/>
        </w:rPr>
        <w:t>____________________</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Name of Director/Company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10740"/>
          </w:cols>
          <w:pgMar w:left="320" w:top="1413" w:right="8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28" w:lineRule="exact"/>
        <w:rPr>
          <w:sz w:val="20"/>
          <w:szCs w:val="20"/>
          <w:color w:val="auto"/>
        </w:rPr>
      </w:pPr>
    </w:p>
    <w:p>
      <w:pPr>
        <w:ind w:left="3700"/>
        <w:spacing w:after="0" w:line="253" w:lineRule="auto"/>
        <w:rPr>
          <w:sz w:val="20"/>
          <w:szCs w:val="20"/>
          <w:color w:val="auto"/>
        </w:rPr>
      </w:pPr>
      <w:r>
        <w:rPr>
          <w:rFonts w:ascii="Times New Roman" w:cs="Times New Roman" w:eastAsia="Times New Roman" w:hAnsi="Times New Roman"/>
          <w:sz w:val="20"/>
          <w:szCs w:val="20"/>
          <w:color w:val="auto"/>
        </w:rPr>
        <w:t>as Administrative Agent, U.S. Collateral Agent, Canadian Administrative Agent and Canadian Collateral Agent</w:t>
      </w:r>
    </w:p>
    <w:p>
      <w:pPr>
        <w:spacing w:after="0" w:line="200" w:lineRule="exact"/>
        <w:rPr>
          <w:sz w:val="20"/>
          <w:szCs w:val="20"/>
          <w:color w:val="auto"/>
        </w:rPr>
      </w:pPr>
    </w:p>
    <w:p>
      <w:pPr>
        <w:spacing w:after="0" w:line="3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Sabrina Wang</w:t>
      </w:r>
      <w:r>
        <w:rPr>
          <w:rFonts w:ascii="Times New Roman" w:cs="Times New Roman" w:eastAsia="Times New Roman" w:hAnsi="Times New Roman"/>
          <w:sz w:val="20"/>
          <w:szCs w:val="20"/>
          <w:color w:val="auto"/>
        </w:rPr>
        <w:t>_____________________</w:t>
      </w:r>
    </w:p>
    <w:p>
      <w:pPr>
        <w:spacing w:after="0" w:line="2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Name: Sabrina Wang</w:t>
      </w:r>
    </w:p>
    <w:p>
      <w:pPr>
        <w:spacing w:after="0" w:line="1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Title: Deal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10400"/>
          </w:cols>
          <w:pgMar w:left="520" w:top="1413" w:right="9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0"/>
          <w:szCs w:val="20"/>
          <w:color w:val="auto"/>
        </w:rPr>
        <w:t>RBC EUROPE LIMITED,</w:t>
      </w:r>
    </w:p>
    <w:p>
      <w:pPr>
        <w:spacing w:after="0" w:line="28"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20"/>
          <w:szCs w:val="20"/>
          <w:color w:val="auto"/>
        </w:rPr>
        <w:t>as Australian Administrative Agent and Australian Collateral Agent</w:t>
      </w:r>
    </w:p>
    <w:p>
      <w:pPr>
        <w:spacing w:after="0" w:line="200" w:lineRule="exact"/>
        <w:rPr>
          <w:sz w:val="20"/>
          <w:szCs w:val="20"/>
          <w:color w:val="auto"/>
        </w:rPr>
      </w:pPr>
    </w:p>
    <w:p>
      <w:pPr>
        <w:spacing w:after="0" w:line="35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Johnson Tse</w:t>
      </w:r>
      <w:r>
        <w:rPr>
          <w:rFonts w:ascii="Times New Roman" w:cs="Times New Roman" w:eastAsia="Times New Roman" w:hAnsi="Times New Roman"/>
          <w:sz w:val="20"/>
          <w:szCs w:val="20"/>
          <w:color w:val="auto"/>
        </w:rPr>
        <w:t>______________________</w:t>
      </w:r>
    </w:p>
    <w:p>
      <w:pPr>
        <w:spacing w:after="0" w:line="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Name: Johnson Tse</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9939"/>
          </w:cols>
          <w:pgMar w:left="520" w:top="1413"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9"/>
          <w:szCs w:val="19"/>
          <w:color w:val="auto"/>
        </w:rPr>
        <w:t>ROYAL BANK OF CANADA, as a U.S. Lender, the U.S. Swing Line Lender and an Issuing Bank</w:t>
      </w:r>
    </w:p>
    <w:p>
      <w:pPr>
        <w:sectPr>
          <w:pgSz w:w="11900" w:h="16838" w:orient="portrait"/>
          <w:cols w:equalWidth="0" w:num="1">
            <w:col w:w="9939"/>
          </w:cols>
          <w:pgMar w:left="520" w:top="1413"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Cameron Johnson</w:t>
      </w:r>
      <w:r>
        <w:rPr>
          <w:rFonts w:ascii="Times New Roman" w:cs="Times New Roman" w:eastAsia="Times New Roman" w:hAnsi="Times New Roman"/>
          <w:sz w:val="20"/>
          <w:szCs w:val="20"/>
          <w:color w:val="auto"/>
        </w:rPr>
        <w:t>__________________</w:t>
      </w:r>
    </w:p>
    <w:p>
      <w:pPr>
        <w:spacing w:after="0" w:line="2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Name: Cameron Johnson</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9939"/>
          </w:cols>
          <w:pgMar w:left="520" w:top="1413" w:right="1440" w:bottom="1440" w:gutter="0" w:footer="0" w:header="0"/>
          <w:type w:val="continuous"/>
        </w:sectPr>
      </w:pPr>
    </w:p>
    <w:bookmarkStart w:id="182" w:name="page183"/>
    <w:bookmarkEnd w:id="182"/>
    <w:p>
      <w:pPr>
        <w:ind w:left="2780"/>
        <w:spacing w:after="0" w:line="283" w:lineRule="auto"/>
        <w:rPr>
          <w:sz w:val="20"/>
          <w:szCs w:val="20"/>
          <w:color w:val="auto"/>
        </w:rPr>
      </w:pPr>
      <w:r>
        <w:rPr>
          <w:rFonts w:ascii="Times New Roman" w:cs="Times New Roman" w:eastAsia="Times New Roman" w:hAnsi="Times New Roman"/>
          <w:sz w:val="20"/>
          <w:szCs w:val="20"/>
          <w:color w:val="auto"/>
        </w:rPr>
        <w:t>ROYAL BANK OF CANADA, as a Canadian Lender, the Canadian Swing Line Lender and an Issuing Bank</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Mike Gaudet</w:t>
      </w:r>
      <w:r>
        <w:rPr>
          <w:rFonts w:ascii="Times New Roman" w:cs="Times New Roman" w:eastAsia="Times New Roman" w:hAnsi="Times New Roman"/>
          <w:sz w:val="20"/>
          <w:szCs w:val="20"/>
          <w:color w:val="auto"/>
        </w:rPr>
        <w:t>_____________________</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Mike Gaudet</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10100"/>
          </w:cols>
          <w:pgMar w:left="1440" w:top="1413" w:right="359" w:bottom="1440" w:gutter="0" w:footer="0" w:header="0"/>
        </w:sectPr>
      </w:pPr>
    </w:p>
    <w:bookmarkStart w:id="183" w:name="page184"/>
    <w:bookmarkEnd w:id="183"/>
    <w:p>
      <w:pPr>
        <w:ind w:left="2780"/>
        <w:spacing w:after="0"/>
        <w:rPr>
          <w:sz w:val="20"/>
          <w:szCs w:val="20"/>
          <w:color w:val="auto"/>
        </w:rPr>
      </w:pPr>
      <w:r>
        <w:rPr>
          <w:rFonts w:ascii="Times New Roman" w:cs="Times New Roman" w:eastAsia="Times New Roman" w:hAnsi="Times New Roman"/>
          <w:sz w:val="19"/>
          <w:szCs w:val="19"/>
          <w:color w:val="auto"/>
        </w:rPr>
        <w:t>ROYAL BANK OF CANADA, as an Australian Lender and an Issuing Bank</w:t>
      </w: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Dilyana Lupanova</w:t>
      </w:r>
      <w:r>
        <w:rPr>
          <w:rFonts w:ascii="Times New Roman" w:cs="Times New Roman" w:eastAsia="Times New Roman" w:hAnsi="Times New Roman"/>
          <w:sz w:val="20"/>
          <w:szCs w:val="20"/>
          <w:color w:val="auto"/>
        </w:rPr>
        <w:t>__________________</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Dilyana Lupanova</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9019"/>
          </w:cols>
          <w:pgMar w:left="1440" w:top="1413" w:right="1440" w:bottom="1440" w:gutter="0" w:footer="0" w:header="0"/>
        </w:sectPr>
      </w:pPr>
    </w:p>
    <w:bookmarkStart w:id="184" w:name="page185"/>
    <w:bookmarkEnd w:id="184"/>
    <w:p>
      <w:pPr>
        <w:ind w:left="2780"/>
        <w:spacing w:after="0"/>
        <w:rPr>
          <w:sz w:val="20"/>
          <w:szCs w:val="20"/>
          <w:color w:val="auto"/>
        </w:rPr>
      </w:pPr>
      <w:r>
        <w:rPr>
          <w:rFonts w:ascii="Times New Roman" w:cs="Times New Roman" w:eastAsia="Times New Roman" w:hAnsi="Times New Roman"/>
          <w:sz w:val="19"/>
          <w:szCs w:val="19"/>
          <w:color w:val="auto"/>
        </w:rPr>
        <w:t>BANK OF MONTREAL, as a U.S. Lender, an Australian Lender and a Canadian Lender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Jared Dillabaugh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130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Jared Dillabaugh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Logan Langdon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744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Logan Langdon</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9840"/>
          </w:cols>
          <w:pgMar w:left="1440" w:top="1413" w:right="619" w:bottom="1440" w:gutter="0" w:footer="0" w:header="0"/>
        </w:sectPr>
      </w:pPr>
    </w:p>
    <w:bookmarkStart w:id="185" w:name="page186"/>
    <w:bookmarkEnd w:id="185"/>
    <w:p>
      <w:pPr>
        <w:jc w:val="right"/>
        <w:ind w:right="1359"/>
        <w:spacing w:after="0"/>
        <w:rPr>
          <w:sz w:val="20"/>
          <w:szCs w:val="20"/>
          <w:color w:val="auto"/>
        </w:rPr>
      </w:pPr>
      <w:r>
        <w:rPr>
          <w:rFonts w:ascii="Times New Roman" w:cs="Times New Roman" w:eastAsia="Times New Roman" w:hAnsi="Times New Roman"/>
          <w:sz w:val="20"/>
          <w:szCs w:val="20"/>
          <w:color w:val="auto"/>
        </w:rPr>
        <w:t>THE TORONTO-DOMINION BANK, as a Canadian Lender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Qamar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185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Qamar Ahmed</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 National Accounts</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Alanna Drost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49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Alanna Drost</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Associate Vice President,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9019"/>
          </w:cols>
          <w:pgMar w:left="1440" w:top="1413" w:right="1440" w:bottom="1440" w:gutter="0" w:footer="0" w:header="0"/>
        </w:sectPr>
      </w:pPr>
    </w:p>
    <w:bookmarkStart w:id="186" w:name="page187"/>
    <w:bookmarkEnd w:id="186"/>
    <w:p>
      <w:pPr>
        <w:ind w:left="2780"/>
        <w:spacing w:after="0"/>
        <w:rPr>
          <w:sz w:val="20"/>
          <w:szCs w:val="20"/>
          <w:color w:val="auto"/>
        </w:rPr>
      </w:pPr>
      <w:r>
        <w:rPr>
          <w:rFonts w:ascii="Times New Roman" w:cs="Times New Roman" w:eastAsia="Times New Roman" w:hAnsi="Times New Roman"/>
          <w:sz w:val="19"/>
          <w:szCs w:val="19"/>
          <w:color w:val="auto"/>
        </w:rPr>
        <w:t>NATIONAL BANK OF CANADA, as an Australian Lender and a Canadian Lender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Darrell Stelmack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130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Darrell Stelmack</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 Energy Services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Jason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750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Jason Anderson</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 Energy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9440"/>
          </w:cols>
          <w:pgMar w:left="1440" w:top="1413" w:right="1019" w:bottom="1440" w:gutter="0" w:footer="0" w:header="0"/>
        </w:sectPr>
      </w:pPr>
    </w:p>
    <w:bookmarkStart w:id="187" w:name="page188"/>
    <w:bookmarkEnd w:id="187"/>
    <w:p>
      <w:pPr>
        <w:jc w:val="center"/>
        <w:ind w:right="159"/>
        <w:spacing w:after="0"/>
        <w:rPr>
          <w:sz w:val="20"/>
          <w:szCs w:val="20"/>
          <w:color w:val="auto"/>
        </w:rPr>
      </w:pPr>
      <w:r>
        <w:rPr>
          <w:rFonts w:ascii="Times New Roman" w:cs="Times New Roman" w:eastAsia="Times New Roman" w:hAnsi="Times New Roman"/>
          <w:sz w:val="20"/>
          <w:szCs w:val="20"/>
          <w:color w:val="auto"/>
        </w:rPr>
        <w:t>ATB FINANCIAL, as a Canadian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Araceli Zagal de la Luz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4617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Araceli Zagal de la Luz</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 Credit Structuring</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Nikki Briggs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283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Nikki Briggs</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 Structuring &amp;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p>
      <w:pPr>
        <w:sectPr>
          <w:pgSz w:w="11900" w:h="16838" w:orient="portrait"/>
          <w:cols w:equalWidth="0" w:num="1">
            <w:col w:w="9019"/>
          </w:cols>
          <w:pgMar w:left="1440" w:top="1413" w:right="1440" w:bottom="1440" w:gutter="0" w:footer="0" w:header="0"/>
        </w:sectPr>
      </w:pPr>
    </w:p>
    <w:bookmarkStart w:id="188" w:name="page189"/>
    <w:bookmarkEnd w:id="188"/>
    <w:p>
      <w:pPr>
        <w:jc w:val="both"/>
        <w:ind w:left="2780"/>
        <w:spacing w:after="0" w:line="261" w:lineRule="auto"/>
        <w:rPr>
          <w:sz w:val="20"/>
          <w:szCs w:val="20"/>
          <w:color w:val="auto"/>
        </w:rPr>
      </w:pPr>
      <w:r>
        <w:rPr>
          <w:rFonts w:ascii="Times New Roman" w:cs="Times New Roman" w:eastAsia="Times New Roman" w:hAnsi="Times New Roman"/>
          <w:sz w:val="20"/>
          <w:szCs w:val="20"/>
          <w:color w:val="auto"/>
        </w:rPr>
        <w:t>For and on behalf of THE HONGKONG AND SHANGHAI BANKING CORPORATION LIMITED, SYDNEY BRANCH, as an Australian Lender, by its duly authorized attorney pursuant to a Power of Attorney</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David Antolik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982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David Antolik</w:t>
      </w:r>
    </w:p>
    <w:p>
      <w:pPr>
        <w:spacing w:after="0" w:line="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Title: Head of Structured Lending Solutions, Au &amp; NZ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Signature Page to Amended and Restated Syndicated Facility Agreement</w:t>
      </w:r>
    </w:p>
    <w:sectPr>
      <w:pgSz w:w="11900" w:h="16838" w:orient="portrait"/>
      <w:cols w:equalWidth="0" w:num="1">
        <w:col w:w="10120"/>
      </w:cols>
      <w:pgMar w:left="14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545C4D"/>
    <w:multiLevelType w:val="hybridMultilevel"/>
    <w:lvl w:ilvl="0">
      <w:lvlJc w:val="left"/>
      <w:lvlText w:val="☐"/>
      <w:numFmt w:val="bullet"/>
      <w:start w:val="1"/>
    </w:lvl>
  </w:abstractNum>
  <w:abstractNum w:abstractNumId="1">
    <w:nsid w:val="59ADEA3D"/>
    <w:multiLevelType w:val="hybridMultilevel"/>
    <w:lvl w:ilvl="0">
      <w:lvlJc w:val="left"/>
      <w:lvlText w:val="(%1)"/>
      <w:numFmt w:val="lowerRoman"/>
      <w:start w:val="2"/>
    </w:lvl>
  </w:abstractNum>
  <w:abstractNum w:abstractNumId="2">
    <w:nsid w:val="288F1A34"/>
    <w:multiLevelType w:val="hybridMultilevel"/>
    <w:lvl w:ilvl="0">
      <w:lvlJc w:val="left"/>
      <w:lvlText w:val="(%1)"/>
      <w:numFmt w:val="lowerLetter"/>
      <w:start w:val="4"/>
    </w:lvl>
  </w:abstractNum>
  <w:abstractNum w:abstractNumId="3">
    <w:nsid w:val="2A155DBC"/>
    <w:multiLevelType w:val="hybridMultilevel"/>
    <w:lvl w:ilvl="0">
      <w:lvlJc w:val="left"/>
      <w:lvlText w:val="1"/>
      <w:numFmt w:val="bullet"/>
      <w:start w:val="1"/>
    </w:lvl>
  </w:abstractNum>
  <w:abstractNum w:abstractNumId="4">
    <w:nsid w:val="1D9F6E5F"/>
    <w:multiLevelType w:val="hybridMultilevel"/>
    <w:lvl w:ilvl="0">
      <w:lvlJc w:val="left"/>
      <w:lvlText w:val="(%1)"/>
      <w:numFmt w:val="lowerRoman"/>
      <w:start w:val="2"/>
    </w:lvl>
  </w:abstractNum>
  <w:abstractNum w:abstractNumId="5">
    <w:nsid w:val="97E1B4E"/>
    <w:multiLevelType w:val="hybridMultilevel"/>
    <w:lvl w:ilvl="0">
      <w:lvlJc w:val="left"/>
      <w:lvlText w:val="(%1)"/>
      <w:numFmt w:val="lowerRoman"/>
      <w:start w:val="10"/>
    </w:lvl>
  </w:abstractNum>
  <w:abstractNum w:abstractNumId="6">
    <w:nsid w:val="51088277"/>
    <w:multiLevelType w:val="hybridMultilevel"/>
    <w:lvl w:ilvl="0">
      <w:lvlJc w:val="left"/>
      <w:lvlText w:val="(%1)"/>
      <w:numFmt w:val="lowerLetter"/>
      <w:start w:val="1"/>
    </w:lvl>
  </w:abstractNum>
  <w:abstractNum w:abstractNumId="7">
    <w:nsid w:val="1CA0C5FA"/>
    <w:multiLevelType w:val="hybridMultilevel"/>
    <w:lvl w:ilvl="0">
      <w:lvlJc w:val="left"/>
      <w:lvlText w:val="(%1)"/>
      <w:numFmt w:val="lowerLetter"/>
      <w:start w:val="1"/>
    </w:lvl>
  </w:abstractNum>
  <w:abstractNum w:abstractNumId="8">
    <w:nsid w:val="53584BCB"/>
    <w:multiLevelType w:val="hybridMultilevel"/>
    <w:lvl w:ilvl="0">
      <w:lvlJc w:val="left"/>
      <w:lvlText w:val="(%1)"/>
      <w:numFmt w:val="decimal"/>
      <w:start w:val="1"/>
    </w:lvl>
  </w:abstractNum>
  <w:abstractNum w:abstractNumId="9">
    <w:nsid w:val="415E286C"/>
    <w:multiLevelType w:val="hybridMultilevel"/>
    <w:lvl w:ilvl="0">
      <w:lvlJc w:val="left"/>
      <w:lvlText w:val="(%1)"/>
      <w:numFmt w:val="decimal"/>
      <w:start w:val="2"/>
    </w:lvl>
  </w:abstractNum>
  <w:abstractNum w:abstractNumId="10">
    <w:nsid w:val="7C58FD05"/>
    <w:multiLevelType w:val="hybridMultilevel"/>
    <w:lvl w:ilvl="0">
      <w:lvlJc w:val="left"/>
      <w:lvlText w:val="(%1)"/>
      <w:numFmt w:val="decimal"/>
      <w:start w:val="1"/>
    </w:lvl>
  </w:abstractNum>
  <w:abstractNum w:abstractNumId="11">
    <w:nsid w:val="23D86AAC"/>
    <w:multiLevelType w:val="hybridMultilevel"/>
    <w:lvl w:ilvl="0">
      <w:lvlJc w:val="left"/>
      <w:lvlText w:val="(%1)"/>
      <w:numFmt w:val="lowerLetter"/>
      <w:start w:val="4"/>
    </w:lvl>
  </w:abstractNum>
  <w:abstractNum w:abstractNumId="12">
    <w:nsid w:val="45E6D486"/>
    <w:multiLevelType w:val="hybridMultilevel"/>
    <w:lvl w:ilvl="0">
      <w:lvlJc w:val="left"/>
      <w:lvlText w:val="(%1)"/>
      <w:numFmt w:val="lowerLetter"/>
      <w:start w:val="2"/>
    </w:lvl>
  </w:abstractNum>
  <w:abstractNum w:abstractNumId="13">
    <w:nsid w:val="5C10FE21"/>
    <w:multiLevelType w:val="hybridMultilevel"/>
    <w:lvl w:ilvl="0">
      <w:lvlJc w:val="left"/>
      <w:lvlText w:val="(%1)"/>
      <w:numFmt w:val="lowerLetter"/>
      <w:start w:val="1"/>
    </w:lvl>
  </w:abstractNum>
  <w:abstractNum w:abstractNumId="14">
    <w:nsid w:val="E7FFA2B"/>
    <w:multiLevelType w:val="hybridMultilevel"/>
    <w:lvl w:ilvl="0">
      <w:lvlJc w:val="left"/>
      <w:lvlText w:val="(%1)"/>
      <w:numFmt w:val="lowerLetter"/>
      <w:start w:val="1"/>
    </w:lvl>
  </w:abstractNum>
  <w:abstractNum w:abstractNumId="15">
    <w:nsid w:val="3C5991AA"/>
    <w:multiLevelType w:val="hybridMultilevel"/>
    <w:lvl w:ilvl="0">
      <w:lvlJc w:val="left"/>
      <w:lvlText w:val="(%1)"/>
      <w:numFmt w:val="lowerLetter"/>
      <w:start w:val="2"/>
    </w:lvl>
  </w:abstractNum>
  <w:abstractNum w:abstractNumId="16">
    <w:nsid w:val="4BD8591A"/>
    <w:multiLevelType w:val="hybridMultilevel"/>
    <w:lvl w:ilvl="0">
      <w:lvlJc w:val="left"/>
      <w:lvlText w:val="(%1)"/>
      <w:numFmt w:val="upperLetter"/>
      <w:start w:val="1"/>
    </w:lvl>
  </w:abstractNum>
  <w:abstractNum w:abstractNumId="17">
    <w:nsid w:val="78DF6A55"/>
    <w:multiLevelType w:val="hybridMultilevel"/>
    <w:lvl w:ilvl="0">
      <w:lvlJc w:val="left"/>
      <w:lvlText w:val="(%1)"/>
      <w:numFmt w:val="lowerLetter"/>
      <w:start w:val="2"/>
    </w:lvl>
  </w:abstractNum>
  <w:abstractNum w:abstractNumId="18">
    <w:nsid w:val="39B7AAA2"/>
    <w:multiLevelType w:val="hybridMultilevel"/>
    <w:lvl w:ilvl="0">
      <w:lvlJc w:val="left"/>
      <w:lvlText w:val="(%1)"/>
      <w:numFmt w:val="lowerRoman"/>
      <w:start w:val="3"/>
    </w:lvl>
  </w:abstractNum>
  <w:abstractNum w:abstractNumId="19">
    <w:nsid w:val="2B0D8DBE"/>
    <w:multiLevelType w:val="hybridMultilevel"/>
    <w:lvl w:ilvl="0">
      <w:lvlJc w:val="left"/>
      <w:lvlText w:val="(%1)"/>
      <w:numFmt w:val="lowerLetter"/>
      <w:start w:val="1"/>
    </w:lvl>
  </w:abstractNum>
  <w:abstractNum w:abstractNumId="20">
    <w:nsid w:val="6C80EC70"/>
    <w:multiLevelType w:val="hybridMultilevel"/>
    <w:lvl w:ilvl="0">
      <w:lvlJc w:val="left"/>
      <w:lvlText w:val="(%1)"/>
      <w:numFmt w:val="lowerLetter"/>
      <w:start w:val="2"/>
    </w:lvl>
  </w:abstractNum>
  <w:abstractNum w:abstractNumId="21">
    <w:nsid w:val="379E21B5"/>
    <w:multiLevelType w:val="hybridMultilevel"/>
    <w:lvl w:ilvl="0">
      <w:lvlJc w:val="left"/>
      <w:lvlText w:val="(%1)"/>
      <w:numFmt w:val="lowerLetter"/>
      <w:start w:val="6"/>
    </w:lvl>
  </w:abstractNum>
  <w:abstractNum w:abstractNumId="22">
    <w:nsid w:val="69E373"/>
    <w:multiLevelType w:val="hybridMultilevel"/>
    <w:lvl w:ilvl="0">
      <w:lvlJc w:val="left"/>
      <w:lvlText w:val="(%1)"/>
      <w:numFmt w:val="lowerLetter"/>
      <w:start w:val="1"/>
    </w:lvl>
  </w:abstractNum>
  <w:abstractNum w:abstractNumId="23">
    <w:nsid w:val="2C27173B"/>
    <w:multiLevelType w:val="hybridMultilevel"/>
    <w:lvl w:ilvl="0">
      <w:lvlJc w:val="left"/>
      <w:lvlText w:val="(%1)"/>
      <w:numFmt w:val="lowerRoman"/>
      <w:start w:val="1"/>
    </w:lvl>
  </w:abstractNum>
  <w:abstractNum w:abstractNumId="24">
    <w:nsid w:val="4C9B0904"/>
    <w:multiLevelType w:val="hybridMultilevel"/>
    <w:lvl w:ilvl="0">
      <w:lvlJc w:val="left"/>
      <w:lvlText w:val="(%1)"/>
      <w:numFmt w:val="lowerLetter"/>
      <w:start w:val="1"/>
    </w:lvl>
  </w:abstractNum>
  <w:abstractNum w:abstractNumId="25">
    <w:nsid w:val="6AA7B75C"/>
    <w:multiLevelType w:val="hybridMultilevel"/>
    <w:lvl w:ilvl="0">
      <w:lvlJc w:val="left"/>
      <w:lvlText w:val="(%1)"/>
      <w:numFmt w:val="lowerLetter"/>
      <w:start w:val="1"/>
    </w:lvl>
  </w:abstractNum>
  <w:abstractNum w:abstractNumId="26">
    <w:nsid w:val="1DF029D3"/>
    <w:multiLevelType w:val="hybridMultilevel"/>
    <w:lvl w:ilvl="0">
      <w:lvlJc w:val="left"/>
      <w:lvlText w:val="(%1)"/>
      <w:numFmt w:val="lowerLetter"/>
      <w:start w:val="3"/>
    </w:lvl>
  </w:abstractNum>
  <w:abstractNum w:abstractNumId="27">
    <w:nsid w:val="5675FF36"/>
    <w:multiLevelType w:val="hybridMultilevel"/>
    <w:lvl w:ilvl="0">
      <w:lvlJc w:val="left"/>
      <w:lvlText w:val="½"/>
      <w:numFmt w:val="bullet"/>
      <w:start w:val="1"/>
    </w:lvl>
  </w:abstractNum>
  <w:abstractNum w:abstractNumId="28">
    <w:nsid w:val="3DD15094"/>
    <w:multiLevelType w:val="hybridMultilevel"/>
    <w:lvl w:ilvl="0">
      <w:lvlJc w:val="left"/>
      <w:lvlText w:val="(%1)"/>
      <w:numFmt w:val="lowerLetter"/>
      <w:start w:val="3"/>
    </w:lvl>
  </w:abstractNum>
  <w:abstractNum w:abstractNumId="29">
    <w:nsid w:val="3DB012B3"/>
    <w:multiLevelType w:val="hybridMultilevel"/>
    <w:lvl w:ilvl="0">
      <w:lvlJc w:val="left"/>
      <w:lvlText w:val="(%1)"/>
      <w:numFmt w:val="lowerLetter"/>
      <w:start w:val="1"/>
    </w:lvl>
  </w:abstractNum>
  <w:abstractNum w:abstractNumId="30">
    <w:nsid w:val="2708C9AF"/>
    <w:multiLevelType w:val="hybridMultilevel"/>
    <w:lvl w:ilvl="0">
      <w:lvlJc w:val="left"/>
      <w:lvlText w:val="(%1)"/>
      <w:numFmt w:val="lowerLetter"/>
      <w:start w:val="1"/>
    </w:lvl>
  </w:abstractNum>
  <w:abstractNum w:abstractNumId="31">
    <w:nsid w:val="5B25ACE2"/>
    <w:multiLevelType w:val="hybridMultilevel"/>
    <w:lvl w:ilvl="0">
      <w:lvlJc w:val="left"/>
      <w:lvlText w:val="(%1)"/>
      <w:numFmt w:val="lowerLetter"/>
      <w:start w:val="1"/>
    </w:lvl>
  </w:abstractNum>
  <w:abstractNum w:abstractNumId="32">
    <w:nsid w:val="175DFCF0"/>
    <w:multiLevelType w:val="hybridMultilevel"/>
    <w:lvl w:ilvl="0">
      <w:lvlJc w:val="left"/>
      <w:lvlText w:val="(%1)"/>
      <w:numFmt w:val="lowerLetter"/>
      <w:start w:val="7"/>
    </w:lvl>
  </w:abstractNum>
  <w:abstractNum w:abstractNumId="33">
    <w:nsid w:val="4F97E3E4"/>
    <w:multiLevelType w:val="hybridMultilevel"/>
    <w:lvl w:ilvl="0">
      <w:lvlJc w:val="left"/>
      <w:lvlText w:val="(%1)"/>
      <w:numFmt w:val="lowerLetter"/>
      <w:start w:val="1"/>
    </w:lvl>
  </w:abstractNum>
  <w:abstractNum w:abstractNumId="34">
    <w:nsid w:val="53B0A9E"/>
    <w:multiLevelType w:val="hybridMultilevel"/>
    <w:lvl w:ilvl="0">
      <w:lvlJc w:val="left"/>
      <w:lvlText w:val="(%1)"/>
      <w:numFmt w:val="lowerLetter"/>
      <w:start w:val="4"/>
    </w:lvl>
  </w:abstractNum>
  <w:abstractNum w:abstractNumId="35">
    <w:nsid w:val="34FD6B4F"/>
    <w:multiLevelType w:val="hybridMultilevel"/>
    <w:lvl w:ilvl="0">
      <w:lvlJc w:val="left"/>
      <w:lvlText w:val="(%1)"/>
      <w:numFmt w:val="lowerLetter"/>
      <w:start w:val="6"/>
    </w:lvl>
  </w:abstractNum>
  <w:abstractNum w:abstractNumId="36">
    <w:nsid w:val="5915FF32"/>
    <w:multiLevelType w:val="hybridMultilevel"/>
    <w:lvl w:ilvl="0">
      <w:lvlJc w:val="left"/>
      <w:lvlText w:val="(%1)"/>
      <w:numFmt w:val="lowerLetter"/>
      <w:start w:val="1"/>
    </w:lvl>
  </w:abstractNum>
  <w:abstractNum w:abstractNumId="37">
    <w:nsid w:val="56438D15"/>
    <w:multiLevelType w:val="hybridMultilevel"/>
    <w:lvl w:ilvl="0">
      <w:lvlJc w:val="left"/>
      <w:lvlText w:val="(%1)"/>
      <w:numFmt w:val="lowerLetter"/>
      <w:start w:val="3"/>
    </w:lvl>
  </w:abstractNum>
  <w:abstractNum w:abstractNumId="38">
    <w:nsid w:val="519E3149"/>
    <w:multiLevelType w:val="hybridMultilevel"/>
    <w:lvl w:ilvl="0">
      <w:lvlJc w:val="left"/>
      <w:lvlText w:val="(%1)"/>
      <w:numFmt w:val="lowerLetter"/>
      <w:start w:val="1"/>
    </w:lvl>
  </w:abstractNum>
  <w:abstractNum w:abstractNumId="39">
    <w:nsid w:val="2C6E4AFD"/>
    <w:multiLevelType w:val="hybridMultilevel"/>
    <w:lvl w:ilvl="0">
      <w:lvlJc w:val="left"/>
      <w:lvlText w:val="(%1)"/>
      <w:numFmt w:val="lowerLetter"/>
      <w:start w:val="4"/>
    </w:lvl>
  </w:abstractNum>
  <w:abstractNum w:abstractNumId="40">
    <w:nsid w:val="17A1B582"/>
    <w:multiLevelType w:val="hybridMultilevel"/>
    <w:lvl w:ilvl="0">
      <w:lvlJc w:val="left"/>
      <w:lvlText w:val="(%1)"/>
      <w:numFmt w:val="lowerRoman"/>
      <w:start w:val="2"/>
    </w:lvl>
  </w:abstractNum>
  <w:abstractNum w:abstractNumId="41">
    <w:nsid w:val="4DF72E4E"/>
    <w:multiLevelType w:val="hybridMultilevel"/>
    <w:lvl w:ilvl="0">
      <w:lvlJc w:val="left"/>
      <w:lvlText w:val="%1"/>
      <w:numFmt w:val="lowerLetter"/>
      <w:start w:val="1"/>
    </w:lvl>
    <w:lvl w:ilvl="1">
      <w:lvlJc w:val="left"/>
      <w:lvlText w:val="(%2)"/>
      <w:numFmt w:val="lowerRoman"/>
      <w:start w:val="4"/>
    </w:lvl>
  </w:abstractNum>
  <w:abstractNum w:abstractNumId="42">
    <w:nsid w:val="5046B5A9"/>
    <w:multiLevelType w:val="hybridMultilevel"/>
    <w:lvl w:ilvl="0">
      <w:lvlJc w:val="left"/>
      <w:lvlText w:val="(%1)"/>
      <w:numFmt w:val="lowerLetter"/>
      <w:start w:val="2"/>
    </w:lvl>
    <w:lvl w:ilvl="1">
      <w:lvlJc w:val="left"/>
      <w:lvlText w:val="%2"/>
      <w:numFmt w:val="lowerRoman"/>
      <w:start w:val="1"/>
    </w:lvl>
  </w:abstractNum>
  <w:abstractNum w:abstractNumId="43">
    <w:nsid w:val="5D888A08"/>
    <w:multiLevelType w:val="hybridMultilevel"/>
    <w:lvl w:ilvl="0">
      <w:lvlJc w:val="left"/>
      <w:lvlText w:val="(%1)"/>
      <w:numFmt w:val="lowerLetter"/>
      <w:start w:val="4"/>
    </w:lvl>
  </w:abstractNum>
  <w:abstractNum w:abstractNumId="44">
    <w:nsid w:val="2A082C70"/>
    <w:multiLevelType w:val="hybridMultilevel"/>
    <w:lvl w:ilvl="0">
      <w:lvlJc w:val="left"/>
      <w:lvlText w:val="(%1)"/>
      <w:numFmt w:val="lowerLetter"/>
      <w:start w:val="1"/>
    </w:lvl>
  </w:abstractNum>
  <w:abstractNum w:abstractNumId="45">
    <w:nsid w:val="5EC6AFD4"/>
    <w:multiLevelType w:val="hybridMultilevel"/>
    <w:lvl w:ilvl="0">
      <w:lvlJc w:val="left"/>
      <w:lvlText w:val="(%1)"/>
      <w:numFmt w:val="lowerLetter"/>
      <w:start w:val="5"/>
    </w:lvl>
  </w:abstractNum>
  <w:abstractNum w:abstractNumId="46">
    <w:nsid w:val="19E21BB2"/>
    <w:multiLevelType w:val="hybridMultilevel"/>
    <w:lvl w:ilvl="0">
      <w:lvlJc w:val="left"/>
      <w:lvlText w:val="(%1)"/>
      <w:numFmt w:val="lowerLetter"/>
      <w:start w:val="11"/>
    </w:lvl>
  </w:abstractNum>
  <w:abstractNum w:abstractNumId="47">
    <w:nsid w:val="75E0858A"/>
    <w:multiLevelType w:val="hybridMultilevel"/>
    <w:lvl w:ilvl="0">
      <w:lvlJc w:val="left"/>
      <w:lvlText w:val="(%1)"/>
      <w:numFmt w:val="lowerLetter"/>
      <w:start w:val="1"/>
    </w:lvl>
  </w:abstractNum>
  <w:abstractNum w:abstractNumId="48">
    <w:nsid w:val="57A61A29"/>
    <w:multiLevelType w:val="hybridMultilevel"/>
    <w:lvl w:ilvl="0">
      <w:lvlJc w:val="left"/>
      <w:lvlText w:val="%1"/>
      <w:numFmt w:val="lowerLetter"/>
      <w:start w:val="1"/>
    </w:lvl>
    <w:lvl w:ilvl="1">
      <w:lvlJc w:val="left"/>
      <w:lvlText w:val="(%2)"/>
      <w:numFmt w:val="lowerLetter"/>
      <w:start w:val="2"/>
    </w:lvl>
  </w:abstractNum>
  <w:abstractNum w:abstractNumId="49">
    <w:nsid w:val="5399C654"/>
    <w:multiLevelType w:val="hybridMultilevel"/>
    <w:lvl w:ilvl="0">
      <w:lvlJc w:val="left"/>
      <w:lvlText w:val="(%1)"/>
      <w:numFmt w:val="lowerLetter"/>
      <w:start w:val="9"/>
    </w:lvl>
    <w:lvl w:ilvl="1">
      <w:lvlJc w:val="left"/>
      <w:lvlText w:val="(%2)"/>
      <w:numFmt w:val="lowerLetter"/>
      <w:start w:val="3"/>
    </w:lvl>
  </w:abstractNum>
  <w:abstractNum w:abstractNumId="50">
    <w:nsid w:val="20EE1348"/>
    <w:multiLevelType w:val="hybridMultilevel"/>
    <w:lvl w:ilvl="0">
      <w:lvlJc w:val="left"/>
      <w:lvlText w:val="(%1)"/>
      <w:numFmt w:val="lowerLetter"/>
      <w:start w:val="1"/>
    </w:lvl>
  </w:abstractNum>
  <w:abstractNum w:abstractNumId="51">
    <w:nsid w:val="4427069A"/>
    <w:multiLevelType w:val="hybridMultilevel"/>
    <w:lvl w:ilvl="0">
      <w:lvlJc w:val="left"/>
      <w:lvlText w:val="(%1)"/>
      <w:numFmt w:val="lowerLetter"/>
      <w:start w:val="2"/>
    </w:lvl>
  </w:abstractNum>
  <w:abstractNum w:abstractNumId="52">
    <w:nsid w:val="B37E80A"/>
    <w:multiLevelType w:val="hybridMultilevel"/>
    <w:lvl w:ilvl="0">
      <w:lvlJc w:val="left"/>
      <w:lvlText w:val="(%1)"/>
      <w:numFmt w:val="lowerLetter"/>
      <w:start w:val="5"/>
    </w:lvl>
  </w:abstractNum>
  <w:abstractNum w:abstractNumId="53">
    <w:nsid w:val="2157F6BC"/>
    <w:multiLevelType w:val="hybridMultilevel"/>
    <w:lvl w:ilvl="0">
      <w:lvlJc w:val="left"/>
      <w:lvlText w:val="(%1)"/>
      <w:numFmt w:val="lowerRoman"/>
      <w:start w:val="1"/>
    </w:lvl>
  </w:abstractNum>
  <w:abstractNum w:abstractNumId="54">
    <w:nsid w:val="704E1DD5"/>
    <w:multiLevelType w:val="hybridMultilevel"/>
    <w:lvl w:ilvl="0">
      <w:lvlJc w:val="left"/>
      <w:lvlText w:val="(%1)"/>
      <w:numFmt w:val="lowerLetter"/>
      <w:start w:val="1"/>
    </w:lvl>
  </w:abstractNum>
  <w:abstractNum w:abstractNumId="55">
    <w:nsid w:val="57D2F10E"/>
    <w:multiLevelType w:val="hybridMultilevel"/>
    <w:lvl w:ilvl="0">
      <w:lvlJc w:val="left"/>
      <w:lvlText w:val="(%1)"/>
      <w:numFmt w:val="lowerLetter"/>
      <w:start w:val="3"/>
    </w:lvl>
  </w:abstractNum>
  <w:abstractNum w:abstractNumId="56">
    <w:nsid w:val="BFFAE18"/>
    <w:multiLevelType w:val="hybridMultilevel"/>
    <w:lvl w:ilvl="0">
      <w:lvlJc w:val="left"/>
      <w:lvlText w:val="(%1)"/>
      <w:numFmt w:val="lowerLetter"/>
      <w:start w:val="1"/>
    </w:lvl>
  </w:abstractNum>
  <w:abstractNum w:abstractNumId="57">
    <w:nsid w:val="E3E47A8"/>
    <w:multiLevelType w:val="hybridMultilevel"/>
    <w:lvl w:ilvl="0">
      <w:lvlJc w:val="left"/>
      <w:lvlText w:val="(%1)"/>
      <w:numFmt w:val="lowerLetter"/>
      <w:start w:val="2"/>
    </w:lvl>
  </w:abstractNum>
  <w:abstractNum w:abstractNumId="58">
    <w:nsid w:val="2E48F044"/>
    <w:multiLevelType w:val="hybridMultilevel"/>
    <w:lvl w:ilvl="0">
      <w:lvlJc w:val="left"/>
      <w:lvlText w:val="(%1)"/>
      <w:numFmt w:val="lowerLetter"/>
      <w:start w:val="1"/>
    </w:lvl>
  </w:abstractNum>
  <w:abstractNum w:abstractNumId="59">
    <w:nsid w:val="49D0FEAC"/>
    <w:multiLevelType w:val="hybridMultilevel"/>
    <w:lvl w:ilvl="0">
      <w:lvlJc w:val="left"/>
      <w:lvlText w:val="(%1)"/>
      <w:numFmt w:val="lowerLetter"/>
      <w:start w:val="3"/>
    </w:lvl>
  </w:abstractNum>
  <w:abstractNum w:abstractNumId="60">
    <w:nsid w:val="4BEE5A5B"/>
    <w:multiLevelType w:val="hybridMultilevel"/>
    <w:lvl w:ilvl="0">
      <w:lvlJc w:val="left"/>
      <w:lvlText w:val="(%1)"/>
      <w:numFmt w:val="lowerRoman"/>
      <w:start w:val="1"/>
    </w:lvl>
  </w:abstractNum>
  <w:abstractNum w:abstractNumId="61">
    <w:nsid w:val="5551B9F3"/>
    <w:multiLevelType w:val="hybridMultilevel"/>
    <w:lvl w:ilvl="0">
      <w:lvlJc w:val="left"/>
      <w:lvlText w:val="(%1)"/>
      <w:numFmt w:val="lowerLetter"/>
      <w:start w:val="1"/>
    </w:lvl>
  </w:abstractNum>
  <w:abstractNum w:abstractNumId="62">
    <w:nsid w:val="24F6AB8E"/>
    <w:multiLevelType w:val="hybridMultilevel"/>
    <w:lvl w:ilvl="0">
      <w:lvlJc w:val="left"/>
      <w:lvlText w:val="(%1)"/>
      <w:numFmt w:val="lowerLetter"/>
      <w:start w:val="3"/>
    </w:lvl>
    <w:lvl w:ilvl="1">
      <w:lvlJc w:val="left"/>
      <w:lvlText w:val="(%2)"/>
      <w:numFmt w:val="lowerRoman"/>
      <w:start w:val="1"/>
    </w:lvl>
  </w:abstractNum>
  <w:abstractNum w:abstractNumId="63">
    <w:nsid w:val="634C574C"/>
    <w:multiLevelType w:val="hybridMultilevel"/>
    <w:lvl w:ilvl="0">
      <w:lvlJc w:val="left"/>
      <w:lvlText w:val="(%1)"/>
      <w:numFmt w:val="lowerRoman"/>
      <w:start w:val="3"/>
    </w:lvl>
    <w:lvl w:ilvl="1">
      <w:lvlJc w:val="left"/>
      <w:lvlText w:val="(%2)"/>
      <w:numFmt w:val="upperLetter"/>
      <w:start w:val="1"/>
    </w:lvl>
  </w:abstractNum>
  <w:abstractNum w:abstractNumId="64">
    <w:nsid w:val="24E99DD7"/>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65">
    <w:nsid w:val="2A31B62D"/>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66">
    <w:nsid w:val="1849C29B"/>
    <w:multiLevelType w:val="hybridMultilevel"/>
    <w:lvl w:ilvl="0">
      <w:lvlJc w:val="left"/>
      <w:lvlText w:val="(%1)"/>
      <w:numFmt w:val="lowerLetter"/>
      <w:start w:val="5"/>
    </w:lvl>
  </w:abstractNum>
  <w:abstractNum w:abstractNumId="67">
    <w:nsid w:val="7DFF9D09"/>
    <w:multiLevelType w:val="hybridMultilevel"/>
    <w:lvl w:ilvl="0">
      <w:lvlJc w:val="left"/>
      <w:lvlText w:val="(%1)"/>
      <w:numFmt w:val="lowerLetter"/>
      <w:start w:val="6"/>
    </w:lvl>
  </w:abstractNum>
  <w:abstractNum w:abstractNumId="68">
    <w:nsid w:val="754342"/>
    <w:multiLevelType w:val="hybridMultilevel"/>
    <w:lvl w:ilvl="0">
      <w:lvlJc w:val="left"/>
      <w:lvlText w:val="(%1)"/>
      <w:numFmt w:val="lowerLetter"/>
      <w:start w:val="1"/>
    </w:lvl>
  </w:abstractNum>
  <w:abstractNum w:abstractNumId="69">
    <w:nsid w:val="69E7F3E5"/>
    <w:multiLevelType w:val="hybridMultilevel"/>
    <w:lvl w:ilvl="0">
      <w:lvlJc w:val="left"/>
      <w:lvlText w:val="(%1)"/>
      <w:numFmt w:val="lowerLetter"/>
      <w:start w:val="1"/>
    </w:lvl>
  </w:abstractNum>
  <w:abstractNum w:abstractNumId="70">
    <w:nsid w:val="2A6DE806"/>
    <w:multiLevelType w:val="hybridMultilevel"/>
    <w:lvl w:ilvl="0">
      <w:lvlJc w:val="left"/>
      <w:lvlText w:val="(%1)"/>
      <w:numFmt w:val="lowerLetter"/>
      <w:start w:val="3"/>
    </w:lvl>
  </w:abstractNum>
  <w:abstractNum w:abstractNumId="71">
    <w:nsid w:val="1816F8C4"/>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72">
    <w:nsid w:val="37DF2233"/>
    <w:multiLevelType w:val="hybridMultilevel"/>
    <w:lvl w:ilvl="0">
      <w:lvlJc w:val="left"/>
      <w:lvlText w:val="(%1)"/>
      <w:numFmt w:val="upperLetter"/>
      <w:start w:val="3"/>
    </w:lvl>
  </w:abstractNum>
  <w:abstractNum w:abstractNumId="73">
    <w:nsid w:val="7AB49DAF"/>
    <w:multiLevelType w:val="hybridMultilevel"/>
    <w:lvl w:ilvl="0">
      <w:lvlJc w:val="left"/>
      <w:lvlText w:val="(%1)"/>
      <w:numFmt w:val="lowerLetter"/>
      <w:start w:val="8"/>
    </w:lvl>
  </w:abstractNum>
  <w:abstractNum w:abstractNumId="74">
    <w:nsid w:val="759F82CD"/>
    <w:multiLevelType w:val="hybridMultilevel"/>
    <w:lvl w:ilvl="0">
      <w:lvlJc w:val="left"/>
      <w:lvlText w:val="(%1)"/>
      <w:numFmt w:val="lowerLetter"/>
      <w:start w:val="9"/>
    </w:lvl>
    <w:lvl w:ilvl="1">
      <w:lvlJc w:val="left"/>
      <w:lvlText w:val="(%2)"/>
      <w:numFmt w:val="lowerLetter"/>
      <w:start w:val="35"/>
    </w:lvl>
  </w:abstractNum>
  <w:abstractNum w:abstractNumId="75">
    <w:nsid w:val="61E74EA3"/>
    <w:multiLevelType w:val="hybridMultilevel"/>
    <w:lvl w:ilvl="0">
      <w:lvlJc w:val="left"/>
      <w:lvlText w:val="(%1)"/>
      <w:numFmt w:val="upperLetter"/>
      <w:start w:val="1"/>
    </w:lvl>
  </w:abstractNum>
  <w:abstractNum w:abstractNumId="76">
    <w:nsid w:val="597B4D84"/>
    <w:multiLevelType w:val="hybridMultilevel"/>
    <w:lvl w:ilvl="0">
      <w:lvlJc w:val="left"/>
      <w:lvlText w:val="(%1)"/>
      <w:numFmt w:val="lowerRoman"/>
      <w:start w:val="3"/>
    </w:lvl>
  </w:abstractNum>
  <w:abstractNum w:abstractNumId="77">
    <w:nsid w:val="F819E7F"/>
    <w:multiLevelType w:val="hybridMultilevel"/>
    <w:lvl w:ilvl="0">
      <w:lvlJc w:val="left"/>
      <w:lvlText w:val="(%1)"/>
      <w:numFmt w:val="lowerLetter"/>
      <w:start w:val="1"/>
    </w:lvl>
  </w:abstractNum>
  <w:abstractNum w:abstractNumId="78">
    <w:nsid w:val="57C7D42D"/>
    <w:multiLevelType w:val="hybridMultilevel"/>
    <w:lvl w:ilvl="0">
      <w:lvlJc w:val="left"/>
      <w:lvlText w:val="(%1)"/>
      <w:numFmt w:val="lowerLetter"/>
      <w:start w:val="2"/>
    </w:lvl>
  </w:abstractNum>
  <w:abstractNum w:abstractNumId="79">
    <w:nsid w:val="312167AD"/>
    <w:multiLevelType w:val="hybridMultilevel"/>
    <w:lvl w:ilvl="0">
      <w:lvlJc w:val="left"/>
      <w:lvlText w:val="(%1)"/>
      <w:numFmt w:val="lowerLetter"/>
      <w:start w:val="1"/>
    </w:lvl>
  </w:abstractNum>
  <w:abstractNum w:abstractNumId="80">
    <w:nsid w:val="631B64D4"/>
    <w:multiLevelType w:val="hybridMultilevel"/>
    <w:lvl w:ilvl="0">
      <w:lvlJc w:val="left"/>
      <w:lvlText w:val="(%1)"/>
      <w:numFmt w:val="lowerLetter"/>
      <w:start w:val="3"/>
    </w:lvl>
  </w:abstractNum>
  <w:abstractNum w:abstractNumId="81">
    <w:nsid w:val="78B5E776"/>
    <w:multiLevelType w:val="hybridMultilevel"/>
    <w:lvl w:ilvl="0">
      <w:lvlJc w:val="left"/>
      <w:lvlText w:val="(%1)"/>
      <w:numFmt w:val="lowerLetter"/>
      <w:start w:val="4"/>
    </w:lvl>
    <w:lvl w:ilvl="1">
      <w:lvlJc w:val="left"/>
      <w:lvlText w:val="(%2)"/>
      <w:numFmt w:val="lowerLetter"/>
      <w:start w:val="9"/>
    </w:lvl>
  </w:abstractNum>
  <w:abstractNum w:abstractNumId="82">
    <w:nsid w:val="75486E47"/>
    <w:multiLevelType w:val="hybridMultilevel"/>
    <w:lvl w:ilvl="0">
      <w:lvlJc w:val="left"/>
      <w:lvlText w:val="(%1)"/>
      <w:numFmt w:val="lowerRoman"/>
      <w:start w:val="2"/>
    </w:lvl>
  </w:abstractNum>
  <w:abstractNum w:abstractNumId="83">
    <w:nsid w:val="6E534CDE"/>
    <w:multiLevelType w:val="hybridMultilevel"/>
    <w:lvl w:ilvl="0">
      <w:lvlJc w:val="left"/>
      <w:lvlText w:val="(%1)"/>
      <w:numFmt w:val="lowerLetter"/>
      <w:start w:val="7"/>
    </w:lvl>
    <w:lvl w:ilvl="1">
      <w:lvlJc w:val="left"/>
      <w:lvlText w:val="(%2)"/>
      <w:numFmt w:val="lowerRoman"/>
      <w:start w:val="1"/>
    </w:lvl>
  </w:abstractNum>
  <w:abstractNum w:abstractNumId="84">
    <w:nsid w:val="1A0DDE32"/>
    <w:multiLevelType w:val="hybridMultilevel"/>
    <w:lvl w:ilvl="0">
      <w:lvlJc w:val="left"/>
      <w:lvlText w:val="(%1)"/>
      <w:numFmt w:val="lowerRoman"/>
      <w:start w:val="3"/>
    </w:lvl>
  </w:abstractNum>
  <w:abstractNum w:abstractNumId="85">
    <w:nsid w:val="65968C1C"/>
    <w:multiLevelType w:val="hybridMultilevel"/>
    <w:lvl w:ilvl="0">
      <w:lvlJc w:val="left"/>
      <w:lvlText w:val="(%1)"/>
      <w:numFmt w:val="lowerLetter"/>
      <w:start w:val="8"/>
    </w:lvl>
  </w:abstractNum>
  <w:abstractNum w:abstractNumId="86">
    <w:nsid w:val="46263DEC"/>
    <w:multiLevelType w:val="hybridMultilevel"/>
    <w:lvl w:ilvl="0">
      <w:lvlJc w:val="left"/>
      <w:lvlText w:val="(%1)"/>
      <w:numFmt w:val="lowerLetter"/>
      <w:start w:val="10"/>
    </w:lvl>
  </w:abstractNum>
  <w:abstractNum w:abstractNumId="87">
    <w:nsid w:val="260D8C4A"/>
    <w:multiLevelType w:val="hybridMultilevel"/>
    <w:lvl w:ilvl="0">
      <w:lvlJc w:val="left"/>
      <w:lvlText w:val="(%1)"/>
      <w:numFmt w:val="lowerLetter"/>
      <w:start w:val="12"/>
    </w:lvl>
  </w:abstractNum>
  <w:abstractNum w:abstractNumId="88">
    <w:nsid w:val="73D4D3C4"/>
    <w:multiLevelType w:val="hybridMultilevel"/>
    <w:lvl w:ilvl="0">
      <w:lvlJc w:val="left"/>
      <w:lvlText w:val="(%1)"/>
      <w:numFmt w:val="lowerLetter"/>
      <w:start w:val="15"/>
    </w:lvl>
  </w:abstractNum>
  <w:abstractNum w:abstractNumId="89">
    <w:nsid w:val="746F2E30"/>
    <w:multiLevelType w:val="hybridMultilevel"/>
    <w:lvl w:ilvl="0">
      <w:lvlJc w:val="left"/>
      <w:lvlText w:val="(%1)"/>
      <w:numFmt w:val="lowerLetter"/>
      <w:start w:val="1"/>
    </w:lvl>
    <w:lvl w:ilvl="1">
      <w:lvlJc w:val="left"/>
      <w:lvlText w:val="(%2)"/>
      <w:numFmt w:val="lowerRoman"/>
      <w:start w:val="1"/>
    </w:lvl>
  </w:abstractNum>
  <w:abstractNum w:abstractNumId="90">
    <w:nsid w:val="6FDE8AF6"/>
    <w:multiLevelType w:val="hybridMultilevel"/>
    <w:lvl w:ilvl="0">
      <w:lvlJc w:val="left"/>
      <w:lvlText w:val="(%1)"/>
      <w:numFmt w:val="lowerLetter"/>
      <w:start w:val="2"/>
    </w:lvl>
  </w:abstractNum>
  <w:abstractNum w:abstractNumId="91">
    <w:nsid w:val="3FC32E20"/>
    <w:multiLevelType w:val="hybridMultilevel"/>
    <w:lvl w:ilvl="0">
      <w:lvlJc w:val="left"/>
      <w:lvlText w:val="(%1)"/>
      <w:numFmt w:val="lowerLetter"/>
      <w:start w:val="3"/>
    </w:lvl>
    <w:lvl w:ilvl="1">
      <w:lvlJc w:val="left"/>
      <w:lvlText w:val="(%2)"/>
      <w:numFmt w:val="lowerRoman"/>
      <w:start w:val="1"/>
    </w:lvl>
  </w:abstractNum>
  <w:abstractNum w:abstractNumId="92">
    <w:nsid w:val="49C0E823"/>
    <w:multiLevelType w:val="hybridMultilevel"/>
    <w:lvl w:ilvl="0">
      <w:lvlJc w:val="left"/>
      <w:lvlText w:val="%1"/>
      <w:numFmt w:val="lowerLetter"/>
      <w:start w:val="1"/>
    </w:lvl>
    <w:lvl w:ilvl="1">
      <w:lvlJc w:val="left"/>
      <w:lvlText w:val="(%2)"/>
      <w:numFmt w:val="lowerRoman"/>
      <w:start w:val="4"/>
    </w:lvl>
  </w:abstractNum>
  <w:abstractNum w:abstractNumId="93">
    <w:nsid w:val="14D53685"/>
    <w:multiLevelType w:val="hybridMultilevel"/>
    <w:lvl w:ilvl="0">
      <w:lvlJc w:val="left"/>
      <w:lvlText w:val="(%1)"/>
      <w:numFmt w:val="lowerLetter"/>
      <w:start w:val="4"/>
    </w:lvl>
    <w:lvl w:ilvl="1">
      <w:lvlJc w:val="left"/>
      <w:lvlText w:val="(%2)"/>
      <w:numFmt w:val="lowerRoman"/>
      <w:start w:val="2"/>
    </w:lvl>
  </w:abstractNum>
  <w:abstractNum w:abstractNumId="94">
    <w:nsid w:val="230F856C"/>
    <w:multiLevelType w:val="hybridMultilevel"/>
    <w:lvl w:ilvl="0">
      <w:lvlJc w:val="left"/>
      <w:lvlText w:val="(%1)"/>
      <w:numFmt w:val="lowerLetter"/>
      <w:start w:val="7"/>
    </w:lvl>
  </w:abstractNum>
  <w:abstractNum w:abstractNumId="95">
    <w:nsid w:val="6EAA85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6">
    <w:nsid w:val="3F06ECB2"/>
    <w:multiLevelType w:val="hybridMultilevel"/>
    <w:lvl w:ilvl="0">
      <w:lvlJc w:val="left"/>
      <w:lvlText w:val="(%1)"/>
      <w:numFmt w:val="upperLetter"/>
      <w:start w:val="7"/>
    </w:lvl>
  </w:abstractNum>
  <w:abstractNum w:abstractNumId="97">
    <w:nsid w:val="3B594807"/>
    <w:multiLevelType w:val="hybridMultilevel"/>
    <w:lvl w:ilvl="0">
      <w:lvlJc w:val="left"/>
      <w:lvlText w:val="(%1)"/>
      <w:numFmt w:val="lowerLetter"/>
      <w:start w:val="2"/>
    </w:lvl>
    <w:lvl w:ilvl="1">
      <w:lvlJc w:val="left"/>
      <w:lvlText w:val="(%2)"/>
      <w:numFmt w:val="lowerRoman"/>
      <w:start w:val="2"/>
    </w:lvl>
  </w:abstractNum>
  <w:abstractNum w:abstractNumId="98">
    <w:nsid w:val="6CAA2304"/>
    <w:multiLevelType w:val="hybridMultilevel"/>
    <w:lvl w:ilvl="0">
      <w:lvlJc w:val="left"/>
      <w:lvlText w:val="(%1)"/>
      <w:numFmt w:val="lowerLetter"/>
      <w:start w:val="3"/>
    </w:lvl>
  </w:abstractNum>
  <w:abstractNum w:abstractNumId="99">
    <w:nsid w:val="3F7C2FF4"/>
    <w:multiLevelType w:val="hybridMultilevel"/>
    <w:lvl w:ilvl="0">
      <w:lvlJc w:val="left"/>
      <w:lvlText w:val="(%1)"/>
      <w:numFmt w:val="lowerLetter"/>
      <w:start w:val="7"/>
    </w:lvl>
  </w:abstractNum>
  <w:abstractNum w:abstractNumId="100">
    <w:nsid w:val="25413BEC"/>
    <w:multiLevelType w:val="hybridMultilevel"/>
    <w:lvl w:ilvl="0">
      <w:lvlJc w:val="left"/>
      <w:lvlText w:val="(%1)"/>
      <w:numFmt w:val="lowerLetter"/>
      <w:start w:val="1"/>
    </w:lvl>
    <w:lvl w:ilvl="1">
      <w:lvlJc w:val="left"/>
      <w:lvlText w:val="(%2)"/>
      <w:numFmt w:val="upperLetter"/>
      <w:start w:val="1"/>
    </w:lvl>
  </w:abstractNum>
  <w:abstractNum w:abstractNumId="101">
    <w:nsid w:val="17180B0B"/>
    <w:multiLevelType w:val="hybridMultilevel"/>
    <w:lvl w:ilvl="0">
      <w:lvlJc w:val="left"/>
      <w:lvlText w:val="(%1)"/>
      <w:numFmt w:val="upperLetter"/>
      <w:start w:val="4"/>
    </w:lvl>
    <w:lvl w:ilvl="1">
      <w:lvlJc w:val="left"/>
      <w:lvlText w:val="(%2)"/>
      <w:numFmt w:val="decimal"/>
      <w:start w:val="1"/>
    </w:lvl>
  </w:abstractNum>
  <w:abstractNum w:abstractNumId="102">
    <w:nsid w:val="579328B9"/>
    <w:multiLevelType w:val="hybridMultilevel"/>
    <w:lvl w:ilvl="0">
      <w:lvlJc w:val="left"/>
      <w:lvlText w:val="%1"/>
      <w:numFmt w:val="lowerLetter"/>
      <w:start w:val="1"/>
    </w:lvl>
    <w:lvl w:ilvl="1">
      <w:lvlJc w:val="left"/>
      <w:lvlText w:val="(%2)"/>
      <w:numFmt w:val="upperLetter"/>
      <w:start w:val="8"/>
    </w:lvl>
  </w:abstractNum>
  <w:abstractNum w:abstractNumId="103">
    <w:nsid w:val="5D205E20"/>
    <w:multiLevelType w:val="hybridMultilevel"/>
    <w:lvl w:ilvl="0">
      <w:lvlJc w:val="left"/>
      <w:lvlText w:val="(%1)"/>
      <w:numFmt w:val="lowerLetter"/>
      <w:start w:val="2"/>
    </w:lvl>
    <w:lvl w:ilvl="1">
      <w:lvlJc w:val="left"/>
      <w:lvlText w:val="%2"/>
      <w:numFmt w:val="upperLetter"/>
      <w:start w:val="1"/>
    </w:lvl>
  </w:abstractNum>
  <w:abstractNum w:abstractNumId="104">
    <w:nsid w:val="11CCA8BA"/>
    <w:multiLevelType w:val="hybridMultilevel"/>
    <w:lvl w:ilvl="0">
      <w:lvlJc w:val="left"/>
      <w:lvlText w:val="(%1)"/>
      <w:numFmt w:val="lowerLetter"/>
      <w:start w:val="1"/>
    </w:lvl>
    <w:lvl w:ilvl="1">
      <w:lvlJc w:val="left"/>
      <w:lvlText w:val="(%2)"/>
      <w:numFmt w:val="lowerRoman"/>
      <w:start w:val="1"/>
    </w:lvl>
  </w:abstractNum>
  <w:abstractNum w:abstractNumId="105">
    <w:nsid w:val="4D32AB86"/>
    <w:multiLevelType w:val="hybridMultilevel"/>
    <w:lvl w:ilvl="0">
      <w:lvlJc w:val="left"/>
      <w:lvlText w:val="(%1)"/>
      <w:numFmt w:val="lowerLetter"/>
      <w:start w:val="3"/>
    </w:lvl>
  </w:abstractNum>
  <w:abstractNum w:abstractNumId="106">
    <w:nsid w:val="3F07ACC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07">
    <w:nsid w:val="6B47F63E"/>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108">
    <w:nsid w:val="5CB44A05"/>
    <w:multiLevelType w:val="hybridMultilevel"/>
    <w:lvl w:ilvl="0">
      <w:lvlJc w:val="left"/>
      <w:lvlText w:val="(%1)"/>
      <w:numFmt w:val="lowerLetter"/>
      <w:start w:val="4"/>
    </w:lvl>
  </w:abstractNum>
  <w:abstractNum w:abstractNumId="109">
    <w:nsid w:val="16CF80F1"/>
    <w:multiLevelType w:val="hybridMultilevel"/>
    <w:lvl w:ilvl="0">
      <w:lvlJc w:val="left"/>
      <w:lvlText w:val="(%1)"/>
      <w:numFmt w:val="lowerLetter"/>
      <w:start w:val="1"/>
    </w:lvl>
  </w:abstractNum>
  <w:abstractNum w:abstractNumId="110">
    <w:nsid w:val="1C695DEC"/>
    <w:multiLevelType w:val="hybridMultilevel"/>
    <w:lvl w:ilvl="0">
      <w:lvlJc w:val="left"/>
      <w:lvlText w:val="(%1)"/>
      <w:numFmt w:val="lowerLetter"/>
      <w:start w:val="3"/>
    </w:lvl>
  </w:abstractNum>
  <w:abstractNum w:abstractNumId="111">
    <w:nsid w:val="3FCFAED9"/>
    <w:multiLevelType w:val="hybridMultilevel"/>
    <w:lvl w:ilvl="0">
      <w:lvlJc w:val="left"/>
      <w:lvlText w:val="(%1)"/>
      <w:numFmt w:val="lowerLetter"/>
      <w:start w:val="2"/>
    </w:lvl>
  </w:abstractNum>
  <w:abstractNum w:abstractNumId="112">
    <w:nsid w:val="F856867"/>
    <w:multiLevelType w:val="hybridMultilevel"/>
    <w:lvl w:ilvl="0">
      <w:lvlJc w:val="left"/>
      <w:lvlText w:val="(%1)"/>
      <w:numFmt w:val="lowerLetter"/>
      <w:start w:val="1"/>
    </w:lvl>
  </w:abstractNum>
  <w:abstractNum w:abstractNumId="113">
    <w:nsid w:val="11B1CC33"/>
    <w:multiLevelType w:val="hybridMultilevel"/>
    <w:lvl w:ilvl="0">
      <w:lvlJc w:val="left"/>
      <w:lvlText w:val="(%1)"/>
      <w:numFmt w:val="lowerLetter"/>
      <w:start w:val="1"/>
    </w:lvl>
  </w:abstractNum>
  <w:abstractNum w:abstractNumId="114">
    <w:nsid w:val="2E22FBB7"/>
    <w:multiLevelType w:val="hybridMultilevel"/>
    <w:lvl w:ilvl="0">
      <w:lvlJc w:val="left"/>
      <w:lvlText w:val="(%1)"/>
      <w:numFmt w:val="lowerLetter"/>
      <w:start w:val="1"/>
    </w:lvl>
  </w:abstractNum>
  <w:abstractNum w:abstractNumId="115">
    <w:nsid w:val="29934699"/>
    <w:multiLevelType w:val="hybridMultilevel"/>
    <w:lvl w:ilvl="0">
      <w:lvlJc w:val="left"/>
      <w:lvlText w:val="(%1)"/>
      <w:numFmt w:val="lowerLetter"/>
      <w:start w:val="1"/>
    </w:lvl>
  </w:abstractNum>
  <w:abstractNum w:abstractNumId="116">
    <w:nsid w:val="77485850"/>
    <w:multiLevelType w:val="hybridMultilevel"/>
    <w:lvl w:ilvl="0">
      <w:lvlJc w:val="left"/>
      <w:lvlText w:val="(%1)"/>
      <w:numFmt w:val="lowerLetter"/>
      <w:start w:val="3"/>
    </w:lvl>
    <w:lvl w:ilvl="1">
      <w:lvlJc w:val="left"/>
      <w:lvlText w:val="(%2)"/>
      <w:numFmt w:val="lowerRoman"/>
      <w:start w:val="1"/>
    </w:lvl>
  </w:abstractNum>
  <w:abstractNum w:abstractNumId="117">
    <w:nsid w:val="744939A3"/>
    <w:multiLevelType w:val="hybridMultilevel"/>
    <w:lvl w:ilvl="0">
      <w:lvlJc w:val="left"/>
      <w:lvlText w:val="(%1)"/>
      <w:numFmt w:val="lowerLetter"/>
      <w:start w:val="1"/>
    </w:lvl>
  </w:abstractNum>
  <w:abstractNum w:abstractNumId="118">
    <w:nsid w:val="4FA0D2E3"/>
    <w:multiLevelType w:val="hybridMultilevel"/>
    <w:lvl w:ilvl="0">
      <w:lvlJc w:val="left"/>
      <w:lvlText w:val="(%1)"/>
      <w:numFmt w:val="lowerLetter"/>
      <w:start w:val="35"/>
    </w:lvl>
    <w:lvl w:ilvl="1">
      <w:lvlJc w:val="left"/>
      <w:lvlText w:val="(%2)"/>
      <w:numFmt w:val="lowerLetter"/>
      <w:start w:val="2"/>
    </w:lvl>
  </w:abstractNum>
  <w:abstractNum w:abstractNumId="119">
    <w:nsid w:val="6B1D2C14"/>
    <w:multiLevelType w:val="hybridMultilevel"/>
    <w:lvl w:ilvl="0">
      <w:lvlJc w:val="left"/>
      <w:lvlText w:val="(%1)"/>
      <w:numFmt w:val="lowerLetter"/>
      <w:start w:val="1"/>
    </w:lvl>
  </w:abstractNum>
  <w:abstractNum w:abstractNumId="120">
    <w:nsid w:val="68B867D3"/>
    <w:multiLevelType w:val="hybridMultilevel"/>
    <w:lvl w:ilvl="0">
      <w:lvlJc w:val="left"/>
      <w:lvlText w:val="(%1)"/>
      <w:numFmt w:val="lowerLetter"/>
      <w:start w:val="1"/>
    </w:lvl>
  </w:abstractNum>
  <w:abstractNum w:abstractNumId="121">
    <w:nsid w:val="3F7F5DD9"/>
    <w:multiLevelType w:val="hybridMultilevel"/>
    <w:lvl w:ilvl="0">
      <w:lvlJc w:val="left"/>
      <w:lvlText w:val="(%1)"/>
      <w:numFmt w:val="lowerLetter"/>
      <w:start w:val="3"/>
    </w:lvl>
  </w:abstractNum>
  <w:abstractNum w:abstractNumId="122">
    <w:nsid w:val="2AE05A34"/>
    <w:multiLevelType w:val="hybridMultilevel"/>
    <w:lvl w:ilvl="0">
      <w:lvlJc w:val="left"/>
      <w:lvlText w:val="(%1)"/>
      <w:numFmt w:val="lowerLetter"/>
      <w:start w:val="1"/>
    </w:lvl>
    <w:lvl w:ilvl="1">
      <w:lvlJc w:val="left"/>
      <w:lvlText w:val="(%2)"/>
      <w:numFmt w:val="lowerRoman"/>
      <w:start w:val="1"/>
    </w:lvl>
  </w:abstractNum>
  <w:abstractNum w:abstractNumId="123">
    <w:nsid w:val="32794FF7"/>
    <w:multiLevelType w:val="hybridMultilevel"/>
    <w:lvl w:ilvl="0">
      <w:lvlJc w:val="left"/>
      <w:lvlText w:val="(%1)"/>
      <w:numFmt w:val="lowerRoman"/>
      <w:start w:val="5"/>
    </w:lvl>
  </w:abstractNum>
  <w:abstractNum w:abstractNumId="124">
    <w:nsid w:val="5454945E"/>
    <w:multiLevelType w:val="hybridMultilevel"/>
    <w:lvl w:ilvl="0">
      <w:lvlJc w:val="left"/>
      <w:lvlText w:val="%1"/>
      <w:numFmt w:val="lowerLetter"/>
      <w:start w:val="1"/>
    </w:lvl>
    <w:lvl w:ilvl="1">
      <w:lvlJc w:val="left"/>
      <w:lvlText w:val="(%2)"/>
      <w:numFmt w:val="lowerRoman"/>
      <w:start w:val="11"/>
    </w:lvl>
  </w:abstractNum>
  <w:abstractNum w:abstractNumId="125">
    <w:nsid w:val="4DEFDFA0"/>
    <w:multiLevelType w:val="hybridMultilevel"/>
    <w:lvl w:ilvl="0">
      <w:lvlJc w:val="left"/>
      <w:lvlText w:val="(%1)"/>
      <w:numFmt w:val="lowerLetter"/>
      <w:start w:val="2"/>
    </w:lvl>
    <w:lvl w:ilvl="1">
      <w:lvlJc w:val="left"/>
      <w:lvlText w:val="%2"/>
      <w:numFmt w:val="lowerRoman"/>
      <w:start w:val="1"/>
    </w:lvl>
  </w:abstractNum>
  <w:abstractNum w:abstractNumId="126">
    <w:nsid w:val="2123D5F2"/>
    <w:multiLevelType w:val="hybridMultilevel"/>
    <w:lvl w:ilvl="0">
      <w:lvlJc w:val="left"/>
      <w:lvlText w:val="(%1)"/>
      <w:numFmt w:val="lowerLetter"/>
      <w:start w:val="1"/>
    </w:lvl>
  </w:abstractNum>
  <w:abstractNum w:abstractNumId="127">
    <w:nsid w:val="135B8110"/>
    <w:multiLevelType w:val="hybridMultilevel"/>
    <w:lvl w:ilvl="0">
      <w:lvlJc w:val="left"/>
      <w:lvlText w:val="(%1)"/>
      <w:numFmt w:val="lowerLetter"/>
      <w:start w:val="1"/>
    </w:lvl>
  </w:abstractNum>
  <w:abstractNum w:abstractNumId="128">
    <w:nsid w:val="94927A8"/>
    <w:multiLevelType w:val="hybridMultilevel"/>
    <w:lvl w:ilvl="0">
      <w:lvlJc w:val="left"/>
      <w:lvlText w:val="(%1)"/>
      <w:numFmt w:val="lowerLetter"/>
      <w:start w:val="3"/>
    </w:lvl>
  </w:abstractNum>
  <w:abstractNum w:abstractNumId="129">
    <w:nsid w:val="DCDF8F6"/>
    <w:multiLevelType w:val="hybridMultilevel"/>
    <w:lvl w:ilvl="0">
      <w:lvlJc w:val="left"/>
      <w:lvlText w:val="(%1)"/>
      <w:numFmt w:val="lowerLetter"/>
      <w:start w:val="1"/>
    </w:lvl>
  </w:abstractNum>
  <w:abstractNum w:abstractNumId="130">
    <w:nsid w:val="52D7B105"/>
    <w:multiLevelType w:val="hybridMultilevel"/>
    <w:lvl w:ilvl="0">
      <w:lvlJc w:val="left"/>
      <w:lvlText w:val="(%1)"/>
      <w:numFmt w:val="lowerLetter"/>
      <w:start w:val="2"/>
    </w:lvl>
  </w:abstractNum>
  <w:abstractNum w:abstractNumId="131">
    <w:nsid w:val="2E8A6394"/>
    <w:multiLevelType w:val="hybridMultilevel"/>
    <w:lvl w:ilvl="0">
      <w:lvlJc w:val="left"/>
      <w:lvlText w:val="(%1)"/>
      <w:numFmt w:val="lowerLetter"/>
      <w:start w:val="1"/>
    </w:lvl>
  </w:abstractNum>
  <w:abstractNum w:abstractNumId="132">
    <w:nsid w:val="24E60401"/>
    <w:multiLevelType w:val="hybridMultilevel"/>
    <w:lvl w:ilvl="0">
      <w:lvlJc w:val="left"/>
      <w:lvlText w:val="(%1)"/>
      <w:numFmt w:val="lowerLetter"/>
      <w:start w:val="3"/>
    </w:lvl>
  </w:abstractNum>
  <w:abstractNum w:abstractNumId="133">
    <w:nsid w:val="2A6AD9BE"/>
    <w:multiLevelType w:val="hybridMultilevel"/>
    <w:lvl w:ilvl="0">
      <w:lvlJc w:val="left"/>
      <w:lvlText w:val="(%1)"/>
      <w:numFmt w:val="lowerLetter"/>
      <w:start w:val="1"/>
    </w:lvl>
  </w:abstractNum>
  <w:abstractNum w:abstractNumId="134">
    <w:nsid w:val="BAAC1B4"/>
    <w:multiLevelType w:val="hybridMultilevel"/>
    <w:lvl w:ilvl="0">
      <w:lvlJc w:val="left"/>
      <w:lvlText w:val="(%1)"/>
      <w:numFmt w:val="lowerLetter"/>
      <w:start w:val="2"/>
    </w:lvl>
  </w:abstractNum>
  <w:abstractNum w:abstractNumId="135">
    <w:nsid w:val="36B2ACBC"/>
    <w:multiLevelType w:val="hybridMultilevel"/>
    <w:lvl w:ilvl="0">
      <w:lvlJc w:val="left"/>
      <w:lvlText w:val="(%1)"/>
      <w:numFmt w:val="lowerLetter"/>
      <w:start w:val="7"/>
    </w:lvl>
  </w:abstractNum>
  <w:abstractNum w:abstractNumId="136">
    <w:nsid w:val="779D8544"/>
    <w:multiLevelType w:val="hybridMultilevel"/>
    <w:lvl w:ilvl="0">
      <w:lvlJc w:val="left"/>
      <w:lvlText w:val="(%1)"/>
      <w:numFmt w:val="lowerLetter"/>
      <w:start w:val="1"/>
    </w:lvl>
  </w:abstractNum>
  <w:abstractNum w:abstractNumId="137">
    <w:nsid w:val="4AB26E78"/>
    <w:multiLevelType w:val="hybridMultilevel"/>
    <w:lvl w:ilvl="0">
      <w:lvlJc w:val="left"/>
      <w:lvlText w:val="(%1)"/>
      <w:numFmt w:val="lowerLetter"/>
      <w:start w:val="4"/>
    </w:lvl>
  </w:abstractNum>
  <w:abstractNum w:abstractNumId="138">
    <w:nsid w:val="21FAA2FA"/>
    <w:multiLevelType w:val="hybridMultilevel"/>
    <w:lvl w:ilvl="0">
      <w:lvlJc w:val="left"/>
      <w:lvlText w:val="(%1)"/>
      <w:numFmt w:val="lowerLetter"/>
      <w:start w:val="1"/>
    </w:lvl>
  </w:abstractNum>
  <w:abstractNum w:abstractNumId="139">
    <w:nsid w:val="5451CF49"/>
    <w:multiLevelType w:val="hybridMultilevel"/>
    <w:lvl w:ilvl="0">
      <w:lvlJc w:val="left"/>
      <w:lvlText w:val="(%1)"/>
      <w:numFmt w:val="lowerLetter"/>
      <w:start w:val="5"/>
    </w:lvl>
  </w:abstractNum>
  <w:abstractNum w:abstractNumId="140">
    <w:nsid w:val="6181EF69"/>
    <w:multiLevelType w:val="hybridMultilevel"/>
    <w:lvl w:ilvl="0">
      <w:lvlJc w:val="left"/>
      <w:lvlText w:val="(%1)"/>
      <w:numFmt w:val="lowerLetter"/>
      <w:start w:val="15"/>
    </w:lvl>
  </w:abstractNum>
  <w:abstractNum w:abstractNumId="141">
    <w:nsid w:val="3E6400E6"/>
    <w:multiLevelType w:val="hybridMultilevel"/>
    <w:lvl w:ilvl="0">
      <w:lvlJc w:val="left"/>
      <w:lvlText w:val="(%1)"/>
      <w:numFmt w:val="lowerLetter"/>
      <w:start w:val="1"/>
    </w:lvl>
  </w:abstractNum>
  <w:abstractNum w:abstractNumId="142">
    <w:nsid w:val="14217E23"/>
    <w:multiLevelType w:val="hybridMultilevel"/>
    <w:lvl w:ilvl="0">
      <w:lvlJc w:val="left"/>
      <w:lvlText w:val="(%1)"/>
      <w:numFmt w:val="lowerRoman"/>
      <w:start w:val="1"/>
    </w:lvl>
  </w:abstractNum>
  <w:abstractNum w:abstractNumId="143">
    <w:nsid w:val="710757D0"/>
    <w:multiLevelType w:val="hybridMultilevel"/>
    <w:lvl w:ilvl="0">
      <w:lvlJc w:val="left"/>
      <w:lvlText w:val="%1"/>
      <w:numFmt w:val="lowerLetter"/>
      <w:start w:val="1"/>
    </w:lvl>
    <w:lvl w:ilvl="1">
      <w:lvlJc w:val="left"/>
      <w:lvlText w:val="(%2)"/>
      <w:numFmt w:val="lowerRoman"/>
      <w:start w:val="2"/>
    </w:lvl>
  </w:abstractNum>
  <w:abstractNum w:abstractNumId="144">
    <w:nsid w:val="5015CD1A"/>
    <w:multiLevelType w:val="hybridMultilevel"/>
    <w:lvl w:ilvl="0">
      <w:lvlJc w:val="left"/>
      <w:lvlText w:val="(%1)"/>
      <w:numFmt w:val="lowerLetter"/>
      <w:start w:val="8"/>
    </w:lvl>
    <w:lvl w:ilvl="1">
      <w:lvlJc w:val="left"/>
      <w:lvlText w:val="(%2)"/>
      <w:numFmt w:val="lowerRoman"/>
      <w:start w:val="1"/>
    </w:lvl>
  </w:abstractNum>
  <w:abstractNum w:abstractNumId="145">
    <w:nsid w:val="424479DA"/>
    <w:multiLevelType w:val="hybridMultilevel"/>
    <w:lvl w:ilvl="0">
      <w:lvlJc w:val="left"/>
      <w:lvlText w:val="(%1)"/>
      <w:numFmt w:val="lowerLetter"/>
      <w:start w:val="10"/>
    </w:lvl>
  </w:abstractNum>
  <w:abstractNum w:abstractNumId="146">
    <w:nsid w:val="1A9A9E69"/>
    <w:multiLevelType w:val="hybridMultilevel"/>
    <w:lvl w:ilvl="0">
      <w:lvlJc w:val="left"/>
      <w:lvlText w:val="%1"/>
      <w:numFmt w:val="upperLetter"/>
      <w:start w:val="1"/>
    </w:lvl>
    <w:lvl w:ilvl="1">
      <w:lvlJc w:val="left"/>
      <w:lvlText w:val="(%2)"/>
      <w:numFmt w:val="lowerLetter"/>
      <w:start w:val="11"/>
    </w:lvl>
    <w:lvl w:ilvl="2">
      <w:lvlJc w:val="left"/>
      <w:lvlText w:val="(%3)"/>
      <w:numFmt w:val="lowerRoman"/>
      <w:start w:val="1"/>
    </w:lvl>
  </w:abstractNum>
  <w:abstractNum w:abstractNumId="147">
    <w:nsid w:val="475E256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148">
    <w:nsid w:val="368DB37E"/>
    <w:multiLevelType w:val="hybridMultilevel"/>
    <w:lvl w:ilvl="0">
      <w:lvlJc w:val="left"/>
      <w:lvlText w:val="(%1)"/>
      <w:numFmt w:val="lowerLetter"/>
      <w:start w:val="15"/>
    </w:lvl>
  </w:abstractNum>
  <w:abstractNum w:abstractNumId="149">
    <w:nsid w:val="6A3B714C"/>
    <w:multiLevelType w:val="hybridMultilevel"/>
    <w:lvl w:ilvl="0">
      <w:lvlJc w:val="left"/>
      <w:lvlText w:val="(%1)"/>
      <w:numFmt w:val="lowerLetter"/>
      <w:start w:val="1"/>
    </w:lvl>
  </w:abstractNum>
  <w:abstractNum w:abstractNumId="150">
    <w:nsid w:val="327B517E"/>
    <w:multiLevelType w:val="hybridMultilevel"/>
    <w:lvl w:ilvl="0">
      <w:lvlJc w:val="left"/>
      <w:lvlText w:val="%1"/>
      <w:numFmt w:val="lowerLetter"/>
      <w:start w:val="1"/>
    </w:lvl>
    <w:lvl w:ilvl="1">
      <w:lvlJc w:val="left"/>
      <w:lvlText w:val="(%2)"/>
      <w:numFmt w:val="lowerLetter"/>
      <w:start w:val="1"/>
    </w:lvl>
  </w:abstractNum>
  <w:abstractNum w:abstractNumId="151">
    <w:nsid w:val="1F461B51"/>
    <w:multiLevelType w:val="hybridMultilevel"/>
    <w:lvl w:ilvl="0">
      <w:lvlJc w:val="left"/>
      <w:lvlText w:val="(%1)"/>
      <w:numFmt w:val="lowerLetter"/>
      <w:start w:val="35"/>
    </w:lvl>
    <w:lvl w:ilvl="1">
      <w:lvlJc w:val="left"/>
      <w:lvlText w:val="%2"/>
      <w:numFmt w:val="lowerLetter"/>
      <w:start w:val="1"/>
    </w:lvl>
  </w:abstractNum>
  <w:abstractNum w:abstractNumId="152">
    <w:nsid w:val="29BACF25"/>
    <w:multiLevelType w:val="hybridMultilevel"/>
    <w:lvl w:ilvl="0">
      <w:lvlJc w:val="left"/>
      <w:lvlText w:val="(%1)"/>
      <w:numFmt w:val="lowerLetter"/>
      <w:start w:val="2"/>
    </w:lvl>
  </w:abstractNum>
  <w:abstractNum w:abstractNumId="153">
    <w:nsid w:val="5D5BABB3"/>
    <w:multiLevelType w:val="hybridMultilevel"/>
    <w:lvl w:ilvl="0">
      <w:lvlJc w:val="left"/>
      <w:lvlText w:val="(%1)"/>
      <w:numFmt w:val="upperLetter"/>
      <w:start w:val="3"/>
    </w:lvl>
  </w:abstractNum>
  <w:abstractNum w:abstractNumId="154">
    <w:nsid w:val="51BF6B48"/>
    <w:multiLevelType w:val="hybridMultilevel"/>
    <w:lvl w:ilvl="0">
      <w:lvlJc w:val="left"/>
      <w:lvlText w:val="(%1)"/>
      <w:numFmt w:val="lowerLetter"/>
      <w:start w:val="1"/>
    </w:lvl>
  </w:abstractNum>
  <w:abstractNum w:abstractNumId="155">
    <w:nsid w:val="7E0F6384"/>
    <w:multiLevelType w:val="hybridMultilevel"/>
    <w:lvl w:ilvl="0">
      <w:lvlJc w:val="left"/>
      <w:lvlText w:val="(%1)"/>
      <w:numFmt w:val="lowerLetter"/>
      <w:start w:val="1"/>
    </w:lvl>
  </w:abstractNum>
  <w:abstractNum w:abstractNumId="156">
    <w:nsid w:val="2B4B8B53"/>
    <w:multiLevelType w:val="hybridMultilevel"/>
    <w:lvl w:ilvl="0">
      <w:lvlJc w:val="left"/>
      <w:lvlText w:val="(%1)"/>
      <w:numFmt w:val="lowerLetter"/>
      <w:start w:val="2"/>
    </w:lvl>
  </w:abstractNum>
  <w:abstractNum w:abstractNumId="157">
    <w:nsid w:val="72E3413A"/>
    <w:multiLevelType w:val="hybridMultilevel"/>
    <w:lvl w:ilvl="0">
      <w:lvlJc w:val="left"/>
      <w:lvlText w:val="(%1)"/>
      <w:numFmt w:val="lowerLetter"/>
      <w:start w:val="5"/>
    </w:lvl>
    <w:lvl w:ilvl="1">
      <w:lvlJc w:val="left"/>
      <w:lvlText w:val="(%2)"/>
      <w:numFmt w:val="lowerLetter"/>
      <w:start w:val="1"/>
    </w:lvl>
  </w:abstractNum>
  <w:abstractNum w:abstractNumId="158">
    <w:nsid w:val="116AE494"/>
    <w:multiLevelType w:val="hybridMultilevel"/>
    <w:lvl w:ilvl="0">
      <w:lvlJc w:val="left"/>
      <w:lvlText w:val="%1"/>
      <w:numFmt w:val="upperLetter"/>
      <w:start w:val="1"/>
    </w:lvl>
    <w:lvl w:ilvl="1">
      <w:lvlJc w:val="left"/>
      <w:lvlText w:val="(%2)"/>
      <w:numFmt w:val="lowerLetter"/>
      <w:start w:val="1"/>
    </w:lvl>
  </w:abstractNum>
  <w:abstractNum w:abstractNumId="159">
    <w:nsid w:val="3494B2FB"/>
    <w:multiLevelType w:val="hybridMultilevel"/>
    <w:lvl w:ilvl="0">
      <w:lvlJc w:val="left"/>
      <w:lvlText w:val="(%1)"/>
      <w:numFmt w:val="upperLetter"/>
      <w:start w:val="2"/>
    </w:lvl>
    <w:lvl w:ilvl="1">
      <w:lvlJc w:val="left"/>
      <w:lvlText w:val="%2"/>
      <w:numFmt w:val="lowerLetter"/>
      <w:start w:val="1"/>
    </w:lvl>
  </w:abstractNum>
  <w:abstractNum w:abstractNumId="160">
    <w:nsid w:val="B13A31"/>
    <w:multiLevelType w:val="hybridMultilevel"/>
    <w:lvl w:ilvl="0">
      <w:lvlJc w:val="left"/>
      <w:lvlText w:val="(%1)"/>
      <w:numFmt w:val="lowerLetter"/>
      <w:start w:val="7"/>
    </w:lvl>
  </w:abstractNum>
  <w:abstractNum w:abstractNumId="161">
    <w:nsid w:val="64429599"/>
    <w:multiLevelType w:val="hybridMultilevel"/>
    <w:lvl w:ilvl="0">
      <w:lvlJc w:val="left"/>
      <w:lvlText w:val="(%1)"/>
      <w:numFmt w:val="lowerLetter"/>
      <w:start w:val="12"/>
    </w:lvl>
  </w:abstractNum>
  <w:abstractNum w:abstractNumId="162">
    <w:nsid w:val="631F1690"/>
    <w:multiLevelType w:val="hybridMultilevel"/>
    <w:lvl w:ilvl="0">
      <w:lvlJc w:val="left"/>
      <w:lvlText w:val="(%1)"/>
      <w:numFmt w:val="lowerLetter"/>
      <w:start w:val="1"/>
    </w:lvl>
  </w:abstractNum>
  <w:abstractNum w:abstractNumId="163">
    <w:nsid w:val="25973E32"/>
    <w:multiLevelType w:val="hybridMultilevel"/>
    <w:lvl w:ilvl="0">
      <w:lvlJc w:val="left"/>
      <w:lvlText w:val="(%1)"/>
      <w:numFmt w:val="lowerLetter"/>
      <w:start w:val="1"/>
    </w:lvl>
  </w:abstractNum>
  <w:abstractNum w:abstractNumId="164">
    <w:nsid w:val="EAD6F57"/>
    <w:multiLevelType w:val="hybridMultilevel"/>
    <w:lvl w:ilvl="0">
      <w:lvlJc w:val="left"/>
      <w:lvlText w:val="(%1)"/>
      <w:numFmt w:val="lowerLetter"/>
      <w:start w:val="1"/>
    </w:lvl>
  </w:abstractNum>
  <w:abstractNum w:abstractNumId="165">
    <w:nsid w:val="6EC9D844"/>
    <w:multiLevelType w:val="hybridMultilevel"/>
    <w:lvl w:ilvl="0">
      <w:lvlJc w:val="left"/>
      <w:lvlText w:val="(%1)"/>
      <w:numFmt w:val="lowerLetter"/>
      <w:start w:val="1"/>
    </w:lvl>
  </w:abstractNum>
  <w:abstractNum w:abstractNumId="166">
    <w:nsid w:val="5C49EAEE"/>
    <w:multiLevelType w:val="hybridMultilevel"/>
    <w:lvl w:ilvl="0">
      <w:lvlJc w:val="left"/>
      <w:lvlText w:val="(%1)"/>
      <w:numFmt w:val="lowerLetter"/>
      <w:start w:val="2"/>
    </w:lvl>
  </w:abstractNum>
  <w:abstractNum w:abstractNumId="167">
    <w:nsid w:val="64AF49B"/>
    <w:multiLevelType w:val="hybridMultilevel"/>
    <w:lvl w:ilvl="0">
      <w:lvlJc w:val="left"/>
      <w:lvlText w:val="(%1)"/>
      <w:numFmt w:val="lowerLetter"/>
      <w:start w:val="1"/>
    </w:lvl>
  </w:abstractNum>
  <w:abstractNum w:abstractNumId="168">
    <w:nsid w:val="397C46BC"/>
    <w:multiLevelType w:val="hybridMultilevel"/>
    <w:lvl w:ilvl="0">
      <w:lvlJc w:val="left"/>
      <w:lvlText w:val="(%1)"/>
      <w:numFmt w:val="lowerLetter"/>
      <w:start w:val="2"/>
    </w:lvl>
  </w:abstractNum>
  <w:abstractNum w:abstractNumId="169">
    <w:nsid w:val="7E448DE9"/>
    <w:multiLevelType w:val="hybridMultilevel"/>
    <w:lvl w:ilvl="0">
      <w:lvlJc w:val="left"/>
      <w:lvlText w:val="(%1)"/>
      <w:numFmt w:val="lowerLetter"/>
      <w:start w:val="1"/>
    </w:lvl>
  </w:abstractNum>
  <w:abstractNum w:abstractNumId="170">
    <w:nsid w:val="5A9CC3E5"/>
    <w:multiLevelType w:val="hybridMultilevel"/>
    <w:lvl w:ilvl="0">
      <w:lvlJc w:val="left"/>
      <w:lvlText w:val="(%1)"/>
      <w:numFmt w:val="lowerLetter"/>
      <w:start w:val="2"/>
    </w:lvl>
  </w:abstractNum>
  <w:abstractNum w:abstractNumId="171">
    <w:nsid w:val="1AFE3625"/>
    <w:multiLevelType w:val="hybridMultilevel"/>
    <w:lvl w:ilvl="0">
      <w:lvlJc w:val="left"/>
      <w:lvlText w:val="(%1)"/>
      <w:numFmt w:val="lowerLetter"/>
      <w:start w:val="1"/>
    </w:lvl>
  </w:abstractNum>
  <w:abstractNum w:abstractNumId="172">
    <w:nsid w:val="3CA88ECF"/>
    <w:multiLevelType w:val="hybridMultilevel"/>
    <w:lvl w:ilvl="0">
      <w:lvlJc w:val="left"/>
      <w:lvlText w:val="(%1)"/>
      <w:numFmt w:val="lowerLetter"/>
      <w:start w:val="2"/>
    </w:lvl>
    <w:lvl w:ilvl="1">
      <w:lvlJc w:val="left"/>
      <w:lvlText w:val="(%2)"/>
      <w:numFmt w:val="lowerRoman"/>
      <w:start w:val="1"/>
    </w:lvl>
  </w:abstractNum>
  <w:abstractNum w:abstractNumId="173">
    <w:nsid w:val="6EBE4208"/>
    <w:multiLevelType w:val="hybridMultilevel"/>
    <w:lvl w:ilvl="0">
      <w:lvlJc w:val="left"/>
      <w:lvlText w:val="(%1)"/>
      <w:numFmt w:val="lowerLetter"/>
      <w:start w:val="6"/>
    </w:lvl>
  </w:abstractNum>
  <w:abstractNum w:abstractNumId="174">
    <w:nsid w:val="C058DF5"/>
    <w:multiLevelType w:val="hybridMultilevel"/>
    <w:lvl w:ilvl="0">
      <w:lvlJc w:val="left"/>
      <w:lvlText w:val="(%1)"/>
      <w:numFmt w:val="lowerLetter"/>
      <w:start w:val="1"/>
    </w:lvl>
  </w:abstractNum>
  <w:abstractNum w:abstractNumId="175">
    <w:nsid w:val="CBE5B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6">
    <w:nsid w:val="3102BBE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77">
    <w:nsid w:val="26A02C5E"/>
    <w:multiLevelType w:val="hybridMultilevel"/>
    <w:lvl w:ilvl="0">
      <w:lvlJc w:val="left"/>
      <w:lvlText w:val="%1"/>
      <w:numFmt w:val="lowerLetter"/>
      <w:start w:val="1"/>
    </w:lvl>
    <w:lvl w:ilvl="1">
      <w:lvlJc w:val="left"/>
      <w:lvlText w:val="(%2)"/>
      <w:numFmt w:val="lowerRoman"/>
      <w:start w:val="4"/>
    </w:lvl>
  </w:abstractNum>
  <w:abstractNum w:abstractNumId="178">
    <w:nsid w:val="541C8153"/>
    <w:multiLevelType w:val="hybridMultilevel"/>
    <w:lvl w:ilvl="0">
      <w:lvlJc w:val="left"/>
      <w:lvlText w:val="(%1)"/>
      <w:numFmt w:val="lowerLetter"/>
      <w:start w:val="2"/>
    </w:lvl>
    <w:lvl w:ilvl="1">
      <w:lvlJc w:val="left"/>
      <w:lvlText w:val="%2"/>
      <w:numFmt w:val="lowerRoman"/>
      <w:start w:val="1"/>
    </w:lvl>
  </w:abstractNum>
  <w:abstractNum w:abstractNumId="179">
    <w:nsid w:val="67906F60"/>
    <w:multiLevelType w:val="hybridMultilevel"/>
    <w:lvl w:ilvl="0">
      <w:lvlJc w:val="left"/>
      <w:lvlText w:val="(%1)"/>
      <w:numFmt w:val="lowerLetter"/>
      <w:start w:val="1"/>
    </w:lvl>
  </w:abstractNum>
  <w:abstractNum w:abstractNumId="180">
    <w:nsid w:val="10DB9DAA"/>
    <w:multiLevelType w:val="hybridMultilevel"/>
    <w:lvl w:ilvl="0">
      <w:lvlJc w:val="left"/>
      <w:lvlText w:val="(%1)"/>
      <w:numFmt w:val="lowerLetter"/>
      <w:start w:val="2"/>
    </w:lvl>
  </w:abstractNum>
  <w:abstractNum w:abstractNumId="181">
    <w:nsid w:val="697D2D2"/>
    <w:multiLevelType w:val="hybridMultilevel"/>
    <w:lvl w:ilvl="0">
      <w:lvlJc w:val="left"/>
      <w:lvlText w:val="(%1)"/>
      <w:numFmt w:val="lowerLetter"/>
      <w:start w:val="5"/>
    </w:lvl>
    <w:lvl w:ilvl="1">
      <w:lvlJc w:val="left"/>
      <w:lvlText w:val="(%2)"/>
      <w:numFmt w:val="lowerRoman"/>
      <w:start w:val="1"/>
    </w:lvl>
  </w:abstractNum>
  <w:abstractNum w:abstractNumId="182">
    <w:nsid w:val="6D68AB2"/>
    <w:multiLevelType w:val="hybridMultilevel"/>
    <w:lvl w:ilvl="0">
      <w:lvlJc w:val="left"/>
      <w:lvlText w:val="(%1)"/>
      <w:numFmt w:val="lowerLetter"/>
      <w:start w:val="1"/>
    </w:lvl>
  </w:abstractNum>
  <w:abstractNum w:abstractNumId="183">
    <w:nsid w:val="3A966CD0"/>
    <w:multiLevelType w:val="hybridMultilevel"/>
    <w:lvl w:ilvl="0">
      <w:lvlJc w:val="left"/>
      <w:lvlText w:val="%1"/>
      <w:numFmt w:val="decimal"/>
      <w:start w:val="1"/>
    </w:lvl>
    <w:lvl w:ilvl="1">
      <w:lvlJc w:val="left"/>
      <w:lvlText w:val="(%2)"/>
      <w:numFmt w:val="lowerRoman"/>
      <w:start w:val="1"/>
    </w:lvl>
  </w:abstractNum>
  <w:abstractNum w:abstractNumId="184">
    <w:nsid w:val="63F37E85"/>
    <w:multiLevelType w:val="hybridMultilevel"/>
    <w:lvl w:ilvl="0">
      <w:lvlJc w:val="left"/>
      <w:lvlText w:val="(%1)"/>
      <w:numFmt w:val="decimal"/>
      <w:start w:val="713"/>
    </w:lvl>
    <w:lvl w:ilvl="1">
      <w:lvlJc w:val="left"/>
      <w:lvlText w:val="(%2)"/>
      <w:numFmt w:val="lowerRoman"/>
      <w:start w:val="4"/>
    </w:lvl>
  </w:abstractNum>
  <w:abstractNum w:abstractNumId="185">
    <w:nsid w:val="5895F5FA"/>
    <w:multiLevelType w:val="hybridMultilevel"/>
    <w:lvl w:ilvl="0">
      <w:lvlJc w:val="left"/>
      <w:lvlText w:val="(%1)"/>
      <w:numFmt w:val="lowerLetter"/>
      <w:start w:val="2"/>
    </w:lvl>
  </w:abstractNum>
  <w:abstractNum w:abstractNumId="186">
    <w:nsid w:val="38A5D054"/>
    <w:multiLevelType w:val="hybridMultilevel"/>
    <w:lvl w:ilvl="0">
      <w:lvlJc w:val="left"/>
      <w:lvlText w:val="(%1)"/>
      <w:numFmt w:val="lowerLetter"/>
      <w:start w:val="3"/>
    </w:lvl>
  </w:abstractNum>
  <w:abstractNum w:abstractNumId="187">
    <w:nsid w:val="F3F09D8"/>
    <w:multiLevelType w:val="hybridMultilevel"/>
    <w:lvl w:ilvl="0">
      <w:lvlJc w:val="left"/>
      <w:lvlText w:val="(%1)"/>
      <w:numFmt w:val="lowerLetter"/>
      <w:start w:val="1"/>
    </w:lvl>
  </w:abstractNum>
  <w:abstractNum w:abstractNumId="188">
    <w:nsid w:val="4B793735"/>
    <w:multiLevelType w:val="hybridMultilevel"/>
    <w:lvl w:ilvl="0">
      <w:lvlJc w:val="left"/>
      <w:lvlText w:val="(%1)"/>
      <w:numFmt w:val="lowerRoman"/>
      <w:start w:val="1"/>
    </w:lvl>
    <w:lvl w:ilvl="1">
      <w:lvlJc w:val="left"/>
      <w:lvlText w:val="(%2)"/>
      <w:numFmt w:val="upperLetter"/>
      <w:start w:val="1"/>
    </w:lvl>
  </w:abstractNum>
  <w:abstractNum w:abstractNumId="189">
    <w:nsid w:val="4A10B4E8"/>
    <w:multiLevelType w:val="hybridMultilevel"/>
    <w:lvl w:ilvl="0">
      <w:lvlJc w:val="left"/>
      <w:lvlText w:val="%1"/>
      <w:numFmt w:val="lowerRoman"/>
      <w:start w:val="1"/>
    </w:lvl>
    <w:lvl w:ilvl="1">
      <w:lvlJc w:val="left"/>
      <w:lvlText w:val="(%2)"/>
      <w:numFmt w:val="upperLetter"/>
      <w:start w:val="3"/>
    </w:lvl>
  </w:abstractNum>
  <w:abstractNum w:abstractNumId="190">
    <w:nsid w:val="43D3BCD4"/>
    <w:multiLevelType w:val="hybridMultilevel"/>
    <w:lvl w:ilvl="0">
      <w:lvlJc w:val="left"/>
      <w:lvlText w:val="(%1)"/>
      <w:numFmt w:val="lowerRoman"/>
      <w:start w:val="4"/>
    </w:lvl>
    <w:lvl w:ilvl="1">
      <w:lvlJc w:val="left"/>
      <w:lvlText w:val="%2"/>
      <w:numFmt w:val="upperLetter"/>
      <w:start w:val="1"/>
    </w:lvl>
  </w:abstractNum>
  <w:abstractNum w:abstractNumId="191">
    <w:nsid w:val="4C2A7166"/>
    <w:multiLevelType w:val="hybridMultilevel"/>
    <w:lvl w:ilvl="0">
      <w:lvlJc w:val="left"/>
      <w:lvlText w:val="(%1)"/>
      <w:numFmt w:val="lowerLetter"/>
      <w:start w:val="3"/>
    </w:lvl>
  </w:abstractNum>
  <w:abstractNum w:abstractNumId="192">
    <w:nsid w:val="2E534A82"/>
    <w:multiLevelType w:val="hybridMultilevel"/>
    <w:lvl w:ilvl="0">
      <w:lvlJc w:val="left"/>
      <w:lvlText w:val="(%1)"/>
      <w:numFmt w:val="lowerLetter"/>
      <w:start w:val="3"/>
    </w:lvl>
  </w:abstractNum>
  <w:abstractNum w:abstractNumId="193">
    <w:nsid w:val="26F2D364"/>
    <w:multiLevelType w:val="hybridMultilevel"/>
    <w:lvl w:ilvl="0">
      <w:lvlJc w:val="left"/>
      <w:lvlText w:val="(%1)"/>
      <w:numFmt w:val="lowerLetter"/>
      <w:start w:val="5"/>
    </w:lvl>
  </w:abstractNum>
  <w:abstractNum w:abstractNumId="194">
    <w:nsid w:val="71C1AF98"/>
    <w:multiLevelType w:val="hybridMultilevel"/>
    <w:lvl w:ilvl="0">
      <w:lvlJc w:val="left"/>
      <w:lvlText w:val="(%1)"/>
      <w:numFmt w:val="lowerLetter"/>
      <w:start w:val="8"/>
    </w:lvl>
  </w:abstractNum>
  <w:abstractNum w:abstractNumId="195">
    <w:nsid w:val="3D00B9D9"/>
    <w:multiLevelType w:val="hybridMultilevel"/>
    <w:lvl w:ilvl="0">
      <w:lvlJc w:val="left"/>
      <w:lvlText w:val="(%1)"/>
      <w:numFmt w:val="lowerLetter"/>
      <w:start w:val="1"/>
    </w:lvl>
  </w:abstractNum>
  <w:abstractNum w:abstractNumId="196">
    <w:nsid w:val="15BCABA8"/>
    <w:multiLevelType w:val="hybridMultilevel"/>
    <w:lvl w:ilvl="0">
      <w:lvlJc w:val="left"/>
      <w:lvlText w:val="(%1)"/>
      <w:numFmt w:val="lowerLetter"/>
      <w:start w:val="2"/>
    </w:lvl>
  </w:abstractNum>
  <w:abstractNum w:abstractNumId="197">
    <w:nsid w:val="4E0B9A87"/>
    <w:multiLevelType w:val="hybridMultilevel"/>
    <w:lvl w:ilvl="0">
      <w:lvlJc w:val="left"/>
      <w:lvlText w:val="(%1)"/>
      <w:numFmt w:val="lowerLetter"/>
      <w:start w:val="24"/>
    </w:lvl>
    <w:lvl w:ilvl="1">
      <w:lvlJc w:val="left"/>
      <w:lvlText w:val="(%2)"/>
      <w:numFmt w:val="lowerLetter"/>
      <w:start w:val="3"/>
    </w:lvl>
  </w:abstractNum>
  <w:abstractNum w:abstractNumId="198">
    <w:nsid w:val="434BAE75"/>
    <w:multiLevelType w:val="hybridMultilevel"/>
    <w:lvl w:ilvl="0">
      <w:lvlJc w:val="left"/>
      <w:lvlText w:val="(%1)"/>
      <w:numFmt w:val="lowerLetter"/>
      <w:start w:val="1"/>
    </w:lvl>
  </w:abstractNum>
  <w:abstractNum w:abstractNumId="199">
    <w:nsid w:val="4F38F265"/>
    <w:multiLevelType w:val="hybridMultilevel"/>
    <w:lvl w:ilvl="0">
      <w:lvlJc w:val="left"/>
      <w:lvlText w:val="%1"/>
      <w:numFmt w:val="upperLetter"/>
      <w:start w:val="1"/>
    </w:lvl>
    <w:lvl w:ilvl="1">
      <w:lvlJc w:val="left"/>
      <w:lvlText w:val="(%2)"/>
      <w:numFmt w:val="lowerRoman"/>
      <w:start w:val="1"/>
    </w:lvl>
  </w:abstractNum>
  <w:abstractNum w:abstractNumId="200">
    <w:nsid w:val="4C502870"/>
    <w:multiLevelType w:val="hybridMultilevel"/>
    <w:lvl w:ilvl="0">
      <w:lvlJc w:val="left"/>
      <w:lvlText w:val="(%1)"/>
      <w:numFmt w:val="upperLetter"/>
      <w:start w:val="2"/>
    </w:lvl>
    <w:lvl w:ilvl="1">
      <w:lvlJc w:val="left"/>
      <w:lvlText w:val="(%2)"/>
      <w:numFmt w:val="lowerRoman"/>
      <w:start w:val="4"/>
    </w:lvl>
  </w:abstractNum>
  <w:abstractNum w:abstractNumId="201">
    <w:nsid w:val="1DE8725A"/>
    <w:multiLevelType w:val="hybridMultilevel"/>
    <w:lvl w:ilvl="0">
      <w:lvlJc w:val="left"/>
      <w:lvlText w:val="%1"/>
      <w:numFmt w:val="lowerRoman"/>
      <w:start w:val="1"/>
    </w:lvl>
    <w:lvl w:ilvl="1">
      <w:lvlJc w:val="left"/>
      <w:lvlText w:val="(%2)"/>
      <w:numFmt w:val="lowerRoman"/>
      <w:start w:val="6"/>
    </w:lvl>
  </w:abstractNum>
  <w:abstractNum w:abstractNumId="202">
    <w:nsid w:val="6A37288A"/>
    <w:multiLevelType w:val="hybridMultilevel"/>
    <w:lvl w:ilvl="0">
      <w:lvlJc w:val="left"/>
      <w:lvlText w:val="(%1)"/>
      <w:numFmt w:val="lowerRoman"/>
      <w:start w:val="10"/>
    </w:lvl>
    <w:lvl w:ilvl="1">
      <w:lvlJc w:val="left"/>
      <w:lvlText w:val="(%2)"/>
      <w:numFmt w:val="lowerRoman"/>
      <w:start w:val="12"/>
    </w:lvl>
  </w:abstractNum>
  <w:abstractNum w:abstractNumId="203">
    <w:nsid w:val="8F8B73F"/>
    <w:multiLevelType w:val="hybridMultilevel"/>
    <w:lvl w:ilvl="0">
      <w:lvlJc w:val="left"/>
      <w:lvlText w:val="(%1)"/>
      <w:numFmt w:val="lowerLetter"/>
      <w:start w:val="25"/>
    </w:lvl>
  </w:abstractNum>
  <w:abstractNum w:abstractNumId="204">
    <w:nsid w:val="CA6B462"/>
    <w:multiLevelType w:val="hybridMultilevel"/>
    <w:lvl w:ilvl="0">
      <w:lvlJc w:val="left"/>
      <w:lvlText w:val="(%1)"/>
      <w:numFmt w:val="lowerLetter"/>
      <w:start w:val="1"/>
    </w:lvl>
  </w:abstractNum>
  <w:abstractNum w:abstractNumId="205">
    <w:nsid w:val="763CB680"/>
    <w:multiLevelType w:val="hybridMultilevel"/>
    <w:lvl w:ilvl="0">
      <w:lvlJc w:val="left"/>
      <w:lvlText w:val="(%1)"/>
      <w:numFmt w:val="lowerLetter"/>
      <w:start w:val="35"/>
    </w:lvl>
    <w:lvl w:ilvl="1">
      <w:lvlJc w:val="left"/>
      <w:lvlText w:val="(%2)"/>
      <w:numFmt w:val="lowerLetter"/>
      <w:start w:val="1"/>
    </w:lvl>
  </w:abstractNum>
  <w:abstractNum w:abstractNumId="206">
    <w:nsid w:val="15B71329"/>
    <w:multiLevelType w:val="hybridMultilevel"/>
    <w:lvl w:ilvl="0">
      <w:lvlJc w:val="left"/>
      <w:lvlText w:val="(%1)"/>
      <w:numFmt w:val="lowerLetter"/>
      <w:start w:val="2"/>
    </w:lvl>
  </w:abstractNum>
  <w:abstractNum w:abstractNumId="207">
    <w:nsid w:val="3DA9704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8">
    <w:nsid w:val="1CDCE2D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09">
    <w:nsid w:val="69D3947C"/>
    <w:multiLevelType w:val="hybridMultilevel"/>
    <w:lvl w:ilvl="0">
      <w:lvlJc w:val="left"/>
      <w:lvlText w:val="(%1)"/>
      <w:numFmt w:val="lowerLetter"/>
      <w:start w:val="3"/>
    </w:lvl>
  </w:abstractNum>
  <w:abstractNum w:abstractNumId="210">
    <w:nsid w:val="2539DFA5"/>
    <w:multiLevelType w:val="hybridMultilevel"/>
    <w:lvl w:ilvl="0">
      <w:lvlJc w:val="left"/>
      <w:lvlText w:val="(%1)"/>
      <w:numFmt w:val="lowerLetter"/>
      <w:start w:val="1"/>
    </w:lvl>
  </w:abstractNum>
  <w:abstractNum w:abstractNumId="211">
    <w:nsid w:val="2DB88089"/>
    <w:multiLevelType w:val="hybridMultilevel"/>
    <w:lvl w:ilvl="0">
      <w:lvlJc w:val="left"/>
      <w:lvlText w:val="(%1)"/>
      <w:numFmt w:val="lowerLetter"/>
      <w:start w:val="2"/>
    </w:lvl>
    <w:lvl w:ilvl="1">
      <w:lvlJc w:val="left"/>
      <w:lvlText w:val="(%2)"/>
      <w:numFmt w:val="lowerRoman"/>
      <w:start w:val="1"/>
    </w:lvl>
  </w:abstractNum>
  <w:abstractNum w:abstractNumId="212">
    <w:nsid w:val="706B674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2026-04-28T17:02:06Z</dcterms:created>
  <dcterms:modified xsi:type="dcterms:W3CDTF">2026-04-28T17:02:06Z</dcterms:modified>
</cp:coreProperties>
</file>