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 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June 28, 2024</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____________________</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Civeo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tbl>
      <w:tblPr>
        <w:tblW w:w="6865" w:type="dxa"/>
        <w:jc w:val="left"/>
        <w:tblInd w:w="0" w:type="dxa"/>
        <w:tblLayout w:type="fixed"/>
        <w:tblCellMar>
          <w:top w:w="28" w:type="dxa"/>
          <w:left w:w="28" w:type="dxa"/>
          <w:bottom w:w="28" w:type="dxa"/>
          <w:right w:w="28" w:type="dxa"/>
        </w:tblCellMar>
      </w:tblPr>
      <w:tblGrid>
        <w:gridCol w:w="1017"/>
        <w:gridCol w:w="891"/>
        <w:gridCol w:w="896"/>
        <w:gridCol w:w="109"/>
        <w:gridCol w:w="109"/>
        <w:gridCol w:w="109"/>
        <w:gridCol w:w="693"/>
        <w:gridCol w:w="693"/>
        <w:gridCol w:w="699"/>
        <w:gridCol w:w="110"/>
        <w:gridCol w:w="110"/>
        <w:gridCol w:w="110"/>
        <w:gridCol w:w="386"/>
        <w:gridCol w:w="386"/>
        <w:gridCol w:w="547"/>
      </w:tblGrid>
      <w:tr>
        <w:trPr/>
        <w:tc>
          <w:tcPr>
            <w:tcW w:w="10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1-36246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98-1253716</w:t>
            </w:r>
          </w:p>
        </w:tc>
      </w:tr>
      <w:tr>
        <w:trPr/>
        <w:tc>
          <w:tcPr>
            <w:tcW w:w="31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164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1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Three Allen Center</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38" w:type="dxa"/>
        <w:jc w:val="center"/>
        <w:tblInd w:w="0" w:type="dxa"/>
        <w:tblLayout w:type="fixed"/>
        <w:tblCellMar>
          <w:top w:w="28" w:type="dxa"/>
          <w:left w:w="28" w:type="dxa"/>
          <w:bottom w:w="28" w:type="dxa"/>
          <w:right w:w="28" w:type="dxa"/>
        </w:tblCellMar>
      </w:tblPr>
      <w:tblGrid>
        <w:gridCol w:w="630"/>
        <w:gridCol w:w="552"/>
        <w:gridCol w:w="557"/>
        <w:gridCol w:w="350"/>
        <w:gridCol w:w="350"/>
        <w:gridCol w:w="49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333 Clay Street,</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Suite 4980</w:t>
            </w:r>
          </w:p>
        </w:tc>
      </w:tr>
    </w:tbl>
    <w:tbl>
      <w:tblPr>
        <w:tblW w:w="5076" w:type="dxa"/>
        <w:jc w:val="center"/>
        <w:tblInd w:w="0" w:type="dxa"/>
        <w:tblLayout w:type="fixed"/>
        <w:tblCellMar>
          <w:top w:w="28" w:type="dxa"/>
          <w:left w:w="28" w:type="dxa"/>
          <w:bottom w:w="28" w:type="dxa"/>
          <w:right w:w="28" w:type="dxa"/>
        </w:tblCellMar>
      </w:tblPr>
      <w:tblGrid>
        <w:gridCol w:w="124"/>
        <w:gridCol w:w="109"/>
        <w:gridCol w:w="109"/>
        <w:gridCol w:w="594"/>
        <w:gridCol w:w="594"/>
        <w:gridCol w:w="598"/>
        <w:gridCol w:w="445"/>
        <w:gridCol w:w="445"/>
        <w:gridCol w:w="449"/>
        <w:gridCol w:w="412"/>
        <w:gridCol w:w="412"/>
        <w:gridCol w:w="41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Houston,</w:t>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Texas </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77002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and zip code of principal executive offices)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0"/>
        </w:rPr>
        <w:t xml:space="preserve">Registrant’s telephone number, including area code: </w:t>
      </w:r>
      <w:r>
        <w:rPr>
          <w:rFonts w:ascii="Times New Roman;sans-serif" w:hAnsi="Times New Roman;sans-serif"/>
          <w:b w:val="false"/>
          <w:color w:val="000000"/>
          <w:sz w:val="20"/>
        </w:rPr>
        <w:t>(713) 510-2400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39" w:type="dxa"/>
        <w:jc w:val="left"/>
        <w:tblInd w:w="0" w:type="dxa"/>
        <w:tblLayout w:type="fixed"/>
        <w:tblCellMar>
          <w:top w:w="28" w:type="dxa"/>
          <w:left w:w="28" w:type="dxa"/>
          <w:bottom w:w="28" w:type="dxa"/>
          <w:right w:w="28" w:type="dxa"/>
        </w:tblCellMar>
      </w:tblPr>
      <w:tblGrid>
        <w:gridCol w:w="916"/>
        <w:gridCol w:w="807"/>
        <w:gridCol w:w="812"/>
        <w:gridCol w:w="539"/>
        <w:gridCol w:w="539"/>
        <w:gridCol w:w="541"/>
        <w:gridCol w:w="1138"/>
        <w:gridCol w:w="1138"/>
        <w:gridCol w:w="1609"/>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88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535"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no par value</w:t>
            </w:r>
          </w:p>
        </w:tc>
        <w:tc>
          <w:tcPr>
            <w:tcW w:w="1619"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CVEO</w:t>
            </w:r>
          </w:p>
        </w:tc>
        <w:tc>
          <w:tcPr>
            <w:tcW w:w="388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Emerging growth company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Item 5.02</w:t>
      </w:r>
      <w:r>
        <w:rPr>
          <w:color w:val="000000"/>
        </w:rPr>
        <w:t xml:space="preserve"> </w:t>
      </w:r>
      <w:r>
        <w:rPr>
          <w:rFonts w:ascii="Times New Roman;sans-serif" w:hAnsi="Times New Roman;sans-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On July 2, 2024, Civeo Corporation (the “Company” or “Civeo”) appointed Andrew “Andy” S. Fraser as the Company’s Senior Vice President, Canada, effective as of August 19, 2024. Mr. Fraser will replace Allan Schoening, who has been serving as Senior Vice President, Canada since November 2018.</w:t>
      </w:r>
      <w:r>
        <w:rPr>
          <w:color w:val="000000"/>
        </w:rPr>
        <w:t xml:space="preserve"> </w:t>
      </w:r>
      <w:r>
        <w:rPr>
          <w:rFonts w:ascii="Times New Roman;sans-serif" w:hAnsi="Times New Roman;sans-serif"/>
          <w:b w:val="false"/>
          <w:color w:val="000000"/>
          <w:sz w:val="20"/>
        </w:rPr>
        <w:t>Mr. Schoening will retire upon Mr. Fraser’s joining the Company, but is expected to remain a consultant for the Company for a period after his retirement.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Mr. Fraser is the former CEO and Executive Chair of NCSG Crane &amp; Heavy Haul and the previous CEO of Camex Equipment Sales and Rentals. During his 30 years of experience with Finning International, he held a variety of executive roles across the company’s Canadian and international operations. Andy brings a wealth of executive management experience in sales, marketing, operations and customer relations. Over the past 15 years, Andy has also served as a director on various boards, both locally and internationally, in energy, manufacturing and distribution. He also completed the Directors Education Program at the Institute of Corporate Directors, University of Alberta/Rotman, where he received his ICD.D designation.</w:t>
      </w:r>
      <w:r>
        <w:rPr>
          <w:color w:val="000000"/>
        </w:rPr>
        <w:t xml:space="preserve"> </w:t>
      </w:r>
      <w:r>
        <w:rPr>
          <w:rFonts w:ascii="Times New Roman;sans-serif" w:hAnsi="Times New Roman;sans-serif"/>
          <w:b w:val="false"/>
          <w:color w:val="000000"/>
          <w:sz w:val="20"/>
        </w:rPr>
        <w:t>Andy completed his GCB.D designation in ESG governance from Global Competent Boards in 2024 and completed the Stanford Directors’ College Program in 2021.</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arrangement or understanding between Mr. Fraser and any other person pursuant to which he was appointed as an officer or director of the Company; there is no family relationship between Mr. Fraser and any of the Company’s directors or other executive officers; and Mr. Fraser is not a party to any transactions of the type that would require disclosure under Item 404(a)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July 2,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color w:val="000000"/>
        </w:rPr>
        <w:t>            </w:t>
      </w:r>
      <w:r>
        <w:rPr>
          <w:rFonts w:ascii="Times New Roman;sans-serif" w:hAnsi="Times New Roman;sans-serif"/>
          <w:b/>
          <w:color w:val="000000"/>
          <w:sz w:val="20"/>
        </w:rPr>
        <w:t>CIVEO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                    </w:t>
      </w: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 xml:space="preserve">/s/ Bradley Dodson </w:t>
      </w:r>
      <w:r>
        <w:rPr>
          <w:rFonts w:ascii="Times New Roman;sans-serif" w:hAnsi="Times New Roman;sans-serif"/>
          <w:b w:val="false"/>
          <w:color w:val="FFFFFF"/>
          <w:sz w:val="20"/>
          <w:u w:val="single"/>
        </w:rPr>
        <w:t>,</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Name:    Bradley Dodson</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3560</Characters>
  <CharactersWithSpaces>4218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