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80"/>
        <w:spacing w:after="0"/>
        <w:rPr>
          <w:sz w:val="20"/>
          <w:szCs w:val="20"/>
          <w:color w:val="auto"/>
        </w:rPr>
      </w:pPr>
      <w:r>
        <w:rPr>
          <w:rFonts w:ascii="Arial" w:cs="Arial" w:eastAsia="Arial" w:hAnsi="Arial"/>
          <w:sz w:val="18"/>
          <w:szCs w:val="18"/>
          <w:color w:val="auto"/>
        </w:rPr>
        <w:t>As filed with the Securities and Exchange Commission on March 18, 2014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001-36246</w:t>
      </w:r>
    </w:p>
    <w:p>
      <w:pPr>
        <w:spacing w:after="0" w:line="232" w:lineRule="exact"/>
        <w:rPr>
          <w:sz w:val="24"/>
          <w:szCs w:val="24"/>
          <w:color w:val="auto"/>
        </w:rPr>
      </w:pPr>
    </w:p>
    <w:p>
      <w:pPr>
        <w:jc w:val="center"/>
        <w:ind w:left="340"/>
        <w:spacing w:after="0"/>
        <w:rPr>
          <w:sz w:val="20"/>
          <w:szCs w:val="20"/>
          <w:color w:val="auto"/>
        </w:rPr>
      </w:pPr>
      <w:r>
        <w:rPr>
          <w:rFonts w:ascii="Arial" w:cs="Arial" w:eastAsia="Arial" w:hAnsi="Arial"/>
          <w:sz w:val="22"/>
          <w:szCs w:val="22"/>
          <w:color w:val="auto"/>
        </w:rPr>
        <w:t>UNITED STATES SECURITIES AND EXCHANGE COMMISSION</w:t>
      </w:r>
    </w:p>
    <w:p>
      <w:pPr>
        <w:spacing w:after="0" w:line="227"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6"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Amendment No. 2</w:t>
      </w:r>
    </w:p>
    <w:p>
      <w:pPr>
        <w:spacing w:after="0" w:line="233"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to</w:t>
      </w:r>
    </w:p>
    <w:p>
      <w:pPr>
        <w:spacing w:after="0" w:line="233"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Form 10</w:t>
      </w:r>
    </w:p>
    <w:p>
      <w:pPr>
        <w:spacing w:after="0" w:line="200" w:lineRule="exact"/>
        <w:rPr>
          <w:sz w:val="24"/>
          <w:szCs w:val="24"/>
          <w:color w:val="auto"/>
        </w:rPr>
      </w:pPr>
    </w:p>
    <w:p>
      <w:pPr>
        <w:spacing w:after="0" w:line="24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GENERAL FORM FOR REGISTRATION OF SECURITIES</w:t>
      </w:r>
    </w:p>
    <w:p>
      <w:pPr>
        <w:spacing w:after="0" w:line="23"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PURSUANT TO SECTION 12(b) OR 12(g) OF</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tbl>
      <w:tblPr>
        <w:tblLayout w:type="fixed"/>
        <w:tblInd w:w="420" w:type="dxa"/>
        <w:tblCellMar>
          <w:top w:w="0" w:type="dxa"/>
          <w:left w:w="0" w:type="dxa"/>
          <w:bottom w:w="0" w:type="dxa"/>
          <w:right w:w="0" w:type="dxa"/>
        </w:tblCellMar>
      </w:tblPr>
      <w:tr>
        <w:trPr>
          <w:trHeight w:val="281"/>
        </w:trPr>
        <w:tc>
          <w:tcPr>
            <w:tcW w:w="7400" w:type="dxa"/>
            <w:vAlign w:val="bottom"/>
          </w:tcPr>
          <w:p>
            <w:pPr>
              <w:jc w:val="center"/>
              <w:ind w:left="3428"/>
              <w:spacing w:after="0"/>
              <w:rPr>
                <w:sz w:val="20"/>
                <w:szCs w:val="20"/>
                <w:color w:val="auto"/>
              </w:rPr>
            </w:pPr>
            <w:r>
              <w:rPr>
                <w:rFonts w:ascii="Arial" w:cs="Arial" w:eastAsia="Arial" w:hAnsi="Arial"/>
                <w:sz w:val="22"/>
                <w:szCs w:val="22"/>
                <w:b w:val="1"/>
                <w:bCs w:val="1"/>
                <w:color w:val="auto"/>
                <w:w w:val="88"/>
              </w:rPr>
              <w:t>OIS Accommodations SpinCo Inc.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400" w:type="dxa"/>
            <w:vAlign w:val="bottom"/>
          </w:tcPr>
          <w:p>
            <w:pPr>
              <w:jc w:val="center"/>
              <w:ind w:left="3428"/>
              <w:spacing w:after="0"/>
              <w:rPr>
                <w:sz w:val="20"/>
                <w:szCs w:val="20"/>
                <w:color w:val="auto"/>
              </w:rPr>
            </w:pPr>
            <w:r>
              <w:rPr>
                <w:rFonts w:ascii="Arial" w:cs="Arial" w:eastAsia="Arial" w:hAnsi="Arial"/>
                <w:sz w:val="18"/>
                <w:szCs w:val="18"/>
                <w:color w:val="auto"/>
                <w:w w:val="90"/>
              </w:rPr>
              <w:t>(Exact name of registrant as specified in its charter)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tcPr>
          <w:p>
            <w:pPr>
              <w:jc w:val="center"/>
              <w:ind w:right="2428"/>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46-3831207</w:t>
            </w:r>
          </w:p>
        </w:tc>
        <w:tc>
          <w:tcPr>
            <w:tcW w:w="0" w:type="dxa"/>
            <w:vAlign w:val="bottom"/>
          </w:tcPr>
          <w:p>
            <w:pPr>
              <w:spacing w:after="0"/>
              <w:rPr>
                <w:sz w:val="1"/>
                <w:szCs w:val="1"/>
                <w:color w:val="auto"/>
              </w:rPr>
            </w:pPr>
          </w:p>
        </w:tc>
      </w:tr>
      <w:tr>
        <w:trPr>
          <w:trHeight w:val="418"/>
        </w:trPr>
        <w:tc>
          <w:tcPr>
            <w:tcW w:w="7400" w:type="dxa"/>
            <w:vAlign w:val="bottom"/>
          </w:tcPr>
          <w:p>
            <w:pPr>
              <w:jc w:val="center"/>
              <w:ind w:right="2428"/>
              <w:spacing w:after="0"/>
              <w:rPr>
                <w:sz w:val="20"/>
                <w:szCs w:val="20"/>
                <w:color w:val="auto"/>
              </w:rPr>
            </w:pPr>
            <w:r>
              <w:rPr>
                <w:rFonts w:ascii="Arial" w:cs="Arial" w:eastAsia="Arial" w:hAnsi="Arial"/>
                <w:sz w:val="18"/>
                <w:szCs w:val="18"/>
                <w:i w:val="1"/>
                <w:iCs w:val="1"/>
                <w:color w:val="auto"/>
                <w:w w:val="94"/>
              </w:rPr>
              <w:t>(State or other jurisdiction of</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0" w:type="dxa"/>
            <w:vAlign w:val="bottom"/>
          </w:tcPr>
          <w:p>
            <w:pPr>
              <w:jc w:val="center"/>
              <w:ind w:right="2408"/>
              <w:spacing w:after="0"/>
              <w:rPr>
                <w:sz w:val="20"/>
                <w:szCs w:val="20"/>
                <w:color w:val="auto"/>
              </w:rPr>
            </w:pPr>
            <w:r>
              <w:rPr>
                <w:rFonts w:ascii="Arial" w:cs="Arial" w:eastAsia="Arial" w:hAnsi="Arial"/>
                <w:sz w:val="18"/>
                <w:szCs w:val="18"/>
                <w:i w:val="1"/>
                <w:iCs w:val="1"/>
                <w:color w:val="auto"/>
                <w:w w:val="94"/>
              </w:rPr>
              <w:t>incorporation or organization)</w:t>
            </w:r>
          </w:p>
        </w:tc>
        <w:tc>
          <w:tcPr>
            <w:tcW w:w="1420" w:type="dxa"/>
            <w:vAlign w:val="bottom"/>
          </w:tcPr>
          <w:p>
            <w:pPr>
              <w:jc w:val="center"/>
              <w:ind w:left="10"/>
              <w:spacing w:after="0"/>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i w:val="1"/>
                <w:iCs w:val="1"/>
                <w:color w:val="auto"/>
                <w:w w:val="95"/>
              </w:rPr>
              <w:t>Identification No.)</w:t>
            </w:r>
          </w:p>
        </w:tc>
        <w:tc>
          <w:tcPr>
            <w:tcW w:w="0" w:type="dxa"/>
            <w:vAlign w:val="bottom"/>
          </w:tcPr>
          <w:p>
            <w:pPr>
              <w:spacing w:after="0"/>
              <w:rPr>
                <w:sz w:val="1"/>
                <w:szCs w:val="1"/>
                <w:color w:val="auto"/>
              </w:rPr>
            </w:pPr>
          </w:p>
        </w:tc>
      </w:tr>
      <w:tr>
        <w:trPr>
          <w:trHeight w:val="418"/>
        </w:trPr>
        <w:tc>
          <w:tcPr>
            <w:tcW w:w="7400" w:type="dxa"/>
            <w:vAlign w:val="bottom"/>
          </w:tcPr>
          <w:p>
            <w:pPr>
              <w:jc w:val="center"/>
              <w:ind w:right="2428"/>
              <w:spacing w:after="0"/>
              <w:rPr>
                <w:sz w:val="20"/>
                <w:szCs w:val="20"/>
                <w:color w:val="auto"/>
              </w:rPr>
            </w:pPr>
            <w:r>
              <w:rPr>
                <w:rFonts w:ascii="Arial" w:cs="Arial" w:eastAsia="Arial" w:hAnsi="Arial"/>
                <w:sz w:val="18"/>
                <w:szCs w:val="18"/>
                <w:b w:val="1"/>
                <w:bCs w:val="1"/>
                <w:color w:val="auto"/>
                <w:w w:val="89"/>
              </w:rPr>
              <w:t>Three Allen Center, 333 Clay Street, Suite 4980, Houston, Texas</w:t>
            </w: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77002</w:t>
            </w:r>
          </w:p>
        </w:tc>
        <w:tc>
          <w:tcPr>
            <w:tcW w:w="0" w:type="dxa"/>
            <w:vAlign w:val="bottom"/>
          </w:tcPr>
          <w:p>
            <w:pPr>
              <w:spacing w:after="0"/>
              <w:rPr>
                <w:sz w:val="1"/>
                <w:szCs w:val="1"/>
                <w:color w:val="auto"/>
              </w:rPr>
            </w:pPr>
          </w:p>
        </w:tc>
      </w:tr>
      <w:tr>
        <w:trPr>
          <w:trHeight w:val="230"/>
        </w:trPr>
        <w:tc>
          <w:tcPr>
            <w:tcW w:w="7400" w:type="dxa"/>
            <w:vAlign w:val="bottom"/>
            <w:vMerge w:val="restart"/>
          </w:tcPr>
          <w:p>
            <w:pPr>
              <w:jc w:val="center"/>
              <w:ind w:right="2408"/>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i w:val="1"/>
                <w:iCs w:val="1"/>
                <w:color w:val="auto"/>
                <w:w w:val="91"/>
              </w:rPr>
              <w:t>(Zip Code)</w:t>
            </w:r>
          </w:p>
        </w:tc>
        <w:tc>
          <w:tcPr>
            <w:tcW w:w="0" w:type="dxa"/>
            <w:vAlign w:val="bottom"/>
          </w:tcPr>
          <w:p>
            <w:pPr>
              <w:spacing w:after="0"/>
              <w:rPr>
                <w:sz w:val="1"/>
                <w:szCs w:val="1"/>
                <w:color w:val="auto"/>
              </w:rPr>
            </w:pPr>
          </w:p>
        </w:tc>
      </w:tr>
      <w:tr>
        <w:trPr>
          <w:trHeight w:val="216"/>
        </w:trPr>
        <w:tc>
          <w:tcPr>
            <w:tcW w:w="74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7400" w:type="dxa"/>
            <w:vAlign w:val="bottom"/>
          </w:tcPr>
          <w:p>
            <w:pPr>
              <w:jc w:val="center"/>
              <w:ind w:left="3408"/>
              <w:spacing w:after="0"/>
              <w:rPr>
                <w:sz w:val="20"/>
                <w:szCs w:val="20"/>
                <w:color w:val="auto"/>
              </w:rPr>
            </w:pPr>
            <w:r>
              <w:rPr>
                <w:rFonts w:ascii="Arial" w:cs="Arial" w:eastAsia="Arial" w:hAnsi="Arial"/>
                <w:sz w:val="18"/>
                <w:szCs w:val="18"/>
                <w:color w:val="auto"/>
                <w:w w:val="89"/>
              </w:rPr>
              <w:t>Registrant’s telephone number, including area code: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(713) 652-0582</w:t>
      </w:r>
    </w:p>
    <w:p>
      <w:pPr>
        <w:spacing w:after="0" w:line="229"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 to be so Registered</w:t>
            </w: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Each Class is to be Registered</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The New York Stock Exchange, Inc.</w:t>
            </w:r>
          </w:p>
        </w:tc>
      </w:tr>
    </w:tbl>
    <w:p>
      <w:pPr>
        <w:spacing w:after="0" w:line="400"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9"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None</w:t>
      </w:r>
    </w:p>
    <w:p>
      <w:pPr>
        <w:spacing w:after="0" w:line="225"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(Check one):</w:t>
      </w:r>
    </w:p>
    <w:p>
      <w:pPr>
        <w:spacing w:after="0" w:line="203" w:lineRule="exact"/>
        <w:rPr>
          <w:sz w:val="24"/>
          <w:szCs w:val="24"/>
          <w:color w:val="auto"/>
        </w:rPr>
      </w:pPr>
    </w:p>
    <w:p>
      <w:pPr>
        <w:ind w:left="340"/>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8"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the following Form 10 Registration Statement items is contained in the Information Statement sections that we identify below, each of which we incorporate in this report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information required by this item is contained under the sections “Summary,” “Risk Factors,” “Management’s Discussion and Analysis of Financial Condition and Results of Operations,” “Business,” “Arrangements Between Oil States and Our Company” and “Other Related Party Transactions” of the Information Statement. Those sections are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“Risk Factors”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“Summary,”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“Security Ownership of Certain Beneficial Owners and Management”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“Management”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“Executive Compensation”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“Management,” “Executive Compensation,” “Arrangements Between Oil States and Our Company” and “Other Related Party Transactions” of the Information Statement. Those sections are incorporated herein by reference.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“Business—Legal Proceedings” of the Information Statement. That section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“Risk Factors,” “The Spin-Off,” “Dividend Policy,” “Executive Compensation” and “Description of Capital Stock” of the Information Statement. Those sections are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contained under the sections “Description of Capital Stock.” That section is incorporated herein by reference.</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Stock—Limitation of Liability and Indemnification Matters”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The information required by this item is contained under the sections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“Index to Financial Statements, Supplementary Data and Schedules” beginning on page F-1 of the Information Statement. That section is incorporated herein by reference.</w:t>
      </w:r>
    </w:p>
    <w:p>
      <w:pPr>
        <w:spacing w:after="0" w:line="170"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hereto: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5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0"/>
                <w:szCs w:val="20"/>
                <w:color w:val="auto"/>
              </w:rPr>
            </w:pPr>
          </w:p>
        </w:tc>
        <w:tc>
          <w:tcPr>
            <w:tcW w:w="9200" w:type="dxa"/>
            <w:vAlign w:val="bottom"/>
            <w:tcBorders>
              <w:bottom w:val="single" w:sz="8" w:color="auto"/>
            </w:tcBorders>
          </w:tcPr>
          <w:p>
            <w:pPr>
              <w:ind w:left="416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w w:val="92"/>
              </w:rPr>
              <w:t>Form of Separation and Distribution Agreement between Oil States International, Inc. and OIS Accommodations SpinCo Inc.</w:t>
            </w:r>
          </w:p>
        </w:tc>
        <w:tc>
          <w:tcPr>
            <w:tcW w:w="1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3.1 **</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Form of OIS Accommodations SpinCo Inc. Amended and Restated Certificate of Incorporation</w:t>
            </w:r>
          </w:p>
        </w:tc>
        <w:tc>
          <w:tcPr>
            <w:tcW w:w="1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3.2 **</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Form of OIS Accommodations SpinCo Inc. Amended and Restated By-laws</w:t>
            </w:r>
          </w:p>
        </w:tc>
        <w:tc>
          <w:tcPr>
            <w:tcW w:w="180" w:type="dxa"/>
            <w:vAlign w:val="bottom"/>
          </w:tcPr>
          <w:p>
            <w:pPr>
              <w:spacing w:after="0"/>
              <w:rPr>
                <w:sz w:val="24"/>
                <w:szCs w:val="24"/>
                <w:color w:val="auto"/>
              </w:rPr>
            </w:pPr>
          </w:p>
        </w:tc>
      </w:tr>
      <w:tr>
        <w:trPr>
          <w:trHeight w:val="834"/>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1"/>
        </w:trPr>
        <w:tc>
          <w:tcPr>
            <w:tcW w:w="3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15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0"/>
                <w:szCs w:val="20"/>
                <w:color w:val="auto"/>
              </w:rPr>
            </w:pPr>
          </w:p>
        </w:tc>
        <w:tc>
          <w:tcPr>
            <w:tcW w:w="9200" w:type="dxa"/>
            <w:vAlign w:val="bottom"/>
            <w:tcBorders>
              <w:bottom w:val="single" w:sz="8" w:color="auto"/>
            </w:tcBorders>
          </w:tcPr>
          <w:p>
            <w:pPr>
              <w:ind w:left="416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54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w w:val="99"/>
              </w:rPr>
              <w:t>Form of Transition Services Agreement between Oil States International, Inc. and OIS Accommodations SpinCo Inc.</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Form of Tax Sharing Agreement between Oil States International, Inc. and OIS Accommodations SpinCo Inc.</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Form of Employee Matters Agreement between Oil States International, Inc. and OIS Accommodations SpinCo Inc.</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w w:val="91"/>
              </w:rPr>
              <w:t>Form of Indemnification and Release Agreement between Oil States International, Inc. and OIS Accommodations SpinCo Inc.</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Credit Agreement of OIS Accommodations SpinCo Inc.</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Form of OIS Accommodations SpinCo Inc. 2013 Incentive Plan</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Form of Grant Agreements</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Form of Employment Agreements</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Form of Indemnification Agreements</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5"/>
              </w:rPr>
              <w:t>21.1*</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List of Subsidiaries of OIS Accommodations SpinCo Inc.</w:t>
            </w:r>
          </w:p>
        </w:tc>
      </w:tr>
      <w:tr>
        <w:trPr>
          <w:trHeight w:val="432"/>
        </w:trPr>
        <w:tc>
          <w:tcPr>
            <w:tcW w:w="15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Information Statement, preliminary and subject to completion, dated March 18,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right="9020" w:firstLine="8"/>
        <w:spacing w:after="0" w:line="624" w:lineRule="auto"/>
        <w:tabs>
          <w:tab w:leader="none" w:pos="316"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308610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72"/>
          </w:cols>
          <w:pgMar w:left="248" w:top="580" w:right="37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OIS Accommodations SpinCo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Bradley J. Dodson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March 18, 2014</w:t>
      </w:r>
    </w:p>
    <w:p>
      <w:pPr>
        <w:sectPr>
          <w:pgSz w:w="11900" w:h="16838" w:orient="portrait"/>
          <w:cols w:equalWidth="0" w:num="1">
            <w:col w:w="11320"/>
          </w:cols>
          <w:pgMar w:left="240" w:top="58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Oil States Stockholder:</w:t>
      </w:r>
    </w:p>
    <w:p>
      <w:pPr>
        <w:spacing w:after="0" w:line="225" w:lineRule="exact"/>
        <w:rPr>
          <w:sz w:val="20"/>
          <w:szCs w:val="20"/>
          <w:color w:val="auto"/>
        </w:rPr>
      </w:pPr>
    </w:p>
    <w:p>
      <w:pPr>
        <w:ind w:left="340"/>
        <w:spacing w:after="0"/>
        <w:tabs>
          <w:tab w:leader="none" w:pos="3600" w:val="left"/>
        </w:tabs>
        <w:rPr>
          <w:sz w:val="20"/>
          <w:szCs w:val="20"/>
          <w:color w:val="auto"/>
        </w:rPr>
      </w:pPr>
      <w:r>
        <w:rPr>
          <w:rFonts w:ascii="Arial" w:cs="Arial" w:eastAsia="Arial" w:hAnsi="Arial"/>
          <w:sz w:val="18"/>
          <w:szCs w:val="18"/>
          <w:color w:val="auto"/>
        </w:rPr>
        <w:t>I am pleased to inform you that on</w:t>
      </w:r>
      <w:r>
        <w:rPr>
          <w:sz w:val="20"/>
          <w:szCs w:val="20"/>
          <w:color w:val="auto"/>
        </w:rPr>
        <w:tab/>
      </w:r>
      <w:r>
        <w:rPr>
          <w:rFonts w:ascii="Arial" w:cs="Arial" w:eastAsia="Arial" w:hAnsi="Arial"/>
          <w:sz w:val="16"/>
          <w:szCs w:val="16"/>
          <w:color w:val="auto"/>
        </w:rPr>
        <w:t>, 2014, the board of directors of Oil States International, Inc. approved the spin-off of our Accommodations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business as a separate, publicly traded company, which we have named OIS Accommodations SpinCo Inc. (“SpinCo”). Upon completion of the spin-off, Oil States stockholders will own 100% of the outstanding shares of common stock of SpinCo. We believe that this separation of SpinCo to form a new, independent, publicly traded company is in the best interests of Oil States, its stockholders and SpinCo.</w:t>
      </w:r>
    </w:p>
    <w:p>
      <w:pPr>
        <w:spacing w:after="0" w:line="190"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color w:val="auto"/>
        </w:rPr>
        <w:t>The spin-off will be completed by way of a pro rata distribution on , 2014, of SpinCo common stock to our stockholders of record as of the close of business on , 2014, the spin-off record date. Each Oil States stockholder will receive shares of SpinCo common stock for each</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share of Oil States common stock held by such stockholder on the record date. The distribution of these shares will be made in book-entry form, which means that no physical share certificates will be issued. Following the spin-off, stockholders may request that their shares of SpinCo common stock be transferred to a brokerage or other account at any time. No fractional shares of SpinCo common stock will be issued. If you would otherwise have been entitled to a fractional common share in the distribution, you will receive the net cash proceeds of the sale of such fractional share instead.</w:t>
      </w:r>
    </w:p>
    <w:p>
      <w:pPr>
        <w:spacing w:after="0" w:line="17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spin-off is subject to certain customary conditions. Stockholder approval of the distribution is not required, nor are you required to take any action to receive your shares of SpinCo common stock.</w:t>
      </w:r>
    </w:p>
    <w:p>
      <w:pPr>
        <w:spacing w:after="0" w:line="170" w:lineRule="exact"/>
        <w:rPr>
          <w:sz w:val="20"/>
          <w:szCs w:val="20"/>
          <w:color w:val="auto"/>
        </w:rPr>
      </w:pPr>
    </w:p>
    <w:p>
      <w:pPr>
        <w:jc w:val="both"/>
        <w:ind w:right="180" w:firstLine="324"/>
        <w:spacing w:after="0" w:line="342" w:lineRule="auto"/>
        <w:rPr>
          <w:sz w:val="20"/>
          <w:szCs w:val="20"/>
          <w:color w:val="auto"/>
        </w:rPr>
      </w:pPr>
      <w:r>
        <w:rPr>
          <w:rFonts w:ascii="Arial" w:cs="Arial" w:eastAsia="Arial" w:hAnsi="Arial"/>
          <w:sz w:val="16"/>
          <w:szCs w:val="16"/>
          <w:color w:val="auto"/>
        </w:rPr>
        <w:t>Immediately following the spin-off, you will own common stock in Oil States and SpinCo. Oil States’ common stock will continue to trade on the New York Stock Exchange under the symbol “OIS.” SpinCo’s common stock is expected to be traded on the New York Stock Exchange under the symbol “[●].”</w:t>
      </w:r>
    </w:p>
    <w:p>
      <w:pPr>
        <w:spacing w:after="0" w:line="124" w:lineRule="exact"/>
        <w:rPr>
          <w:sz w:val="20"/>
          <w:szCs w:val="20"/>
          <w:color w:val="auto"/>
        </w:rPr>
      </w:pPr>
    </w:p>
    <w:p>
      <w:pPr>
        <w:ind w:right="340" w:firstLine="324"/>
        <w:spacing w:after="0" w:line="276" w:lineRule="auto"/>
        <w:rPr>
          <w:sz w:val="20"/>
          <w:szCs w:val="20"/>
          <w:color w:val="auto"/>
        </w:rPr>
      </w:pPr>
      <w:r>
        <w:rPr>
          <w:rFonts w:ascii="Arial" w:cs="Arial" w:eastAsia="Arial" w:hAnsi="Arial"/>
          <w:sz w:val="17"/>
          <w:szCs w:val="17"/>
          <w:color w:val="auto"/>
        </w:rPr>
        <w:t>Oil States has received a private letter ruling from the Internal Revenue Service to the effect that, among other things, the distribution of SpinCo’s common stock to Oil States stockholders, together with certain related transactions, will qualify as a transaction that is generally tax-free for U.S. federal income tax purposes. However, any cash that you receive in lieu of fractional shares generally will be taxable to you. You should consult your own tax advisor as to the particular tax consequences of the distribution to you, including potential tax consequences under state, local and non-U.S. tax laws. The separation is also subject to other conditions, including necessary regulatory approvals.</w:t>
      </w:r>
    </w:p>
    <w:p>
      <w:pPr>
        <w:spacing w:after="0" w:line="173" w:lineRule="exact"/>
        <w:rPr>
          <w:sz w:val="20"/>
          <w:szCs w:val="20"/>
          <w:color w:val="auto"/>
        </w:rPr>
      </w:pPr>
    </w:p>
    <w:p>
      <w:pPr>
        <w:ind w:right="760" w:firstLine="324"/>
        <w:spacing w:after="0" w:line="308" w:lineRule="auto"/>
        <w:rPr>
          <w:sz w:val="20"/>
          <w:szCs w:val="20"/>
          <w:color w:val="auto"/>
        </w:rPr>
      </w:pPr>
      <w:r>
        <w:rPr>
          <w:rFonts w:ascii="Arial" w:cs="Arial" w:eastAsia="Arial" w:hAnsi="Arial"/>
          <w:sz w:val="17"/>
          <w:szCs w:val="17"/>
          <w:color w:val="auto"/>
        </w:rPr>
        <w:t>The enclosed information statement, which is being mailed to all Oil States stockholders, describes the spin-off in detail and contains important information about SpinCo, including its consolidated financial statements. We urge you to read this information statement carefully.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want to thank you for your continued support of Oil States. We look forward to your support of SpinCo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Cindy B.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 States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540"/>
        <w:spacing w:after="0"/>
        <w:rPr>
          <w:sz w:val="20"/>
          <w:szCs w:val="20"/>
          <w:color w:val="auto"/>
        </w:rPr>
      </w:pP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OIS Accommodations SpinCo Inc. Stockholder:</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It is our pleasure to welcome you as a stockholder of our company, OIS Accommodations SpinCo Inc. We are engaged in the business of providing remote site accommodations, logistics and facility management services to the global natural resource industry, with operations primarily focused in Canada, Australia and the United States.</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SpinCo has a strong history of operational excellence spanning over twenty years in the Canadian oil sands region and over fifteen years in the Australian natural resources market. With our solid reputation for providing premium accommodations and services in our over 20,000 lodge and village rooms, we are well-positioned to continue to grow organically in our existing regions of operations as well as assess opportunities in additional locations and markets. As an independent, publicly traded company, we believe we can more effectively focus on and enhance our strategic growth plans and deliver long-term stockholder returns.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expect to list SpinCo common stock on the New York Stock Exchange under the symbol “[●]” in connection with the distribution of SpinCo common stock by Oil States.</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invite you to learn more about SpinCo and our subsidiaries by reviewing the enclosed information statement. We look forward to our future as an independent, public company and to your support as a holder of SpinCo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OIS Accommodations SpinCo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 w:name="page8"/>
    <w:bookmarkEnd w:id="7"/>
    <w:p>
      <w:pPr>
        <w:ind w:left="20" w:right="440"/>
        <w:spacing w:after="0" w:line="313" w:lineRule="auto"/>
        <w:rPr>
          <w:sz w:val="20"/>
          <w:szCs w:val="20"/>
          <w:color w:val="auto"/>
        </w:rPr>
      </w:pPr>
      <w:r>
        <w:rPr>
          <w:rFonts w:ascii="Arial" w:cs="Arial" w:eastAsia="Arial" w:hAnsi="Arial"/>
          <w:sz w:val="17"/>
          <w:szCs w:val="17"/>
          <w:b w:val="1"/>
          <w:bCs w:val="1"/>
          <w:color w:val="FF0000"/>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-321945</wp:posOffset>
            </wp:positionV>
            <wp:extent cx="7250430" cy="295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SUBJECT TO COMPLETION, DATED March 18,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STATEMENT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OIS Accommodations SpinCo Inc.</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Common Stock</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(par value $0.01 per share)</w:t>
      </w:r>
    </w:p>
    <w:p>
      <w:pPr>
        <w:spacing w:after="0" w:line="225"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This information statement is being sent to you in connection with the separation of OIS Accommodations SpinCo Inc. (“SpinCo”) from Oil States International, Inc. (“Oil States”), following which SpinCo will be an independent, publicly traded company. As part of the separation, Oil States will distribute all of the shares of SpinCo common stock on a pro rata basis to the holders of Oil States’ common stock. We refer to this pro rata distribution as the “distribution” and we refer to the separation, including the restructuring transactions (which will precede the separation) and the distribution, as the “spin-off.” We expect that the spin-off will be tax-free to Oil States stockholders for U.S. federal income tax purposes, except to the extent of cash received in lieu</w:t>
      </w:r>
    </w:p>
    <w:p>
      <w:pPr>
        <w:spacing w:after="0" w:line="2"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of fractional shares. Each Oil States stockholder will receive shares of SpinCo common stock for each share of Oil States common stock held by such stockholder as of the close of business on , 2014, the record date for the distribution. The distribution of shares will be made in book-entry</w:t>
      </w:r>
    </w:p>
    <w:p>
      <w:pPr>
        <w:ind w:right="180"/>
        <w:spacing w:after="0" w:line="252" w:lineRule="auto"/>
        <w:rPr>
          <w:sz w:val="20"/>
          <w:szCs w:val="20"/>
          <w:color w:val="auto"/>
        </w:rPr>
      </w:pPr>
      <w:r>
        <w:rPr>
          <w:rFonts w:ascii="Arial" w:cs="Arial" w:eastAsia="Arial" w:hAnsi="Arial"/>
          <w:sz w:val="18"/>
          <w:szCs w:val="18"/>
          <w:color w:val="auto"/>
        </w:rPr>
        <w:t>form. Oil States will not distribute any fractional shares of SpinCo common stock. Instead, the distribution agent will aggregate fractional shares into whole shares, sell the whole shares in the open market at prevailing market prices and distribute the aggregate net cash proceeds from the sales pro rata to each holder who would otherwise have been entitled to receive a fractional share in the spin-off. See “The Spin-Off—Treatment of Fractional Shares.” As discussed under “The Spin-Off—Trading Prior to the Distribution Date,” if you sell your common shares of Oil States in the “regular-way” market after the record date and before the distribution date, you also will be selling your right to receive shares of our common stock in connection with the separation. The distribution will be effective as of 11:59 p.m., Eastern Time, on , 2014. Immediately after the distribution becomes effective, SpinCo will be an independent, publicly traded company.</w:t>
      </w:r>
    </w:p>
    <w:p>
      <w:pPr>
        <w:spacing w:after="0" w:line="189" w:lineRule="exact"/>
        <w:rPr>
          <w:sz w:val="20"/>
          <w:szCs w:val="20"/>
          <w:color w:val="auto"/>
        </w:rPr>
      </w:pPr>
    </w:p>
    <w:p>
      <w:pPr>
        <w:ind w:right="40" w:firstLine="324"/>
        <w:spacing w:after="0" w:line="289" w:lineRule="auto"/>
        <w:rPr>
          <w:sz w:val="20"/>
          <w:szCs w:val="20"/>
          <w:color w:val="auto"/>
        </w:rPr>
      </w:pPr>
      <w:r>
        <w:rPr>
          <w:rFonts w:ascii="Arial" w:cs="Arial" w:eastAsia="Arial" w:hAnsi="Arial"/>
          <w:sz w:val="17"/>
          <w:szCs w:val="17"/>
          <w:b w:val="1"/>
          <w:bCs w:val="1"/>
          <w:color w:val="auto"/>
        </w:rPr>
        <w:t>No vote or further action of Oil States stockholders is required in connection with the spin-off. We are not asking you for a proxy</w:t>
      </w:r>
      <w:r>
        <w:rPr>
          <w:rFonts w:ascii="Arial" w:cs="Arial" w:eastAsia="Arial" w:hAnsi="Arial"/>
          <w:sz w:val="17"/>
          <w:szCs w:val="17"/>
          <w:color w:val="auto"/>
        </w:rPr>
        <w:t>. Oil States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will not be required to pay any consideration for the shares of SpinCo common stock they receive in the spin-off, and they will not be required to surrender or exchange shares of their Oil States common stock or take any other action in connection with the spin-off.</w:t>
      </w:r>
    </w:p>
    <w:p>
      <w:pPr>
        <w:spacing w:after="0" w:line="16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All of the outstanding shares of SpinCo common stock are currently owned by Oil States. Accordingly, there is no current trading market for SpinCo common stock. We expect, however, that a limited trading market for SpinCo common stock, commonly known as a “when-issued” trading market, will develop on or shortly before the record date for the distribution, and we expect “regular-way” trading of SpinCo common stock will begin the first trading day after the distribution date. We intend to list SpinCo common stock on the New York Stock Exchange under the ticker symbol “[●].”</w:t>
      </w:r>
    </w:p>
    <w:p>
      <w:pPr>
        <w:spacing w:after="0" w:line="167"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b w:val="1"/>
          <w:bCs w:val="1"/>
          <w:color w:val="auto"/>
        </w:rPr>
        <w:t>In reviewing this information statement, you should carefully consider the matters described in “Risk Factors” beginning on page 19 of this information statement.</w:t>
      </w:r>
    </w:p>
    <w:p>
      <w:pPr>
        <w:spacing w:after="0" w:line="162" w:lineRule="exact"/>
        <w:rPr>
          <w:sz w:val="20"/>
          <w:szCs w:val="20"/>
          <w:color w:val="auto"/>
        </w:rPr>
      </w:pPr>
    </w:p>
    <w:p>
      <w:pPr>
        <w:ind w:right="88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information statement is not an offer to sell, or a solicitation of an offer to buy, any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jc w:val="center"/>
              <w:ind w:left="3190"/>
              <w:spacing w:after="0"/>
              <w:rPr>
                <w:sz w:val="20"/>
                <w:szCs w:val="20"/>
                <w:color w:val="auto"/>
              </w:rPr>
            </w:pPr>
            <w:r>
              <w:rPr>
                <w:rFonts w:ascii="Arial" w:cs="Arial" w:eastAsia="Arial" w:hAnsi="Arial"/>
                <w:sz w:val="18"/>
                <w:szCs w:val="18"/>
                <w:color w:val="auto"/>
                <w:w w:val="91"/>
              </w:rPr>
              <w:t>The date of this information statement is</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 2014.</w:t>
            </w:r>
          </w:p>
        </w:tc>
        <w:tc>
          <w:tcPr>
            <w:tcW w:w="3040" w:type="dxa"/>
            <w:vAlign w:val="bottom"/>
          </w:tcPr>
          <w:p>
            <w:pPr>
              <w:spacing w:after="0"/>
              <w:rPr>
                <w:sz w:val="20"/>
                <w:szCs w:val="20"/>
                <w:color w:val="auto"/>
              </w:rPr>
            </w:pPr>
          </w:p>
        </w:tc>
      </w:tr>
      <w:tr>
        <w:trPr>
          <w:trHeight w:val="432"/>
        </w:trPr>
        <w:tc>
          <w:tcPr>
            <w:tcW w:w="8420" w:type="dxa"/>
            <w:vAlign w:val="bottom"/>
            <w:gridSpan w:val="2"/>
          </w:tcPr>
          <w:p>
            <w:pPr>
              <w:jc w:val="center"/>
              <w:ind w:left="1710"/>
              <w:spacing w:after="0"/>
              <w:rPr>
                <w:sz w:val="20"/>
                <w:szCs w:val="20"/>
                <w:color w:val="auto"/>
              </w:rPr>
            </w:pPr>
            <w:r>
              <w:rPr>
                <w:rFonts w:ascii="Arial" w:cs="Arial" w:eastAsia="Arial" w:hAnsi="Arial"/>
                <w:sz w:val="18"/>
                <w:szCs w:val="18"/>
                <w:color w:val="auto"/>
                <w:w w:val="91"/>
              </w:rPr>
              <w:t>This information statement was first mailed to Oil States stockholders on or about</w:t>
            </w:r>
          </w:p>
        </w:tc>
        <w:tc>
          <w:tcPr>
            <w:tcW w:w="3040" w:type="dxa"/>
            <w:vAlign w:val="bottom"/>
          </w:tcPr>
          <w:p>
            <w:pPr>
              <w:jc w:val="right"/>
              <w:ind w:right="2090"/>
              <w:spacing w:after="0"/>
              <w:rPr>
                <w:sz w:val="20"/>
                <w:szCs w:val="20"/>
                <w:color w:val="auto"/>
              </w:rPr>
            </w:pPr>
            <w:r>
              <w:rPr>
                <w:rFonts w:ascii="Arial" w:cs="Arial" w:eastAsia="Arial" w:hAnsi="Arial"/>
                <w:sz w:val="18"/>
                <w:szCs w:val="18"/>
                <w:color w:val="auto"/>
              </w:rPr>
              <w:t>, 2014.</w:t>
            </w:r>
          </w:p>
        </w:tc>
      </w:tr>
      <w:tr>
        <w:trPr>
          <w:trHeight w:val="780"/>
        </w:trPr>
        <w:tc>
          <w:tcPr>
            <w:tcW w:w="6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1"/>
        </w:trPr>
        <w:tc>
          <w:tcPr>
            <w:tcW w:w="69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4" w:right="1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40" w:type="dxa"/>
            <w:vAlign w:val="bottom"/>
          </w:tcPr>
          <w:p>
            <w:pPr>
              <w:ind w:left="4900"/>
              <w:spacing w:after="0"/>
              <w:rPr>
                <w:sz w:val="20"/>
                <w:szCs w:val="20"/>
                <w:color w:val="auto"/>
              </w:rPr>
            </w:pPr>
            <w:r>
              <w:rPr>
                <w:rFonts w:ascii="Arial" w:cs="Arial" w:eastAsia="Arial" w:hAnsi="Arial"/>
                <w:sz w:val="18"/>
                <w:szCs w:val="18"/>
                <w:b w:val="1"/>
                <w:bCs w:val="1"/>
                <w:color w:val="auto"/>
              </w:rPr>
              <w:t>TABLE OF CONTENTS</w:t>
            </w: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248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SUMMARY</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RISK FACTORS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THE SPIN-OFF</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TRADING MARKET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DIVIDEND POLICY</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UNAUDITED PRO FORMA COMBINED FINANCIAL STATEMENTS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SELECTED HISTORICAL COMBINED FINANCIAL DATA</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MANAGEMENT’S DISCUSSION AND ANALYSIS OF</w:t>
            </w: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FINANCIAL CONDITION AND RESULTS OF OPERATIONS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BUSINESS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EXECUTIVE COMPENSATION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ARRANGEMENTS BETWEEN OIL STATES AND OUR COMPANY</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PARTY TRANSACTIONS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DESCRIPTION OF MATERIAL INDEBTEDNESS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CAPITAL STOCK</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INDEX TO FINANCIAL STATEMENTS, SUPPLEMENTARY DATA AND SCHEDULES</w:t>
            </w: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This information statement is being furnished solely to provide information to Oil States stockholders who will receive shares of SpinCo common stock in connection with the spin-off. It is not provided as an inducement or encouragement to buy or sell any securities. 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contained in this information statement, unless we are required by applicable securities laws to do so.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ind w:left="320"/>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summary highlights information contained in this information statement and provides an overview of our company, our separation from Oil States and the distribution of SpinCo common stock by Oil States to its stockholders. You should read this entire information statement carefully, including the risks discussed under “Risk Factors,” our audited and unaudited historical combined financial statements and the notes thereto and our unaudited pro forma combined financial statements included elsewhere in this information statement. Some of the statements in this summary constitute forward-looking statements. See “Forward-Looking Statements.”</w:t>
      </w:r>
    </w:p>
    <w:p>
      <w:pPr>
        <w:spacing w:after="0" w:line="18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i w:val="1"/>
          <w:iCs w:val="1"/>
          <w:color w:val="auto"/>
        </w:rPr>
        <w:t>Except where the context otherwise requires or where otherwise indicated, (1) all references to “Oil States” refer to Oil States International, Inc., our parent company, and its subsidiaries, other than us, and (2) all references to “SpinCo,” the “Company,” “we,” “us” and “our” refer to OIS Accommodations SpinCo Inc. and its subsidiaries. Except as otherwise indicated or unless the context otherwise requires, the information included in this information statement assumes the completion of the restructuring transactions. Please see “The Spin-Off—Restructuring Transactions</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292" w:lineRule="auto"/>
        <w:rPr>
          <w:sz w:val="20"/>
          <w:szCs w:val="20"/>
          <w:color w:val="auto"/>
        </w:rPr>
      </w:pPr>
      <w:r>
        <w:rPr>
          <w:rFonts w:ascii="Arial" w:cs="Arial" w:eastAsia="Arial" w:hAnsi="Arial"/>
          <w:sz w:val="16"/>
          <w:szCs w:val="16"/>
          <w:color w:val="auto"/>
        </w:rPr>
        <w:t>We are currently a wholly owned subsidiary of Oil States. Following the spin-off, we will be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development and production businesses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434975</wp:posOffset>
            </wp:positionV>
            <wp:extent cx="3267075" cy="3061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67075"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10" w:name="page11"/>
    <w:bookmarkEnd w:id="10"/>
    <w:p>
      <w:pPr>
        <w:ind w:right="140"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sufficient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while maintaining employee welfare and satisfaction and focus their investment on their core resource development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For the year ended December 31, 2013, we generated $1.0 billion in revenue and $259.5 million in operating income.</w:t>
      </w:r>
    </w:p>
    <w:p>
      <w:pPr>
        <w:spacing w:after="0" w:line="17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Demand for our accommodations services generally originates from our customers’ projects which can be segmented into two phases, (1) the development or construction phase and (2) the operations and production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that we think will generate strong returns on our deployed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Own, Operate model with solutions that span the lifecycle of the customers’ projects</w:t>
      </w:r>
    </w:p>
    <w:p>
      <w:pPr>
        <w:spacing w:after="0" w:line="23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we believe is valued by our customers.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Reputation and experience</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Through our predecessor, our initial investment in large scale owned and operated accommodations in the oil sands in Canada and Australian mining regions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quality asset base in areas with long term visibility creates a more stable revenue base</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for our industry, longer-term visibility and stability to our operations. We seek a customer base that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enhancing revenue visibility and stability.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banking focus with a pipeline of approved developments</w:t>
      </w:r>
    </w:p>
    <w:p>
      <w:pPr>
        <w:spacing w:after="0" w:line="225" w:lineRule="exact"/>
        <w:rPr>
          <w:sz w:val="20"/>
          <w:szCs w:val="20"/>
          <w:color w:val="auto"/>
        </w:rPr>
      </w:pPr>
    </w:p>
    <w:p>
      <w:pPr>
        <w:ind w:right="20" w:firstLine="324"/>
        <w:spacing w:after="0" w:line="295" w:lineRule="auto"/>
        <w:rPr>
          <w:sz w:val="20"/>
          <w:szCs w:val="20"/>
          <w:color w:val="auto"/>
        </w:rPr>
      </w:pPr>
      <w:r>
        <w:rPr>
          <w:rFonts w:ascii="Arial" w:cs="Arial" w:eastAsia="Arial" w:hAnsi="Arial"/>
          <w:sz w:val="16"/>
          <w:szCs w:val="16"/>
          <w:color w:val="auto"/>
        </w:rPr>
        <w:t>We believe that there are benefits created by investing early in land in order to gain the strategic, first-mover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 first-mover advantage as competitors may</w:t>
      </w:r>
    </w:p>
    <w:p>
      <w:pPr>
        <w:spacing w:after="0"/>
        <w:rPr>
          <w:sz w:val="20"/>
          <w:szCs w:val="20"/>
          <w:color w:val="auto"/>
        </w:rPr>
      </w:pPr>
      <w:r>
        <w:rPr>
          <w:rFonts w:ascii="Arial" w:cs="Arial" w:eastAsia="Arial" w:hAnsi="Arial"/>
          <w:sz w:val="18"/>
          <w:szCs w:val="18"/>
          <w:color w:val="auto"/>
        </w:rPr>
        <w:t>be less willing to speculatively build large-scale accommodation facilities without firm customer commitments.</w:t>
      </w:r>
    </w:p>
    <w:p>
      <w:pPr>
        <w:spacing w:after="0" w:line="23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currently operate in a total of twenty-eight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six undeveloped sites that have received the necessary permitting and regulatory approvals. We believe this will allow us to respond promptly to future room demand in emerging regions.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Significant operational and financial scale</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four years, we have more than doubled our accommodations revenues to $1.0 billion in 2013. We are one of the largest global providers of accommodations services. We have spent $1.2 billion for capital expenditures in North America since Oil States’ IPO in 2001 and $375.8 million in Australia since Oil States’ acquisition of The MAC in 2010.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growth in existing markets through existing and undeveloped locations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current 20,857 rooms in operation. For the three years ended December 31, 2013, we have invested $28.2 million on land banking. However, we are under no obligation to develop these sites and cannot provide any assurance that these locations will be developed. See “Risk Factors – Our land banking strategy may not be successful.” With our integrated business model, this pipeline of permitted developments provides us with the ability to respond quickly to customer project approvals and be a first-mover in regions with emerging accommodation demand.</w:t>
      </w:r>
    </w:p>
    <w:p>
      <w:pPr>
        <w:spacing w:after="0" w:line="167"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We will continue to be proactive in securing land access and permits for future locations, so that we are prepared to be the first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some of our base markets as well as properties that extend the reach of our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discipline based on returns focused investment and flexible financial structure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Selectively pursue acquisition opportunities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208" w:lineRule="exact"/>
        <w:rPr>
          <w:sz w:val="20"/>
          <w:szCs w:val="20"/>
          <w:color w:val="auto"/>
        </w:rPr>
      </w:pPr>
    </w:p>
    <w:p>
      <w:pPr>
        <w:ind w:firstLine="324"/>
        <w:spacing w:after="0" w:line="299" w:lineRule="auto"/>
        <w:rPr>
          <w:sz w:val="20"/>
          <w:szCs w:val="20"/>
          <w:color w:val="auto"/>
        </w:rPr>
      </w:pPr>
      <w:r>
        <w:rPr>
          <w:rFonts w:ascii="Arial" w:cs="Arial" w:eastAsia="Arial" w:hAnsi="Arial"/>
          <w:sz w:val="16"/>
          <w:szCs w:val="16"/>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since grown the room count by 78% through the addition of 4,052 rooms while adding four villages to that portfolio.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growth into new segments and sectors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long-tenured projects, with some in remote locations.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as an expert in remote workforce logistics, we are assessing the opportunity to move into different segments of our guests’ journey from home to our properties to work and back home. We believe that the spin-off will enhance our ability to enter new sectors and expand our logistical services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SpinCo was incorporated under the laws of the State of Delaware in 2013. Our principal executive offices are located at Three Allen Center, 333 Clay Street, Suite 4980, Houston, Texas 77002. Our telephone number is (713) 652-0582. Our website address is [●]. Information contained on our website is not incorporated by reference into this information statement or the registration statement on Form 10 of which this information statement is a part, and you should not consider information on our website as part of this information statement or such registration statement on Form 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July 30, 2013, Oil States announced that its board of directors had authorized management to pursue the spin-off of its accommodations business into a standalone, publicly traded company, following which we will be an independent, publicly owned company. As part of the spin-off, we will consummate certain restructuring transactions described under “The Spin-Off—Restructuring Transactions,” including (i) the incurrence of additional debt, (ii) the payment of a special dividend to Oil States and (iii) the contribution and transfer to us of the assets and liabilities associated with our business. We will also amend and restate our certificate of incorporation and bylaws. These transactions are collectively referred to as our “restructuring transactions” throughout this information statement.</w:t>
      </w:r>
    </w:p>
    <w:p>
      <w:pPr>
        <w:spacing w:after="0" w:line="19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currently depend on Oil States for a number of administrative functions. Prior to the completion of the spin-off, we will enter into agreements with Oil States related to the separation of our business operations from Oil States. These agreements will be in effect as of the completion of the spin-off and will govern various ongoing relationships between Oil States and us, including the extent, manner and timing of our dependence on Oil States for certain administrative services, primarily related to information technology resources, following the completion of the spin-off. Under the terms of these agreements, we are entitled to the ongoing assistance of Oil States only for a limited period of time following the spin-off. For more information regarding these agreements, see “Arrangements Between Oil States and Our Company” and the historical combined and pro forma financial statements and the notes thereto included elsewhere in this information statement. All of the agreements relating to our separation from Oil States will be made in the context of a parent-subsidiary relationship and will be entered into in the overall context of our separation from Oil States. The terms of these agreements may be more or less favorable to us than if they had been negotiated with unaffiliated third parties. See “Risk Factors—Risks Related to the Spin-Off.”</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 w:name="page15"/>
    <w:bookmarkEnd w:id="14"/>
    <w:p>
      <w:pPr>
        <w:ind w:firstLine="324"/>
        <w:spacing w:after="0" w:line="259" w:lineRule="auto"/>
        <w:rPr>
          <w:sz w:val="20"/>
          <w:szCs w:val="20"/>
          <w:color w:val="auto"/>
        </w:rPr>
      </w:pPr>
      <w:r>
        <w:rPr>
          <w:rFonts w:ascii="Arial" w:cs="Arial" w:eastAsia="Arial" w:hAnsi="Arial"/>
          <w:sz w:val="18"/>
          <w:szCs w:val="18"/>
          <w:color w:val="auto"/>
        </w:rPr>
        <w:t>The distribution of SpinCo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SpinCo from Oil States. See “The Spin-Off—Conditions to the Spin-Off.”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Spin-off</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provides only a summary of the terms of the spin-off. For a more detailed description of the matters described below, see “The Spin-Off.”</w:t>
      </w:r>
    </w:p>
    <w:p>
      <w:pPr>
        <w:spacing w:after="0" w:line="248" w:lineRule="exact"/>
        <w:rPr>
          <w:sz w:val="20"/>
          <w:szCs w:val="20"/>
          <w:color w:val="auto"/>
        </w:rPr>
      </w:pPr>
    </w:p>
    <w:p>
      <w:pPr>
        <w:ind w:left="960" w:hanging="62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What is the spin-off?</w:t>
      </w:r>
    </w:p>
    <w:p>
      <w:pPr>
        <w:spacing w:after="0" w:line="225" w:lineRule="exact"/>
        <w:rPr>
          <w:sz w:val="20"/>
          <w:szCs w:val="20"/>
          <w:color w:val="auto"/>
        </w:rPr>
      </w:pPr>
    </w:p>
    <w:p>
      <w:pPr>
        <w:ind w:left="960" w:right="860" w:hanging="628"/>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spin-off is the method by which SpinCo will separate from Oil States. To complete the spin-off, Oil States will distribute to its stockholders all of the shares of SpinCo common stock. Following the spin-off, SpinCo will be a separate company from Oil States, and Oil States will not retain any ownership interest in SpinCo. The number of shares of Oil States common stock you own will not change as a result of the spin-off.</w:t>
      </w:r>
    </w:p>
    <w:p>
      <w:pPr>
        <w:spacing w:after="0" w:line="187" w:lineRule="exact"/>
        <w:rPr>
          <w:sz w:val="20"/>
          <w:szCs w:val="20"/>
          <w:color w:val="auto"/>
        </w:rPr>
      </w:pPr>
    </w:p>
    <w:p>
      <w:pPr>
        <w:ind w:left="960" w:hanging="62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What will I receive in the spin-off?</w:t>
      </w:r>
    </w:p>
    <w:p>
      <w:pPr>
        <w:spacing w:after="0" w:line="225" w:lineRule="exact"/>
        <w:rPr>
          <w:sz w:val="20"/>
          <w:szCs w:val="20"/>
          <w:color w:val="auto"/>
        </w:rPr>
      </w:pPr>
    </w:p>
    <w:p>
      <w:pPr>
        <w:ind w:left="960" w:right="820" w:hanging="619"/>
        <w:spacing w:after="0" w:line="264" w:lineRule="auto"/>
        <w:tabs>
          <w:tab w:leader="none" w:pos="9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As a holder of Oil States stock, you will retain your Oil States shares and will receive shares of SpinCo common stock for each share of Oil States common stock you hold as of the record date. Your proportionate interest in Oil States will not change as a result of the spin-off. For a more detailed description, see “The Spin-Off.”</w:t>
      </w:r>
    </w:p>
    <w:p>
      <w:pPr>
        <w:spacing w:after="0" w:line="181" w:lineRule="exact"/>
        <w:rPr>
          <w:sz w:val="20"/>
          <w:szCs w:val="20"/>
          <w:color w:val="auto"/>
        </w:rPr>
      </w:pPr>
    </w:p>
    <w:p>
      <w:pPr>
        <w:ind w:left="960" w:hanging="62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What is SpinCo?</w:t>
      </w:r>
    </w:p>
    <w:p>
      <w:pPr>
        <w:spacing w:after="0" w:line="225" w:lineRule="exact"/>
        <w:rPr>
          <w:sz w:val="20"/>
          <w:szCs w:val="20"/>
          <w:color w:val="auto"/>
        </w:rPr>
      </w:pPr>
    </w:p>
    <w:p>
      <w:pPr>
        <w:ind w:left="960" w:right="760" w:hanging="628"/>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SpinCo is currently a wholly-owned subsidiary of Oil States whose shares will be distributed to Oil States stockholders if the spin-off is completed. After the spin-off is completed, SpinCo will be a public company and will own and operate the accommodations business that was formerly a part of Oil States. That business is referred to as the “accommodations business” throughout this information statement.</w:t>
      </w:r>
    </w:p>
    <w:p>
      <w:pPr>
        <w:spacing w:after="0" w:line="187" w:lineRule="exact"/>
        <w:rPr>
          <w:sz w:val="20"/>
          <w:szCs w:val="20"/>
          <w:color w:val="auto"/>
        </w:rPr>
      </w:pPr>
    </w:p>
    <w:p>
      <w:pPr>
        <w:ind w:left="960" w:hanging="62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When is the record date for the distribution, and when will the distribution occur?</w:t>
      </w:r>
    </w:p>
    <w:p>
      <w:pPr>
        <w:sectPr>
          <w:pgSz w:w="11900" w:h="16838" w:orient="portrait"/>
          <w:cols w:equalWidth="0" w:num="1">
            <w:col w:w="11320"/>
          </w:cols>
          <w:pgMar w:left="240" w:top="584" w:right="339" w:bottom="1440" w:gutter="0" w:footer="0" w:header="0"/>
        </w:sectPr>
      </w:pPr>
    </w:p>
    <w:p>
      <w:pPr>
        <w:spacing w:after="0" w:line="225" w:lineRule="exact"/>
        <w:rPr>
          <w:sz w:val="20"/>
          <w:szCs w:val="20"/>
          <w:color w:val="auto"/>
        </w:rPr>
      </w:pPr>
    </w:p>
    <w:p>
      <w:pPr>
        <w:ind w:left="960" w:hanging="619"/>
        <w:spacing w:after="0" w:line="277" w:lineRule="auto"/>
        <w:tabs>
          <w:tab w:leader="none" w:pos="9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record date will be the close of business of the New York Stock Exchange (the “NYSE”) on of the spin-off is , 2014.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2014. The distribution date</w:t>
      </w:r>
    </w:p>
    <w:p>
      <w:pPr>
        <w:spacing w:after="0" w:line="463" w:lineRule="exact"/>
        <w:rPr>
          <w:sz w:val="20"/>
          <w:szCs w:val="20"/>
          <w:color w:val="auto"/>
        </w:rPr>
      </w:pPr>
    </w:p>
    <w:p>
      <w:pPr>
        <w:sectPr>
          <w:pgSz w:w="11900" w:h="16838" w:orient="portrait"/>
          <w:cols w:equalWidth="0" w:num="2">
            <w:col w:w="7880" w:space="540"/>
            <w:col w:w="2900"/>
          </w:cols>
          <w:pgMar w:left="240" w:top="584" w:right="339" w:bottom="1440" w:gutter="0" w:footer="0" w:header="0"/>
          <w:type w:val="continuous"/>
        </w:sectPr>
      </w:pPr>
    </w:p>
    <w:p>
      <w:pPr>
        <w:ind w:left="960" w:hanging="62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What are the reasons for and benefits of separating SpinCo from Oil States?</w:t>
      </w:r>
    </w:p>
    <w:p>
      <w:pPr>
        <w:spacing w:after="0" w:line="225" w:lineRule="exact"/>
        <w:rPr>
          <w:sz w:val="20"/>
          <w:szCs w:val="20"/>
          <w:color w:val="auto"/>
        </w:rPr>
      </w:pPr>
    </w:p>
    <w:p>
      <w:pPr>
        <w:jc w:val="both"/>
        <w:ind w:left="960" w:right="720" w:hanging="628"/>
        <w:spacing w:after="0" w:line="264"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separation of SpinCo from Oil States and the distribution of SpinCo common stock are intended to provide you with equity investments in two separate companies, each of which will be able to focus on their respective businesses. For a more detailed discussion of the reasons for and benefits of the spin-off, see “The Spin-Off—Reasons for the Spin-Off.”</w:t>
      </w:r>
    </w:p>
    <w:p>
      <w:pPr>
        <w:spacing w:after="0" w:line="181" w:lineRule="exact"/>
        <w:rPr>
          <w:sz w:val="20"/>
          <w:szCs w:val="20"/>
          <w:color w:val="auto"/>
        </w:rPr>
      </w:pPr>
    </w:p>
    <w:p>
      <w:pPr>
        <w:ind w:left="960" w:hanging="62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Why is the separation of SpinCo structured as a spin-off as opposed to a sale?</w:t>
      </w:r>
    </w:p>
    <w:p>
      <w:pPr>
        <w:spacing w:after="0" w:line="225" w:lineRule="exact"/>
        <w:rPr>
          <w:sz w:val="20"/>
          <w:szCs w:val="20"/>
          <w:color w:val="auto"/>
        </w:rPr>
      </w:pPr>
    </w:p>
    <w:p>
      <w:pPr>
        <w:ind w:left="960" w:right="1000" w:hanging="628"/>
        <w:spacing w:after="0" w:line="26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Oil States believes that a tax-free distribution of SpinCo common stock is an efficient way to separate SpinCo from Oil States in a manner that will improve flexibility, benefit both Oil States and the accommodations business and create long-term value for stockholders of both Oil States and SpinCo.</w:t>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type w:val="continuous"/>
        </w:sectPr>
      </w:pPr>
    </w:p>
    <w:bookmarkStart w:id="15" w:name="page16"/>
    <w:bookmarkEnd w:id="15"/>
    <w:p>
      <w:pPr>
        <w:ind w:left="628" w:hanging="628"/>
        <w:spacing w:after="0"/>
        <w:tabs>
          <w:tab w:leader="none" w:pos="62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What is being distributed in the spin-off?</w:t>
      </w:r>
    </w:p>
    <w:p>
      <w:pPr>
        <w:sectPr>
          <w:pgSz w:w="11900" w:h="16838" w:orient="portrait"/>
          <w:cols w:equalWidth="0" w:num="1">
            <w:col w:w="10228"/>
          </w:cols>
          <w:pgMar w:left="572" w:top="584" w:right="1099" w:bottom="1440" w:gutter="0" w:footer="0" w:header="0"/>
        </w:sectPr>
      </w:pPr>
    </w:p>
    <w:p>
      <w:pPr>
        <w:spacing w:after="0" w:line="248" w:lineRule="exact"/>
        <w:rPr>
          <w:sz w:val="20"/>
          <w:szCs w:val="20"/>
          <w:color w:val="auto"/>
        </w:rPr>
      </w:pPr>
    </w:p>
    <w:p>
      <w:pPr>
        <w:ind w:left="8"/>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Approximately shares of SpinCo common stock will be distributed in the spin-off, based on the number of shares of Oil States common stock expected to be outstanding as of the record date. The actual number of shares of SpinCo common stock to be distributed will be calculated on , 2014, the record date. The shares of SpinCo common stock to be distributed by Oil States will constitute all of the issued and outstanding shares of SpinCo common stock immediately prior to the distribution. For more information on the shares being distributed in the spin-off, see “Description of Capital Stock—Common Stock.”</w:t>
      </w:r>
    </w:p>
    <w:p>
      <w:pPr>
        <w:spacing w:after="0" w:line="173" w:lineRule="exact"/>
        <w:rPr>
          <w:sz w:val="20"/>
          <w:szCs w:val="20"/>
          <w:color w:val="auto"/>
        </w:rPr>
      </w:pPr>
    </w:p>
    <w:p>
      <w:pPr>
        <w:sectPr>
          <w:pgSz w:w="11900" w:h="16838" w:orient="portrait"/>
          <w:cols w:equalWidth="0" w:num="2">
            <w:col w:w="188" w:space="440"/>
            <w:col w:w="9600"/>
          </w:cols>
          <w:pgMar w:left="572" w:top="584" w:right="1099" w:bottom="1440" w:gutter="0" w:footer="0" w:header="0"/>
          <w:type w:val="continuous"/>
        </w:sectPr>
      </w:pPr>
    </w:p>
    <w:p>
      <w:pPr>
        <w:ind w:left="628" w:hanging="628"/>
        <w:spacing w:after="0"/>
        <w:tabs>
          <w:tab w:leader="none" w:pos="62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How will options and other equity-based compensation awards held by Oil States employees be affected as a result of the spin-off?</w:t>
      </w:r>
    </w:p>
    <w:p>
      <w:pPr>
        <w:spacing w:after="0" w:line="248" w:lineRule="exact"/>
        <w:rPr>
          <w:sz w:val="20"/>
          <w:szCs w:val="20"/>
          <w:color w:val="auto"/>
        </w:rPr>
      </w:pPr>
    </w:p>
    <w:p>
      <w:pPr>
        <w:ind w:left="628" w:right="20" w:hanging="628"/>
        <w:spacing w:after="0" w:line="288" w:lineRule="auto"/>
        <w:tabs>
          <w:tab w:leader="none" w:pos="6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treatment of outstanding Oil States options and other equity-based compensation awards has not been finally determined. However, it is currently anticipated that all outstanding Oil States options and other time-vested equity-based awards (whether held by current or former employees or directors of Oil States or SpinCo) will be adjusted in connection with the spin-off (or, in the case of restricted shares of Oil States common stock, will directly participate in the spin-off) such that following the spin-off each equity award holder will hold the same type of award with respect to Oil States common stock along with a separate award of the same type of SpinCo common stock, with the number of shares and exercise price of such award adjusted to preserve the value of the award prior to the spin-off. Oil States continues to evaluate the treatment of certain performance-based equity compensation awards in connection with the spin-off. Additional detail regarding the final treatment of Oil States’ options and other equity-based awards will be included in a subsequent amendment to this information statement. For more information on the treatment of equity-based compensation awards in the spin-off, see “The Spin-Off-Treatment of Stock-Based Plans for Current and Former Employees.”</w:t>
      </w:r>
    </w:p>
    <w:p>
      <w:pPr>
        <w:spacing w:after="0" w:line="169" w:lineRule="exact"/>
        <w:rPr>
          <w:sz w:val="20"/>
          <w:szCs w:val="20"/>
          <w:color w:val="auto"/>
        </w:rPr>
      </w:pPr>
    </w:p>
    <w:p>
      <w:pPr>
        <w:ind w:left="628" w:hanging="628"/>
        <w:spacing w:after="0"/>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What do I have to do to participate in the spin-off?</w:t>
      </w:r>
    </w:p>
    <w:p>
      <w:pPr>
        <w:spacing w:after="0" w:line="225" w:lineRule="exact"/>
        <w:rPr>
          <w:sz w:val="20"/>
          <w:szCs w:val="20"/>
          <w:color w:val="auto"/>
        </w:rPr>
      </w:pPr>
    </w:p>
    <w:p>
      <w:pPr>
        <w:ind w:left="628" w:hanging="628"/>
        <w:spacing w:after="0" w:line="259"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required to take any action, although you are urged to read this entire document carefully. No stockholder approval of the distribution is required or sought. You are not being asked for a proxy. No action is required on your part to receive your shares of SpinCo common stock. You will neither be required to pay anything for the new shares nor to surrender any shares of Oil States common stock to participate in the spin-off.</w:t>
      </w:r>
    </w:p>
    <w:p>
      <w:pPr>
        <w:spacing w:after="0" w:line="187" w:lineRule="exact"/>
        <w:rPr>
          <w:sz w:val="20"/>
          <w:szCs w:val="20"/>
          <w:color w:val="auto"/>
        </w:rPr>
      </w:pPr>
    </w:p>
    <w:p>
      <w:pPr>
        <w:ind w:left="628" w:hanging="628"/>
        <w:spacing w:after="0"/>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How will fractional shares be treated in the spin-off?</w:t>
      </w:r>
    </w:p>
    <w:p>
      <w:pPr>
        <w:spacing w:after="0" w:line="225" w:lineRule="exact"/>
        <w:rPr>
          <w:sz w:val="20"/>
          <w:szCs w:val="20"/>
          <w:color w:val="auto"/>
        </w:rPr>
      </w:pPr>
    </w:p>
    <w:p>
      <w:pPr>
        <w:ind w:left="628" w:right="20" w:hanging="628"/>
        <w:spacing w:after="0" w:line="272" w:lineRule="auto"/>
        <w:tabs>
          <w:tab w:leader="none" w:pos="6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Fractional shares of SpinCo common stock will not be distributed. Fractional shares of SpinCo common stock to which Oil States stockholders of record would otherwise be entitled will be aggregated and sold in the public market by the distribution agent. The aggregate net cash proceeds of the sales will be distributed ratably to those stockholders who would otherwise have received fractional shares of SpinCo common stock. Proceeds from these sales will generally result in a taxable gain or loss to those stockholders. Each stockholder entitled to receive cash proceeds from these shares should consult his, her or its own tax advisor as to such stockholder’s particular circumstances. The tax consequences of the distribution are described in more detail under “The Spin-Off—U.S. Federal Income Tax Consequences of the Spin-Off.”</w:t>
      </w:r>
    </w:p>
    <w:p>
      <w:pPr>
        <w:spacing w:after="0" w:line="200" w:lineRule="exact"/>
        <w:rPr>
          <w:sz w:val="20"/>
          <w:szCs w:val="20"/>
          <w:color w:val="auto"/>
        </w:rPr>
      </w:pPr>
    </w:p>
    <w:p>
      <w:pPr>
        <w:spacing w:after="0" w:line="221" w:lineRule="exact"/>
        <w:rPr>
          <w:sz w:val="20"/>
          <w:szCs w:val="20"/>
          <w:color w:val="auto"/>
        </w:rPr>
      </w:pPr>
    </w:p>
    <w:p>
      <w:pPr>
        <w:ind w:left="532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8"/>
          </w:cols>
          <w:pgMar w:left="572" w:top="584" w:right="1099" w:bottom="1440" w:gutter="0" w:footer="0" w:header="0"/>
          <w:type w:val="continuous"/>
        </w:sectPr>
      </w:pPr>
    </w:p>
    <w:bookmarkStart w:id="16" w:name="page17"/>
    <w:bookmarkEnd w:id="16"/>
    <w:p>
      <w:pPr>
        <w:ind w:left="628" w:hanging="628"/>
        <w:spacing w:after="0"/>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What are the U.S. federal income tax consequences of the spin-off?</w:t>
      </w:r>
    </w:p>
    <w:p>
      <w:pPr>
        <w:spacing w:after="0" w:line="225" w:lineRule="exact"/>
        <w:rPr>
          <w:sz w:val="20"/>
          <w:szCs w:val="20"/>
          <w:color w:val="auto"/>
        </w:rPr>
      </w:pPr>
    </w:p>
    <w:p>
      <w:pPr>
        <w:ind w:left="628" w:hanging="628"/>
        <w:spacing w:after="0" w:line="269" w:lineRule="auto"/>
        <w:tabs>
          <w:tab w:leader="none" w:pos="6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Oil States has received a private letter ruling from the Internal Revenue Service (the “IRS”) substantially to the effect that, for U.S. federal income tax purposes, (i) certain transactions to be effected in connection with the separation qualify as transactions under Sections 355 and/or 368(a) of the Internal Revenue Code of 1986, as amended (the “Code”) and (ii) the distribution generally qualifies as a tax-free transaction under Section 355 and Section 368(a)(1)(D) of the Code. In addition, Oil States will receive an opinion from its tax counsel, which will rely on the effectiveness of the private letter ruling, with respect to certain matters on which the IRS will not rule. See “The Spin-Off – Conditions to the Spin-Off.” Accordingly, the contribution, distribution and related transactions will qualify as a tax-free transactions under Section 355 and/or Section 368(a)(1)(D) of the Code, for U.S. federal income tax purposes, except for gain realized on the receipt of cash paid in lieu of fractional shares, no gain or loss will generally be recognized by an Oil States shareholder, and no amount generally will be included in such Oil States shareholder’s taxable income, as a result of the spin-off. You should, however, consult your own tax advisor as to the particular consequences to you. The U.S. federal income tax consequences of the distribution are described in more detail under “The Spin-Off—U.S. Federal Income Tax Consequences of the Spin-Off.”</w:t>
      </w:r>
    </w:p>
    <w:p>
      <w:pPr>
        <w:spacing w:after="0" w:line="180" w:lineRule="exact"/>
        <w:rPr>
          <w:sz w:val="20"/>
          <w:szCs w:val="20"/>
          <w:color w:val="auto"/>
        </w:rPr>
      </w:pPr>
    </w:p>
    <w:p>
      <w:pPr>
        <w:ind w:left="628" w:hanging="628"/>
        <w:spacing w:after="0"/>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Will the SpinCo common stock be listed on a stock exchange?</w:t>
      </w:r>
    </w:p>
    <w:p>
      <w:pPr>
        <w:spacing w:after="0" w:line="225" w:lineRule="exact"/>
        <w:rPr>
          <w:sz w:val="20"/>
          <w:szCs w:val="20"/>
          <w:color w:val="auto"/>
        </w:rPr>
      </w:pPr>
    </w:p>
    <w:p>
      <w:pPr>
        <w:ind w:left="628" w:right="60" w:hanging="628"/>
        <w:spacing w:after="0" w:line="291" w:lineRule="auto"/>
        <w:tabs>
          <w:tab w:leader="none" w:pos="6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Yes. Although there is not currently a public market for SpinCo common stock, SpinCo has applied to list its common stock on the NYSE under the symbol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It is anticipated that trading of SpinCo common stock will commence on a “when-issued” basis on or shortly before the record date. When-issued trading refers to a sale or purchase made conditionally because the security has been authorized but not yet issued. When-issued trades generally settle within four trading days after the distribution date. On the first trading day following the distribution date, any when-issued trading with respect to SpinCo common stock will end and “regular-way” trading will begin. “Regular-way” trading refers to trading after a security has been issued and typically involves a transaction that settles on the third full trading day following the date of the transaction. See “Trading Market.”</w:t>
      </w:r>
    </w:p>
    <w:p>
      <w:pPr>
        <w:spacing w:after="0" w:line="167" w:lineRule="exact"/>
        <w:rPr>
          <w:sz w:val="20"/>
          <w:szCs w:val="20"/>
          <w:color w:val="auto"/>
        </w:rPr>
      </w:pPr>
    </w:p>
    <w:p>
      <w:pPr>
        <w:ind w:left="628" w:hanging="628"/>
        <w:spacing w:after="0"/>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Will my shares of Oil States common stock continue to trade?</w:t>
      </w:r>
    </w:p>
    <w:p>
      <w:pPr>
        <w:spacing w:after="0" w:line="225" w:lineRule="exact"/>
        <w:rPr>
          <w:sz w:val="20"/>
          <w:szCs w:val="20"/>
          <w:color w:val="auto"/>
        </w:rPr>
      </w:pPr>
    </w:p>
    <w:p>
      <w:pPr>
        <w:ind w:left="628" w:hanging="628"/>
        <w:spacing w:after="0"/>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Yes. Oil States common stock will continue to be listed and traded on the NYSE under the symbol “OIS.”</w:t>
      </w:r>
    </w:p>
    <w:p>
      <w:pPr>
        <w:spacing w:after="0" w:line="225" w:lineRule="exact"/>
        <w:rPr>
          <w:sz w:val="20"/>
          <w:szCs w:val="20"/>
          <w:color w:val="auto"/>
        </w:rPr>
      </w:pPr>
    </w:p>
    <w:p>
      <w:pPr>
        <w:ind w:left="628" w:right="460" w:hanging="628"/>
        <w:spacing w:after="0" w:line="342" w:lineRule="auto"/>
        <w:tabs>
          <w:tab w:leader="none" w:pos="62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If I sell, on or before the distribution date, shares of Oil States common stock that I held on the record date, am I still entitled to receive shares of SpinCo common stock distributable with respect to the shares of Oil States common stock I sold?</w:t>
      </w:r>
    </w:p>
    <w:p>
      <w:pPr>
        <w:spacing w:after="0" w:line="124" w:lineRule="exact"/>
        <w:rPr>
          <w:sz w:val="20"/>
          <w:szCs w:val="20"/>
          <w:color w:val="auto"/>
        </w:rPr>
      </w:pPr>
    </w:p>
    <w:p>
      <w:pPr>
        <w:ind w:left="628" w:right="20" w:hanging="628"/>
        <w:spacing w:after="0" w:line="291" w:lineRule="auto"/>
        <w:tabs>
          <w:tab w:leader="none" w:pos="6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Beginning on or shortly before the record date and continuing through the distribution date for the spin-off, Oil States’ common stock will begin to trade in two markets on the NYSE: a “regular-way” market and an “ex-distribution” market. If you are a holder of record of shares of Oil States common stock as of the record date for the distribution and choose to sell those shares in the regular-way market after the record date for the distribution and before the distribution date, you also will be selling the right to receive the shares of SpinCo common stock in connection with the spin-off. However, if you are a holder of record of shares of Oil States common stock as of the record date for the distribution and choose to sell those shares in the ex-distribution market after the record date for the distribution and before the distribution date, you will still receive the shares of SpinCo common stock in the spin-off.</w:t>
      </w:r>
    </w:p>
    <w:p>
      <w:pPr>
        <w:spacing w:after="0" w:line="200" w:lineRule="exact"/>
        <w:rPr>
          <w:sz w:val="20"/>
          <w:szCs w:val="20"/>
          <w:color w:val="auto"/>
        </w:rPr>
      </w:pPr>
    </w:p>
    <w:p>
      <w:pPr>
        <w:spacing w:after="0" w:line="210" w:lineRule="exact"/>
        <w:rPr>
          <w:sz w:val="20"/>
          <w:szCs w:val="20"/>
          <w:color w:val="auto"/>
        </w:rPr>
      </w:pPr>
    </w:p>
    <w:p>
      <w:pPr>
        <w:jc w:val="center"/>
        <w:ind w:right="-50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8"/>
          </w:cols>
          <w:pgMar w:left="572" w:top="584" w:right="1059" w:bottom="1440" w:gutter="0" w:footer="0" w:header="0"/>
        </w:sectPr>
      </w:pPr>
    </w:p>
    <w:bookmarkStart w:id="17" w:name="page18"/>
    <w:bookmarkEnd w:id="17"/>
    <w:p>
      <w:pPr>
        <w:ind w:left="628" w:hanging="628"/>
        <w:spacing w:after="0"/>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Will the spin-off affect the trading price of my Oil States stock?</w:t>
      </w:r>
    </w:p>
    <w:p>
      <w:pPr>
        <w:spacing w:after="0" w:line="225" w:lineRule="exact"/>
        <w:rPr>
          <w:sz w:val="20"/>
          <w:szCs w:val="20"/>
          <w:color w:val="auto"/>
        </w:rPr>
      </w:pPr>
    </w:p>
    <w:p>
      <w:pPr>
        <w:ind w:left="628" w:right="240" w:hanging="628"/>
        <w:spacing w:after="0" w:line="259"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Yes, the trading price of shares of Oil States common stock immediately following the distribution is expected to be lower than immediately prior to the distribution because of the shareholder dividend of SpinCo stock and the fact that its trading price will no longer reflect the value of the accommodations business. However, we cannot provide you with any assurance as to the price at which the Oil States shares will trade following the spin-off.</w:t>
      </w:r>
    </w:p>
    <w:p>
      <w:pPr>
        <w:spacing w:after="0" w:line="187" w:lineRule="exact"/>
        <w:rPr>
          <w:sz w:val="20"/>
          <w:szCs w:val="20"/>
          <w:color w:val="auto"/>
        </w:rPr>
      </w:pPr>
    </w:p>
    <w:p>
      <w:pPr>
        <w:ind w:left="628" w:hanging="628"/>
        <w:spacing w:after="0"/>
        <w:tabs>
          <w:tab w:leader="none" w:pos="62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What indebtedness will SpinCo have following the spin-off?</w:t>
      </w:r>
    </w:p>
    <w:p>
      <w:pPr>
        <w:spacing w:after="0" w:line="221" w:lineRule="exact"/>
        <w:rPr>
          <w:sz w:val="20"/>
          <w:szCs w:val="20"/>
          <w:color w:val="auto"/>
        </w:rPr>
      </w:pPr>
    </w:p>
    <w:p>
      <w:pPr>
        <w:ind w:left="628" w:right="140" w:hanging="628"/>
        <w:spacing w:after="0" w:line="261" w:lineRule="auto"/>
        <w:tabs>
          <w:tab w:leader="none" w:pos="6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closing of the spin-off, we expect to enter into a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million,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-year credit facility. We have not obtained a financing commitment for the credit facility. Amounts outstanding under the credit facility are expected to bear interest at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We expect to pay customary fees with respect to the credit facility. See “Description of Material Indebtedness” for a more detailed description of these transactions.</w:t>
      </w:r>
    </w:p>
    <w:p>
      <w:pPr>
        <w:spacing w:after="0" w:line="184" w:lineRule="exact"/>
        <w:rPr>
          <w:sz w:val="20"/>
          <w:szCs w:val="20"/>
          <w:color w:val="auto"/>
        </w:rPr>
      </w:pPr>
    </w:p>
    <w:p>
      <w:pPr>
        <w:ind w:left="628" w:hanging="628"/>
        <w:spacing w:after="0"/>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What will the relationship be between Oil States and SpinCo after the spin-off?</w:t>
      </w:r>
    </w:p>
    <w:p>
      <w:pPr>
        <w:spacing w:after="0" w:line="225" w:lineRule="exact"/>
        <w:rPr>
          <w:sz w:val="20"/>
          <w:szCs w:val="20"/>
          <w:color w:val="auto"/>
        </w:rPr>
      </w:pPr>
    </w:p>
    <w:p>
      <w:pPr>
        <w:ind w:left="628" w:right="100" w:hanging="628"/>
        <w:spacing w:after="0" w:line="293" w:lineRule="auto"/>
        <w:tabs>
          <w:tab w:leader="none" w:pos="628"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Following the spin-off, SpinCo will be an independent, publicly traded company and Oil States will have no continuing stock ownership interest in SpinCo. In connection with the spin-off, SpinCo will have entered into a separation and distribution agreement and several other agreements with Oil States for the purpose of allocating between SpinCo and Oil States various assets, liabilities and obligations. These agreements will also govern SpinCo’s relationship with Oil States following the spin-off and will provide arrangements for employee matters, tax matters and some other liabilities and obligations attributable to periods before and, in some cases, after the spin-off. These agreements will also include arrangements with respect to transition services.</w:t>
      </w:r>
    </w:p>
    <w:p>
      <w:pPr>
        <w:spacing w:after="0" w:line="165" w:lineRule="exact"/>
        <w:rPr>
          <w:sz w:val="20"/>
          <w:szCs w:val="20"/>
          <w:color w:val="auto"/>
        </w:rPr>
      </w:pPr>
    </w:p>
    <w:p>
      <w:pPr>
        <w:ind w:left="628" w:hanging="628"/>
        <w:spacing w:after="0"/>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What will SpinCo’s dividend policy be after the spin-off?</w:t>
      </w:r>
    </w:p>
    <w:p>
      <w:pPr>
        <w:spacing w:after="0" w:line="225" w:lineRule="exact"/>
        <w:rPr>
          <w:sz w:val="20"/>
          <w:szCs w:val="20"/>
          <w:color w:val="auto"/>
        </w:rPr>
      </w:pPr>
    </w:p>
    <w:p>
      <w:pPr>
        <w:ind w:left="628" w:right="40" w:hanging="628"/>
        <w:spacing w:after="0" w:line="276" w:lineRule="auto"/>
        <w:tabs>
          <w:tab w:leader="none" w:pos="6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Our ability to pay dividends on our common stock may be limited by the covenants of our revolving credit facility and may be further restricted by the terms of any future debt or preferred securities. See “Dividend Policy” and “Description of Material Indebtedness.”</w:t>
      </w:r>
    </w:p>
    <w:p>
      <w:pPr>
        <w:spacing w:after="0" w:line="173" w:lineRule="exact"/>
        <w:rPr>
          <w:sz w:val="20"/>
          <w:szCs w:val="20"/>
          <w:color w:val="auto"/>
        </w:rPr>
      </w:pPr>
    </w:p>
    <w:p>
      <w:pPr>
        <w:ind w:left="628" w:hanging="628"/>
        <w:spacing w:after="0"/>
        <w:tabs>
          <w:tab w:leader="none" w:pos="628"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What are the anti-takeover effects of the spin-off?</w:t>
      </w:r>
    </w:p>
    <w:p>
      <w:pPr>
        <w:spacing w:after="0" w:line="225" w:lineRule="exact"/>
        <w:rPr>
          <w:sz w:val="20"/>
          <w:szCs w:val="20"/>
          <w:color w:val="auto"/>
        </w:rPr>
      </w:pPr>
    </w:p>
    <w:p>
      <w:pPr>
        <w:ind w:left="628" w:hanging="628"/>
        <w:spacing w:after="0" w:line="255"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Some provisions of the restated certificate of incorporation of SpinCo, the restated bylaws of SpinCo and Delaware law may have the effect of making more difficult an acquisition of control of SpinCo in a transaction not approved by SpinCo’s board of directors. For example, SpinCo’s restated certificate of incorporation and bylaws will provide for a classified board, require advance notice for shareholder proposals and nominations, place limitations on convening shareholder meetings and authorize SpinCo’s board of directors to issue one or more series of preferred stock. See “Description of Capital Stock—Anti-Takeover Effects of Provisions of our Amended and Restated Certificate of Incorporation, our Amended and Restated Bylaws and Delaware Law” for more information.</w:t>
      </w:r>
    </w:p>
    <w:p>
      <w:pPr>
        <w:spacing w:after="0" w:line="189" w:lineRule="exact"/>
        <w:rPr>
          <w:sz w:val="20"/>
          <w:szCs w:val="20"/>
          <w:color w:val="auto"/>
        </w:rPr>
      </w:pPr>
    </w:p>
    <w:p>
      <w:pPr>
        <w:ind w:left="628" w:hanging="628"/>
        <w:spacing w:after="0"/>
        <w:tabs>
          <w:tab w:leader="none" w:pos="628"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What are the risks associated with the spin-off?</w:t>
      </w:r>
    </w:p>
    <w:p>
      <w:pPr>
        <w:spacing w:after="0" w:line="225" w:lineRule="exact"/>
        <w:rPr>
          <w:sz w:val="20"/>
          <w:szCs w:val="20"/>
          <w:color w:val="auto"/>
        </w:rPr>
      </w:pPr>
    </w:p>
    <w:p>
      <w:pPr>
        <w:ind w:left="628" w:right="60" w:hanging="628"/>
        <w:spacing w:after="0" w:line="277"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a number of risks associated with the spin-off and resultant ownership of SpinCo common stock. These risks are discussed under “Risk Factors” beginning on page 19.</w:t>
      </w:r>
    </w:p>
    <w:p>
      <w:pPr>
        <w:spacing w:after="0" w:line="200" w:lineRule="exact"/>
        <w:rPr>
          <w:sz w:val="20"/>
          <w:szCs w:val="20"/>
          <w:color w:val="auto"/>
        </w:rPr>
      </w:pPr>
    </w:p>
    <w:p>
      <w:pPr>
        <w:spacing w:after="0" w:line="214" w:lineRule="exact"/>
        <w:rPr>
          <w:sz w:val="20"/>
          <w:szCs w:val="20"/>
          <w:color w:val="auto"/>
        </w:rPr>
      </w:pPr>
    </w:p>
    <w:p>
      <w:pPr>
        <w:jc w:val="center"/>
        <w:ind w:right="-527"/>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8"/>
          </w:cols>
          <w:pgMar w:left="572" w:top="584" w:right="1079" w:bottom="1440" w:gutter="0" w:footer="0" w:header="0"/>
        </w:sectPr>
      </w:pPr>
    </w:p>
    <w:bookmarkStart w:id="18" w:name="page19"/>
    <w:bookmarkEnd w:id="18"/>
    <w:p>
      <w:pPr>
        <w:ind w:left="628" w:hanging="628"/>
        <w:spacing w:after="0"/>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Where can I get more information?</w:t>
      </w:r>
    </w:p>
    <w:p>
      <w:pPr>
        <w:spacing w:after="0" w:line="225" w:lineRule="exact"/>
        <w:rPr>
          <w:sz w:val="20"/>
          <w:szCs w:val="20"/>
          <w:color w:val="auto"/>
        </w:rPr>
      </w:pPr>
    </w:p>
    <w:p>
      <w:pPr>
        <w:ind w:left="628" w:hanging="628"/>
        <w:spacing w:after="0"/>
        <w:tabs>
          <w:tab w:leader="none" w:pos="6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you have any questions relating to the mechanics of the distribution, you should contact the distribution agent at:</w:t>
      </w:r>
    </w:p>
    <w:p>
      <w:pPr>
        <w:spacing w:after="0" w:line="248"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Computershare Trust Company, N.A.</w:t>
      </w:r>
    </w:p>
    <w:p>
      <w:pPr>
        <w:spacing w:after="0" w:line="23" w:lineRule="exact"/>
        <w:rPr>
          <w:rFonts w:ascii="Arial" w:cs="Arial" w:eastAsia="Arial" w:hAnsi="Arial"/>
          <w:sz w:val="16"/>
          <w:szCs w:val="16"/>
          <w:color w:val="auto"/>
        </w:rPr>
      </w:pPr>
    </w:p>
    <w:p>
      <w:pPr>
        <w:ind w:left="628" w:right="7099"/>
        <w:spacing w:after="0" w:line="255" w:lineRule="auto"/>
        <w:rPr>
          <w:rFonts w:ascii="Arial" w:cs="Arial" w:eastAsia="Arial" w:hAnsi="Arial"/>
          <w:sz w:val="16"/>
          <w:szCs w:val="16"/>
          <w:color w:val="auto"/>
        </w:rPr>
      </w:pPr>
      <w:r>
        <w:rPr>
          <w:rFonts w:ascii="Arial" w:cs="Arial" w:eastAsia="Arial" w:hAnsi="Arial"/>
          <w:sz w:val="18"/>
          <w:szCs w:val="18"/>
          <w:color w:val="auto"/>
        </w:rPr>
        <w:t>100 Crescent Court, Suite 700 Dallas, Texas 75201 Phone: (214) 808-3264</w:t>
      </w:r>
    </w:p>
    <w:p>
      <w:pPr>
        <w:spacing w:after="0" w:line="190"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Before the spin-off, if you have any questions relating to the spin-off, you should contact Oil States at:</w:t>
      </w:r>
    </w:p>
    <w:p>
      <w:pPr>
        <w:spacing w:after="0" w:line="225" w:lineRule="exact"/>
        <w:rPr>
          <w:rFonts w:ascii="Arial" w:cs="Arial" w:eastAsia="Arial" w:hAnsi="Arial"/>
          <w:sz w:val="16"/>
          <w:szCs w:val="16"/>
          <w:color w:val="auto"/>
        </w:rPr>
      </w:pPr>
    </w:p>
    <w:p>
      <w:pPr>
        <w:ind w:left="628" w:right="7239"/>
        <w:spacing w:after="0" w:line="288" w:lineRule="auto"/>
        <w:rPr>
          <w:rFonts w:ascii="Arial" w:cs="Arial" w:eastAsia="Arial" w:hAnsi="Arial"/>
          <w:sz w:val="16"/>
          <w:szCs w:val="16"/>
          <w:color w:val="auto"/>
        </w:rPr>
      </w:pPr>
      <w:r>
        <w:rPr>
          <w:rFonts w:ascii="Arial" w:cs="Arial" w:eastAsia="Arial" w:hAnsi="Arial"/>
          <w:sz w:val="16"/>
          <w:szCs w:val="16"/>
          <w:color w:val="auto"/>
        </w:rPr>
        <w:t>Oil States International, Inc. Attn: Investor Relations Three Allen Center</w:t>
      </w:r>
    </w:p>
    <w:p>
      <w:pPr>
        <w:ind w:left="628" w:right="7279"/>
        <w:spacing w:after="0" w:line="295" w:lineRule="auto"/>
        <w:rPr>
          <w:rFonts w:ascii="Arial" w:cs="Arial" w:eastAsia="Arial" w:hAnsi="Arial"/>
          <w:sz w:val="16"/>
          <w:szCs w:val="16"/>
          <w:color w:val="auto"/>
        </w:rPr>
      </w:pPr>
      <w:r>
        <w:rPr>
          <w:rFonts w:ascii="Arial" w:cs="Arial" w:eastAsia="Arial" w:hAnsi="Arial"/>
          <w:sz w:val="16"/>
          <w:szCs w:val="16"/>
          <w:color w:val="auto"/>
        </w:rPr>
        <w:t>333 Clay Street, Suite 4620 Houston, Texas 77002 Phone: (713) 652-0582 www.oilstatesintl.com</w:t>
      </w:r>
    </w:p>
    <w:p>
      <w:pPr>
        <w:spacing w:after="0" w:line="161"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After the spin-off, if you have any questions relating to SpinCo, you should contact SpinCo at:</w:t>
      </w:r>
    </w:p>
    <w:p>
      <w:pPr>
        <w:spacing w:after="0" w:line="225" w:lineRule="exact"/>
        <w:rPr>
          <w:rFonts w:ascii="Arial" w:cs="Arial" w:eastAsia="Arial" w:hAnsi="Arial"/>
          <w:sz w:val="16"/>
          <w:szCs w:val="16"/>
          <w:color w:val="auto"/>
        </w:rPr>
      </w:pPr>
    </w:p>
    <w:p>
      <w:pPr>
        <w:ind w:left="628" w:right="6759"/>
        <w:spacing w:after="0" w:line="258" w:lineRule="auto"/>
        <w:rPr>
          <w:rFonts w:ascii="Arial" w:cs="Arial" w:eastAsia="Arial" w:hAnsi="Arial"/>
          <w:sz w:val="16"/>
          <w:szCs w:val="16"/>
          <w:color w:val="auto"/>
        </w:rPr>
      </w:pPr>
      <w:r>
        <w:rPr>
          <w:rFonts w:ascii="Arial" w:cs="Arial" w:eastAsia="Arial" w:hAnsi="Arial"/>
          <w:sz w:val="18"/>
          <w:szCs w:val="18"/>
          <w:color w:val="auto"/>
        </w:rPr>
        <w:t>OIS Accommodations SpinCo Inc. Attn: Investor Relations</w:t>
      </w:r>
    </w:p>
    <w:p>
      <w:pPr>
        <w:spacing w:after="0" w:line="1"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Three Allen Center</w:t>
      </w:r>
    </w:p>
    <w:p>
      <w:pPr>
        <w:spacing w:after="0" w:line="9" w:lineRule="exact"/>
        <w:rPr>
          <w:rFonts w:ascii="Arial" w:cs="Arial" w:eastAsia="Arial" w:hAnsi="Arial"/>
          <w:sz w:val="16"/>
          <w:szCs w:val="16"/>
          <w:color w:val="auto"/>
        </w:rPr>
      </w:pPr>
    </w:p>
    <w:p>
      <w:pPr>
        <w:ind w:left="628" w:right="7279"/>
        <w:spacing w:after="0" w:line="302" w:lineRule="auto"/>
        <w:rPr>
          <w:rFonts w:ascii="Arial" w:cs="Arial" w:eastAsia="Arial" w:hAnsi="Arial"/>
          <w:sz w:val="16"/>
          <w:szCs w:val="16"/>
          <w:color w:val="auto"/>
        </w:rPr>
      </w:pPr>
      <w:r>
        <w:rPr>
          <w:rFonts w:ascii="Arial" w:cs="Arial" w:eastAsia="Arial" w:hAnsi="Arial"/>
          <w:sz w:val="16"/>
          <w:szCs w:val="16"/>
          <w:color w:val="auto"/>
        </w:rPr>
        <w:t>333 Clay Street, Suite 4980 Houston, Texas 77002 Phone: (713) 652-0582</w:t>
      </w:r>
    </w:p>
    <w:p>
      <w:pPr>
        <w:spacing w:after="0" w:line="399" w:lineRule="exact"/>
        <w:rPr>
          <w:sz w:val="20"/>
          <w:szCs w:val="20"/>
          <w:color w:val="auto"/>
        </w:rPr>
      </w:pPr>
    </w:p>
    <w:p>
      <w:pPr>
        <w:ind w:left="528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887"/>
          </w:cols>
          <w:pgMar w:left="572" w:top="584"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4340" w:type="dxa"/>
            <w:vAlign w:val="bottom"/>
            <w:gridSpan w:val="2"/>
          </w:tcPr>
          <w:p>
            <w:pPr>
              <w:ind w:left="1980"/>
              <w:spacing w:after="0"/>
              <w:rPr>
                <w:sz w:val="20"/>
                <w:szCs w:val="20"/>
                <w:color w:val="auto"/>
              </w:rPr>
            </w:pPr>
            <w:r>
              <w:rPr>
                <w:rFonts w:ascii="Arial" w:cs="Arial" w:eastAsia="Arial" w:hAnsi="Arial"/>
                <w:sz w:val="18"/>
                <w:szCs w:val="18"/>
                <w:b w:val="1"/>
                <w:bCs w:val="1"/>
                <w:color w:val="auto"/>
              </w:rPr>
              <w:t>Summary of the Spin-Off</w:t>
            </w:r>
          </w:p>
        </w:tc>
        <w:tc>
          <w:tcPr>
            <w:tcW w:w="13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850"/>
        </w:trPr>
        <w:tc>
          <w:tcPr>
            <w:tcW w:w="2760" w:type="dxa"/>
            <w:vAlign w:val="bottom"/>
          </w:tcPr>
          <w:p>
            <w:pPr>
              <w:spacing w:after="0"/>
              <w:rPr>
                <w:sz w:val="20"/>
                <w:szCs w:val="20"/>
                <w:color w:val="auto"/>
              </w:rPr>
            </w:pPr>
            <w:r>
              <w:rPr>
                <w:rFonts w:ascii="Arial" w:cs="Arial" w:eastAsia="Arial" w:hAnsi="Arial"/>
                <w:sz w:val="18"/>
                <w:szCs w:val="18"/>
                <w:color w:val="auto"/>
              </w:rPr>
              <w:t>Distributing Company</w:t>
            </w: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6"/>
              </w:rPr>
              <w:t>Oil States International, Inc., a Delaware corporation. After the distribution, Oil States will not own any</w:t>
            </w:r>
          </w:p>
        </w:tc>
      </w:tr>
      <w:tr>
        <w:trPr>
          <w:trHeight w:val="230"/>
        </w:trPr>
        <w:tc>
          <w:tcPr>
            <w:tcW w:w="2760" w:type="dxa"/>
            <w:vAlign w:val="bottom"/>
          </w:tcPr>
          <w:p>
            <w:pPr>
              <w:spacing w:after="0"/>
              <w:rPr>
                <w:sz w:val="20"/>
                <w:szCs w:val="20"/>
                <w:color w:val="auto"/>
              </w:rPr>
            </w:pPr>
          </w:p>
        </w:tc>
        <w:tc>
          <w:tcPr>
            <w:tcW w:w="4340" w:type="dxa"/>
            <w:vAlign w:val="bottom"/>
            <w:gridSpan w:val="2"/>
          </w:tcPr>
          <w:p>
            <w:pPr>
              <w:ind w:left="820"/>
              <w:spacing w:after="0"/>
              <w:rPr>
                <w:sz w:val="20"/>
                <w:szCs w:val="20"/>
                <w:color w:val="auto"/>
              </w:rPr>
            </w:pPr>
            <w:r>
              <w:rPr>
                <w:rFonts w:ascii="Arial" w:cs="Arial" w:eastAsia="Arial" w:hAnsi="Arial"/>
                <w:sz w:val="18"/>
                <w:szCs w:val="18"/>
                <w:color w:val="auto"/>
              </w:rPr>
              <w:t>shares of SpinCo common stock.</w:t>
            </w:r>
          </w:p>
        </w:tc>
        <w:tc>
          <w:tcPr>
            <w:tcW w:w="13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Distributed Company</w:t>
            </w: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4"/>
              </w:rPr>
              <w:t>OIS Accommodations SpinCo Inc., a Delaware corporation and a wholly-owned subsidiary of Oil States.</w:t>
            </w:r>
          </w:p>
        </w:tc>
      </w:tr>
      <w:tr>
        <w:trPr>
          <w:trHeight w:val="230"/>
        </w:trPr>
        <w:tc>
          <w:tcPr>
            <w:tcW w:w="2760" w:type="dxa"/>
            <w:vAlign w:val="bottom"/>
          </w:tcPr>
          <w:p>
            <w:pPr>
              <w:spacing w:after="0"/>
              <w:rPr>
                <w:sz w:val="20"/>
                <w:szCs w:val="20"/>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rPr>
              <w:t>After the spin-off, SpinCo will be an independent, publicly owned company.</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Distributed Securities</w:t>
            </w: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5"/>
              </w:rPr>
              <w:t>All of the shares of SpinCo common stock owned by Oil States, which will be 100% of SpinCo common</w:t>
            </w:r>
          </w:p>
        </w:tc>
      </w:tr>
      <w:tr>
        <w:trPr>
          <w:trHeight w:val="230"/>
        </w:trPr>
        <w:tc>
          <w:tcPr>
            <w:tcW w:w="2760" w:type="dxa"/>
            <w:vAlign w:val="bottom"/>
          </w:tcPr>
          <w:p>
            <w:pPr>
              <w:spacing w:after="0"/>
              <w:rPr>
                <w:sz w:val="20"/>
                <w:szCs w:val="20"/>
                <w:color w:val="auto"/>
              </w:rPr>
            </w:pPr>
          </w:p>
        </w:tc>
        <w:tc>
          <w:tcPr>
            <w:tcW w:w="5680" w:type="dxa"/>
            <w:vAlign w:val="bottom"/>
            <w:gridSpan w:val="3"/>
          </w:tcPr>
          <w:p>
            <w:pPr>
              <w:ind w:left="820"/>
              <w:spacing w:after="0"/>
              <w:rPr>
                <w:sz w:val="20"/>
                <w:szCs w:val="20"/>
                <w:color w:val="auto"/>
              </w:rPr>
            </w:pPr>
            <w:r>
              <w:rPr>
                <w:rFonts w:ascii="Arial" w:cs="Arial" w:eastAsia="Arial" w:hAnsi="Arial"/>
                <w:sz w:val="18"/>
                <w:szCs w:val="18"/>
                <w:color w:val="auto"/>
                <w:w w:val="92"/>
              </w:rPr>
              <w:t>stock issued and outstanding immediately prior to the distribution.</w:t>
            </w:r>
          </w:p>
        </w:tc>
        <w:tc>
          <w:tcPr>
            <w:tcW w:w="2960" w:type="dxa"/>
            <w:vAlign w:val="bottom"/>
          </w:tcPr>
          <w:p>
            <w:pPr>
              <w:spacing w:after="0"/>
              <w:rPr>
                <w:sz w:val="20"/>
                <w:szCs w:val="20"/>
                <w:color w:val="auto"/>
              </w:rPr>
            </w:pP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Record Date</w:t>
            </w:r>
          </w:p>
        </w:tc>
        <w:tc>
          <w:tcPr>
            <w:tcW w:w="5680" w:type="dxa"/>
            <w:vAlign w:val="bottom"/>
            <w:gridSpan w:val="3"/>
          </w:tcPr>
          <w:p>
            <w:pPr>
              <w:ind w:left="820"/>
              <w:spacing w:after="0"/>
              <w:rPr>
                <w:sz w:val="20"/>
                <w:szCs w:val="20"/>
                <w:color w:val="auto"/>
              </w:rPr>
            </w:pPr>
            <w:r>
              <w:rPr>
                <w:rFonts w:ascii="Arial" w:cs="Arial" w:eastAsia="Arial" w:hAnsi="Arial"/>
                <w:sz w:val="18"/>
                <w:szCs w:val="18"/>
                <w:color w:val="auto"/>
                <w:w w:val="98"/>
              </w:rPr>
              <w:t>The record date for the distribution is the close of business on</w:t>
            </w:r>
          </w:p>
        </w:tc>
        <w:tc>
          <w:tcPr>
            <w:tcW w:w="2960" w:type="dxa"/>
            <w:vAlign w:val="bottom"/>
          </w:tcPr>
          <w:p>
            <w:pPr>
              <w:jc w:val="right"/>
              <w:ind w:right="2310"/>
              <w:spacing w:after="0"/>
              <w:rPr>
                <w:sz w:val="20"/>
                <w:szCs w:val="20"/>
                <w:color w:val="auto"/>
              </w:rPr>
            </w:pPr>
            <w:r>
              <w:rPr>
                <w:rFonts w:ascii="Arial" w:cs="Arial" w:eastAsia="Arial" w:hAnsi="Arial"/>
                <w:sz w:val="18"/>
                <w:szCs w:val="18"/>
                <w:color w:val="auto"/>
                <w:w w:val="98"/>
              </w:rPr>
              <w:t>, 2014.</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Distribution Date</w:t>
            </w:r>
          </w:p>
        </w:tc>
        <w:tc>
          <w:tcPr>
            <w:tcW w:w="2740" w:type="dxa"/>
            <w:vAlign w:val="bottom"/>
          </w:tcPr>
          <w:p>
            <w:pPr>
              <w:ind w:left="820"/>
              <w:spacing w:after="0"/>
              <w:rPr>
                <w:sz w:val="20"/>
                <w:szCs w:val="20"/>
                <w:color w:val="auto"/>
              </w:rPr>
            </w:pPr>
            <w:r>
              <w:rPr>
                <w:rFonts w:ascii="Arial" w:cs="Arial" w:eastAsia="Arial" w:hAnsi="Arial"/>
                <w:sz w:val="18"/>
                <w:szCs w:val="18"/>
                <w:color w:val="auto"/>
              </w:rPr>
              <w:t>The distribution date is</w:t>
            </w: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 2014.</w:t>
            </w:r>
          </w:p>
        </w:tc>
        <w:tc>
          <w:tcPr>
            <w:tcW w:w="13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Restructuring Transactions</w:t>
            </w: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3"/>
              </w:rPr>
              <w:t>As part of the spin-off, we will consummate certain restructuring transactions described under “The Spin-</w:t>
            </w:r>
          </w:p>
        </w:tc>
      </w:tr>
      <w:tr>
        <w:trPr>
          <w:trHeight w:val="216"/>
        </w:trPr>
        <w:tc>
          <w:tcPr>
            <w:tcW w:w="2760" w:type="dxa"/>
            <w:vAlign w:val="bottom"/>
          </w:tcPr>
          <w:p>
            <w:pPr>
              <w:spacing w:after="0"/>
              <w:rPr>
                <w:sz w:val="18"/>
                <w:szCs w:val="18"/>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8"/>
              </w:rPr>
              <w:t>Off—Restructuring Transactions,” including (i) the incurrence of additional debt, (ii) the payment of a</w:t>
            </w:r>
          </w:p>
        </w:tc>
      </w:tr>
      <w:tr>
        <w:trPr>
          <w:trHeight w:val="216"/>
        </w:trPr>
        <w:tc>
          <w:tcPr>
            <w:tcW w:w="2760" w:type="dxa"/>
            <w:vAlign w:val="bottom"/>
          </w:tcPr>
          <w:p>
            <w:pPr>
              <w:spacing w:after="0"/>
              <w:rPr>
                <w:sz w:val="18"/>
                <w:szCs w:val="18"/>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9"/>
              </w:rPr>
              <w:t>special dividend to Oil States and (iii) the contribution and transfer to us of the assets and liabilities</w:t>
            </w:r>
          </w:p>
        </w:tc>
      </w:tr>
      <w:tr>
        <w:trPr>
          <w:trHeight w:val="230"/>
        </w:trPr>
        <w:tc>
          <w:tcPr>
            <w:tcW w:w="2760" w:type="dxa"/>
            <w:vAlign w:val="bottom"/>
          </w:tcPr>
          <w:p>
            <w:pPr>
              <w:spacing w:after="0"/>
              <w:rPr>
                <w:sz w:val="20"/>
                <w:szCs w:val="20"/>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3"/>
              </w:rPr>
              <w:t>associated with our business. We will also amend and restate our certificate of incorporation and bylaws.</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Indebtedness</w:t>
            </w: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3"/>
              </w:rPr>
              <w:t>Upon the closing of the spin-off, we expect to enter into a $</w:t>
            </w:r>
            <w:r>
              <w:rPr>
                <w:rFonts w:ascii="Arial" w:cs="Arial" w:eastAsia="Arial" w:hAnsi="Arial"/>
                <w:sz w:val="18"/>
                <w:szCs w:val="18"/>
                <w:b w:val="1"/>
                <w:bCs w:val="1"/>
                <w:color w:val="auto"/>
                <w:w w:val="93"/>
              </w:rPr>
              <w:t>[</w:t>
            </w:r>
            <w:r>
              <w:rPr>
                <w:rFonts w:ascii="Arial" w:cs="Arial" w:eastAsia="Arial" w:hAnsi="Arial"/>
                <w:sz w:val="18"/>
                <w:szCs w:val="18"/>
                <w:color w:val="auto"/>
                <w:w w:val="93"/>
              </w:rPr>
              <w:t>●</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million, </w:t>
            </w:r>
            <w:r>
              <w:rPr>
                <w:rFonts w:ascii="Arial" w:cs="Arial" w:eastAsia="Arial" w:hAnsi="Arial"/>
                <w:sz w:val="18"/>
                <w:szCs w:val="18"/>
                <w:b w:val="1"/>
                <w:bCs w:val="1"/>
                <w:color w:val="auto"/>
                <w:w w:val="93"/>
              </w:rPr>
              <w:t>[</w:t>
            </w:r>
            <w:r>
              <w:rPr>
                <w:rFonts w:ascii="Arial" w:cs="Arial" w:eastAsia="Arial" w:hAnsi="Arial"/>
                <w:sz w:val="18"/>
                <w:szCs w:val="18"/>
                <w:color w:val="auto"/>
                <w:w w:val="93"/>
              </w:rPr>
              <w:t>●</w:t>
            </w:r>
            <w:r>
              <w:rPr>
                <w:rFonts w:ascii="Arial" w:cs="Arial" w:eastAsia="Arial" w:hAnsi="Arial"/>
                <w:sz w:val="18"/>
                <w:szCs w:val="18"/>
                <w:b w:val="1"/>
                <w:bCs w:val="1"/>
                <w:color w:val="auto"/>
                <w:w w:val="93"/>
              </w:rPr>
              <w:t>]</w:t>
            </w:r>
            <w:r>
              <w:rPr>
                <w:rFonts w:ascii="Arial" w:cs="Arial" w:eastAsia="Arial" w:hAnsi="Arial"/>
                <w:sz w:val="18"/>
                <w:szCs w:val="18"/>
                <w:color w:val="auto"/>
                <w:w w:val="93"/>
              </w:rPr>
              <w:t>-year credit facility. We have not</w:t>
            </w:r>
          </w:p>
        </w:tc>
      </w:tr>
      <w:tr>
        <w:trPr>
          <w:trHeight w:val="212"/>
        </w:trPr>
        <w:tc>
          <w:tcPr>
            <w:tcW w:w="2760" w:type="dxa"/>
            <w:vAlign w:val="bottom"/>
          </w:tcPr>
          <w:p>
            <w:pPr>
              <w:spacing w:after="0"/>
              <w:rPr>
                <w:sz w:val="18"/>
                <w:szCs w:val="18"/>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5"/>
              </w:rPr>
              <w:t>obtained a financing commitment for the credit facility. Amounts outstanding under the credit facility are</w:t>
            </w:r>
          </w:p>
        </w:tc>
      </w:tr>
      <w:tr>
        <w:trPr>
          <w:trHeight w:val="220"/>
        </w:trPr>
        <w:tc>
          <w:tcPr>
            <w:tcW w:w="2760" w:type="dxa"/>
            <w:vAlign w:val="bottom"/>
          </w:tcPr>
          <w:p>
            <w:pPr>
              <w:spacing w:after="0"/>
              <w:rPr>
                <w:sz w:val="19"/>
                <w:szCs w:val="19"/>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5"/>
              </w:rPr>
              <w:t xml:space="preserve">initially expected to bear variable-rate interest at </w:t>
            </w:r>
            <w:r>
              <w:rPr>
                <w:rFonts w:ascii="Arial" w:cs="Arial" w:eastAsia="Arial" w:hAnsi="Arial"/>
                <w:sz w:val="18"/>
                <w:szCs w:val="18"/>
                <w:b w:val="1"/>
                <w:bCs w:val="1"/>
                <w:color w:val="auto"/>
                <w:w w:val="95"/>
              </w:rPr>
              <w:t>[</w:t>
            </w:r>
            <w:r>
              <w:rPr>
                <w:rFonts w:ascii="Arial" w:cs="Arial" w:eastAsia="Arial" w:hAnsi="Arial"/>
                <w:sz w:val="18"/>
                <w:szCs w:val="18"/>
                <w:color w:val="auto"/>
                <w:w w:val="95"/>
              </w:rPr>
              <w:t>●</w:t>
            </w:r>
            <w:r>
              <w:rPr>
                <w:rFonts w:ascii="Arial" w:cs="Arial" w:eastAsia="Arial" w:hAnsi="Arial"/>
                <w:sz w:val="18"/>
                <w:szCs w:val="18"/>
                <w:b w:val="1"/>
                <w:bCs w:val="1"/>
                <w:color w:val="auto"/>
                <w:w w:val="95"/>
              </w:rPr>
              <w:t>]</w:t>
            </w:r>
            <w:r>
              <w:rPr>
                <w:rFonts w:ascii="Arial" w:cs="Arial" w:eastAsia="Arial" w:hAnsi="Arial"/>
                <w:sz w:val="18"/>
                <w:szCs w:val="18"/>
                <w:color w:val="auto"/>
                <w:w w:val="95"/>
              </w:rPr>
              <w:t>%. See “Description of Material Indebtedness” for a</w:t>
            </w:r>
          </w:p>
        </w:tc>
      </w:tr>
      <w:tr>
        <w:trPr>
          <w:trHeight w:val="230"/>
        </w:trPr>
        <w:tc>
          <w:tcPr>
            <w:tcW w:w="2760" w:type="dxa"/>
            <w:vAlign w:val="bottom"/>
          </w:tcPr>
          <w:p>
            <w:pPr>
              <w:spacing w:after="0"/>
              <w:rPr>
                <w:sz w:val="20"/>
                <w:szCs w:val="20"/>
                <w:color w:val="auto"/>
              </w:rPr>
            </w:pPr>
          </w:p>
        </w:tc>
        <w:tc>
          <w:tcPr>
            <w:tcW w:w="4340" w:type="dxa"/>
            <w:vAlign w:val="bottom"/>
            <w:gridSpan w:val="2"/>
          </w:tcPr>
          <w:p>
            <w:pPr>
              <w:ind w:left="820"/>
              <w:spacing w:after="0"/>
              <w:rPr>
                <w:sz w:val="20"/>
                <w:szCs w:val="20"/>
                <w:color w:val="auto"/>
              </w:rPr>
            </w:pPr>
            <w:r>
              <w:rPr>
                <w:rFonts w:ascii="Arial" w:cs="Arial" w:eastAsia="Arial" w:hAnsi="Arial"/>
                <w:sz w:val="18"/>
                <w:szCs w:val="18"/>
                <w:color w:val="auto"/>
                <w:w w:val="92"/>
              </w:rPr>
              <w:t>more detailed description of these transactions.</w:t>
            </w:r>
          </w:p>
        </w:tc>
        <w:tc>
          <w:tcPr>
            <w:tcW w:w="13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Distribution Ratio</w:t>
            </w: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7"/>
              </w:rPr>
              <w:t>Each Oil States stockholder will receive shares of SpinCo common stock for each share of Oil States</w:t>
            </w:r>
          </w:p>
        </w:tc>
      </w:tr>
      <w:tr>
        <w:trPr>
          <w:trHeight w:val="230"/>
        </w:trPr>
        <w:tc>
          <w:tcPr>
            <w:tcW w:w="2760" w:type="dxa"/>
            <w:vAlign w:val="bottom"/>
          </w:tcPr>
          <w:p>
            <w:pPr>
              <w:spacing w:after="0"/>
              <w:rPr>
                <w:sz w:val="20"/>
                <w:szCs w:val="20"/>
                <w:color w:val="auto"/>
              </w:rPr>
            </w:pPr>
          </w:p>
        </w:tc>
        <w:tc>
          <w:tcPr>
            <w:tcW w:w="4340" w:type="dxa"/>
            <w:vAlign w:val="bottom"/>
            <w:gridSpan w:val="2"/>
          </w:tcPr>
          <w:p>
            <w:pPr>
              <w:ind w:left="820"/>
              <w:spacing w:after="0"/>
              <w:rPr>
                <w:sz w:val="20"/>
                <w:szCs w:val="20"/>
                <w:color w:val="auto"/>
              </w:rPr>
            </w:pPr>
            <w:r>
              <w:rPr>
                <w:rFonts w:ascii="Arial" w:cs="Arial" w:eastAsia="Arial" w:hAnsi="Arial"/>
                <w:sz w:val="18"/>
                <w:szCs w:val="18"/>
                <w:color w:val="auto"/>
              </w:rPr>
              <w:t>common stock held by such stockholder on</w:t>
            </w:r>
          </w:p>
        </w:tc>
        <w:tc>
          <w:tcPr>
            <w:tcW w:w="1340" w:type="dxa"/>
            <w:vAlign w:val="bottom"/>
          </w:tcPr>
          <w:p>
            <w:pPr>
              <w:jc w:val="right"/>
              <w:ind w:right="630"/>
              <w:spacing w:after="0"/>
              <w:rPr>
                <w:sz w:val="20"/>
                <w:szCs w:val="20"/>
                <w:color w:val="auto"/>
              </w:rPr>
            </w:pPr>
            <w:r>
              <w:rPr>
                <w:rFonts w:ascii="Arial" w:cs="Arial" w:eastAsia="Arial" w:hAnsi="Arial"/>
                <w:sz w:val="18"/>
                <w:szCs w:val="18"/>
                <w:color w:val="auto"/>
              </w:rPr>
              <w:t>, 2014.</w:t>
            </w:r>
          </w:p>
        </w:tc>
        <w:tc>
          <w:tcPr>
            <w:tcW w:w="296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Distribution Method</w:t>
            </w: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5"/>
              </w:rPr>
              <w:t>SpinCo common stock will be issued only by direct registration in book-entry form. Registration in book</w:t>
            </w:r>
          </w:p>
        </w:tc>
      </w:tr>
      <w:tr>
        <w:trPr>
          <w:trHeight w:val="216"/>
        </w:trPr>
        <w:tc>
          <w:tcPr>
            <w:tcW w:w="2760" w:type="dxa"/>
            <w:vAlign w:val="bottom"/>
          </w:tcPr>
          <w:p>
            <w:pPr>
              <w:spacing w:after="0"/>
              <w:rPr>
                <w:sz w:val="18"/>
                <w:szCs w:val="18"/>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6"/>
              </w:rPr>
              <w:t>entry form is a method of recording stock ownership when no physical paper certificates are issued to</w:t>
            </w:r>
          </w:p>
        </w:tc>
      </w:tr>
      <w:tr>
        <w:trPr>
          <w:trHeight w:val="230"/>
        </w:trPr>
        <w:tc>
          <w:tcPr>
            <w:tcW w:w="2760" w:type="dxa"/>
            <w:vAlign w:val="bottom"/>
          </w:tcPr>
          <w:p>
            <w:pPr>
              <w:spacing w:after="0"/>
              <w:rPr>
                <w:sz w:val="20"/>
                <w:szCs w:val="20"/>
                <w:color w:val="auto"/>
              </w:rPr>
            </w:pPr>
          </w:p>
        </w:tc>
        <w:tc>
          <w:tcPr>
            <w:tcW w:w="4340" w:type="dxa"/>
            <w:vAlign w:val="bottom"/>
            <w:gridSpan w:val="2"/>
          </w:tcPr>
          <w:p>
            <w:pPr>
              <w:ind w:left="820"/>
              <w:spacing w:after="0"/>
              <w:rPr>
                <w:sz w:val="20"/>
                <w:szCs w:val="20"/>
                <w:color w:val="auto"/>
              </w:rPr>
            </w:pPr>
            <w:r>
              <w:rPr>
                <w:rFonts w:ascii="Arial" w:cs="Arial" w:eastAsia="Arial" w:hAnsi="Arial"/>
                <w:sz w:val="18"/>
                <w:szCs w:val="18"/>
                <w:color w:val="auto"/>
                <w:w w:val="94"/>
              </w:rPr>
              <w:t>stockholders, as is the case in this distribution.</w:t>
            </w:r>
          </w:p>
        </w:tc>
        <w:tc>
          <w:tcPr>
            <w:tcW w:w="13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Fractional Shares</w:t>
            </w: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8"/>
              </w:rPr>
              <w:t>The distribution agent will not distribute any fractional shares of SpinCo common stock to Oil States</w:t>
            </w:r>
          </w:p>
        </w:tc>
      </w:tr>
      <w:tr>
        <w:trPr>
          <w:trHeight w:val="216"/>
        </w:trPr>
        <w:tc>
          <w:tcPr>
            <w:tcW w:w="2760" w:type="dxa"/>
            <w:vAlign w:val="bottom"/>
          </w:tcPr>
          <w:p>
            <w:pPr>
              <w:spacing w:after="0"/>
              <w:rPr>
                <w:sz w:val="18"/>
                <w:szCs w:val="18"/>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2"/>
              </w:rPr>
              <w:t>stockholders. Fractional shares of SpinCo common stock to which Oil States stockholders of record would</w:t>
            </w:r>
          </w:p>
        </w:tc>
      </w:tr>
      <w:tr>
        <w:trPr>
          <w:trHeight w:val="216"/>
        </w:trPr>
        <w:tc>
          <w:tcPr>
            <w:tcW w:w="2760" w:type="dxa"/>
            <w:vAlign w:val="bottom"/>
          </w:tcPr>
          <w:p>
            <w:pPr>
              <w:spacing w:after="0"/>
              <w:rPr>
                <w:sz w:val="18"/>
                <w:szCs w:val="18"/>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9"/>
              </w:rPr>
              <w:t>otherwise be entitled will be aggregated and sold in the public market by the distribution agent. The</w:t>
            </w:r>
          </w:p>
        </w:tc>
      </w:tr>
      <w:tr>
        <w:trPr>
          <w:trHeight w:val="216"/>
        </w:trPr>
        <w:tc>
          <w:tcPr>
            <w:tcW w:w="2760" w:type="dxa"/>
            <w:vAlign w:val="bottom"/>
          </w:tcPr>
          <w:p>
            <w:pPr>
              <w:spacing w:after="0"/>
              <w:rPr>
                <w:sz w:val="18"/>
                <w:szCs w:val="18"/>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97"/>
              </w:rPr>
              <w:t>aggregate net cash proceeds of the sales will be distributed ratably to those stockholders who would</w:t>
            </w:r>
          </w:p>
        </w:tc>
      </w:tr>
      <w:tr>
        <w:trPr>
          <w:trHeight w:val="216"/>
        </w:trPr>
        <w:tc>
          <w:tcPr>
            <w:tcW w:w="2760" w:type="dxa"/>
            <w:vAlign w:val="bottom"/>
          </w:tcPr>
          <w:p>
            <w:pPr>
              <w:spacing w:after="0"/>
              <w:rPr>
                <w:sz w:val="18"/>
                <w:szCs w:val="18"/>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89"/>
              </w:rPr>
              <w:t>otherwise have received fractional shares of SpinCo common stock. Proceeds from these sales will generally</w:t>
            </w:r>
          </w:p>
        </w:tc>
      </w:tr>
      <w:tr>
        <w:trPr>
          <w:trHeight w:val="230"/>
        </w:trPr>
        <w:tc>
          <w:tcPr>
            <w:tcW w:w="2760" w:type="dxa"/>
            <w:vAlign w:val="bottom"/>
          </w:tcPr>
          <w:p>
            <w:pPr>
              <w:spacing w:after="0"/>
              <w:rPr>
                <w:sz w:val="20"/>
                <w:szCs w:val="20"/>
                <w:color w:val="auto"/>
              </w:rPr>
            </w:pPr>
          </w:p>
        </w:tc>
        <w:tc>
          <w:tcPr>
            <w:tcW w:w="8640" w:type="dxa"/>
            <w:vAlign w:val="bottom"/>
            <w:gridSpan w:val="4"/>
          </w:tcPr>
          <w:p>
            <w:pPr>
              <w:ind w:left="820"/>
              <w:spacing w:after="0"/>
              <w:rPr>
                <w:sz w:val="20"/>
                <w:szCs w:val="20"/>
                <w:color w:val="auto"/>
              </w:rPr>
            </w:pPr>
            <w:r>
              <w:rPr>
                <w:rFonts w:ascii="Arial" w:cs="Arial" w:eastAsia="Arial" w:hAnsi="Arial"/>
                <w:sz w:val="18"/>
                <w:szCs w:val="18"/>
                <w:color w:val="auto"/>
                <w:w w:val="89"/>
              </w:rPr>
              <w:t>result in a taxable gain or loss to those stockholders. Each stockholder entitled to receive cash proceeds from</w:t>
            </w:r>
          </w:p>
        </w:tc>
      </w:tr>
    </w:tbl>
    <w:p>
      <w:pPr>
        <w:ind w:left="3580" w:right="80"/>
        <w:spacing w:after="0" w:line="255" w:lineRule="auto"/>
        <w:rPr>
          <w:sz w:val="20"/>
          <w:szCs w:val="20"/>
          <w:color w:val="auto"/>
        </w:rPr>
      </w:pPr>
      <w:r>
        <w:rPr>
          <w:rFonts w:ascii="Arial" w:cs="Arial" w:eastAsia="Arial" w:hAnsi="Arial"/>
          <w:sz w:val="18"/>
          <w:szCs w:val="18"/>
          <w:color w:val="auto"/>
        </w:rPr>
        <w:t>these shares should consult his, her or its own tax advisor as to such stockholder’s particular circumstances. The tax consequences of the distribution are described in more detail under “The Spin-Off—U.S. Federal Income Tax Consequences of the Spin-Off.”</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Conditions to the Spin-Off</w:t>
            </w:r>
          </w:p>
        </w:tc>
        <w:tc>
          <w:tcPr>
            <w:tcW w:w="8700" w:type="dxa"/>
            <w:vAlign w:val="bottom"/>
          </w:tcPr>
          <w:p>
            <w:pPr>
              <w:ind w:left="820"/>
              <w:spacing w:after="0"/>
              <w:rPr>
                <w:sz w:val="20"/>
                <w:szCs w:val="20"/>
                <w:color w:val="auto"/>
              </w:rPr>
            </w:pPr>
            <w:r>
              <w:rPr>
                <w:rFonts w:ascii="Arial" w:cs="Arial" w:eastAsia="Arial" w:hAnsi="Arial"/>
                <w:sz w:val="18"/>
                <w:szCs w:val="18"/>
                <w:color w:val="auto"/>
                <w:w w:val="92"/>
              </w:rPr>
              <w:t>The spin-off is subject to the satisfaction or waiver by Oil States of the following conditions, as well as other</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conditions described in this information statement in “The Spin-Off—Conditions to the Spin-Off”:</w:t>
            </w:r>
          </w:p>
        </w:tc>
      </w:tr>
      <w:tr>
        <w:trPr>
          <w:trHeight w:val="418"/>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8"/>
              </w:rPr>
              <w:t>●   the Securities and Exchange Commission (the “SEC”) will have declared effective our registration</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2"/>
              </w:rPr>
              <w:t>statement on Form 10, of which this information statement is a part, under the Securities Exchange Act</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of 1934, as amended (the “Exchange Act”), no stop order suspending the effectiveness of the</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1"/>
              </w:rPr>
              <w:t>registration statement shall be in effect, and no proceedings for such purpose shall be pending before or</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threatened by the SEC;</w:t>
            </w:r>
          </w:p>
        </w:tc>
      </w:tr>
      <w:tr>
        <w:trPr>
          <w:trHeight w:val="418"/>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5"/>
              </w:rPr>
              <w:t>●   any required actions and filings with regard to state securities and blue sky laws of the United States</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3"/>
              </w:rPr>
              <w:t>(and any comparable laws under any foreign jurisdiction) will have been taken and, where applicable,</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have become effective or been accepted;</w:t>
            </w:r>
          </w:p>
        </w:tc>
      </w:tr>
      <w:tr>
        <w:trPr>
          <w:trHeight w:val="418"/>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   the SpinCo common stock will have been authorized for listing on the NYSE or another national</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securities exchange approved by Oil States, subject to official notice of issuance;</w:t>
            </w:r>
          </w:p>
        </w:tc>
      </w:tr>
      <w:tr>
        <w:trPr>
          <w:trHeight w:val="418"/>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9"/>
              </w:rPr>
              <w:t>●   prior to the spin-off, this information statement will have been mailed to the holders of Oil States</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common stock as of the record date;</w:t>
            </w:r>
          </w:p>
        </w:tc>
      </w:tr>
      <w:tr>
        <w:trPr>
          <w:trHeight w:val="418"/>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4"/>
              </w:rPr>
              <w:t>●   Oil States shall have received a private letter ruling to the effect that, among other things, the spin-off</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1"/>
              </w:rPr>
              <w:t>will qualify as a transaction that is tax-free for U.S. federal income tax purposes under Sections 355 and</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3"/>
              </w:rPr>
              <w:t>368(a)(1)(D) of the Code, and such private letter ruling shall not have been revoked or modified in any</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material respect;</w:t>
            </w:r>
          </w:p>
        </w:tc>
      </w:tr>
      <w:tr>
        <w:trPr>
          <w:trHeight w:val="418"/>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6"/>
              </w:rPr>
              <w:t>●   Oil States shall have received an opinion from tax counsel, in form and substance acceptable to Oil</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1"/>
              </w:rPr>
              <w:t>States and which shall remain in full force and effect, as to certain matters affecting the tax treatment of</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the spin-off on which the IRS will not rule;</w:t>
            </w:r>
          </w:p>
        </w:tc>
      </w:tr>
      <w:tr>
        <w:trPr>
          <w:trHeight w:val="418"/>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6"/>
              </w:rPr>
              <w:t>●   no order, injunction, decree or regulation issued by any court or agency of competent jurisdiction or</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other legal restraint or prohibition preventing the consummation of the spin-off will be in effect;</w:t>
            </w:r>
          </w:p>
        </w:tc>
      </w:tr>
      <w:tr>
        <w:trPr>
          <w:trHeight w:val="418"/>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2"/>
              </w:rPr>
              <w:t>●   any government approvals and other material consents necessary to consummate the spin-off will have</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been obtained and be in full force and effect.</w:t>
            </w:r>
          </w:p>
        </w:tc>
      </w:tr>
      <w:tr>
        <w:trPr>
          <w:trHeight w:val="418"/>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4"/>
              </w:rPr>
              <w:t>The fulfillment of the foregoing conditions does not create any obligations on Oil States’ part to effect the</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7"/>
              </w:rPr>
              <w:t>spin-off, and the Oil States board of directors has reserved the right, in its sole discretion, to abandon,</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modify or change the terms of the spin-off, including by accelerating or delaying the timing of the</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consummation of all or part of the spin-off, at any time prior to the distribution date.</w:t>
            </w:r>
          </w:p>
        </w:tc>
      </w:tr>
      <w:tr>
        <w:trPr>
          <w:trHeight w:val="675"/>
        </w:trPr>
        <w:tc>
          <w:tcPr>
            <w:tcW w:w="2760" w:type="dxa"/>
            <w:vAlign w:val="bottom"/>
          </w:tcPr>
          <w:p>
            <w:pPr>
              <w:spacing w:after="0"/>
              <w:rPr>
                <w:sz w:val="24"/>
                <w:szCs w:val="24"/>
                <w:color w:val="auto"/>
              </w:rPr>
            </w:pPr>
          </w:p>
        </w:tc>
        <w:tc>
          <w:tcPr>
            <w:tcW w:w="8700" w:type="dxa"/>
            <w:vAlign w:val="bottom"/>
          </w:tcPr>
          <w:p>
            <w:pPr>
              <w:ind w:left="2860"/>
              <w:spacing w:after="0"/>
              <w:rPr>
                <w:sz w:val="20"/>
                <w:szCs w:val="20"/>
                <w:color w:val="auto"/>
              </w:rPr>
            </w:pPr>
            <w:r>
              <w:rPr>
                <w:rFonts w:ascii="Arial" w:cs="Arial" w:eastAsia="Arial" w:hAnsi="Arial"/>
                <w:sz w:val="18"/>
                <w:szCs w:val="18"/>
                <w:color w:val="auto"/>
              </w:rPr>
              <w:t>12</w:t>
            </w:r>
          </w:p>
        </w:tc>
      </w:tr>
      <w:tr>
        <w:trPr>
          <w:trHeight w:val="105"/>
        </w:trPr>
        <w:tc>
          <w:tcPr>
            <w:tcW w:w="2760" w:type="dxa"/>
            <w:vAlign w:val="bottom"/>
          </w:tcPr>
          <w:p>
            <w:pPr>
              <w:spacing w:after="0"/>
              <w:rPr>
                <w:sz w:val="9"/>
                <w:szCs w:val="9"/>
                <w:color w:val="auto"/>
              </w:rPr>
            </w:pPr>
          </w:p>
        </w:tc>
        <w:tc>
          <w:tcPr>
            <w:tcW w:w="8700" w:type="dxa"/>
            <w:vAlign w:val="bottom"/>
          </w:tcPr>
          <w:p>
            <w:pPr>
              <w:spacing w:after="0"/>
              <w:rPr>
                <w:sz w:val="9"/>
                <w:szCs w:val="9"/>
                <w:color w:val="auto"/>
              </w:rPr>
            </w:pPr>
          </w:p>
        </w:tc>
      </w:tr>
      <w:tr>
        <w:trPr>
          <w:trHeight w:val="61"/>
        </w:trPr>
        <w:tc>
          <w:tcPr>
            <w:tcW w:w="2760" w:type="dxa"/>
            <w:vAlign w:val="bottom"/>
            <w:shd w:val="clear" w:color="auto" w:fill="808080"/>
          </w:tcPr>
          <w:p>
            <w:pPr>
              <w:spacing w:after="0"/>
              <w:rPr>
                <w:sz w:val="5"/>
                <w:szCs w:val="5"/>
                <w:color w:val="auto"/>
              </w:rPr>
            </w:pPr>
          </w:p>
        </w:tc>
        <w:tc>
          <w:tcPr>
            <w:tcW w:w="8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0" w:type="dxa"/>
            <w:vAlign w:val="bottom"/>
          </w:tcPr>
          <w:p>
            <w:pPr>
              <w:spacing w:after="0"/>
              <w:rPr>
                <w:sz w:val="20"/>
                <w:szCs w:val="20"/>
                <w:color w:val="auto"/>
              </w:rPr>
            </w:pPr>
            <w:r>
              <w:rPr>
                <w:rFonts w:ascii="Arial" w:cs="Arial" w:eastAsia="Arial" w:hAnsi="Arial"/>
                <w:sz w:val="18"/>
                <w:szCs w:val="18"/>
                <w:color w:val="auto"/>
              </w:rPr>
              <w:t>Trading Market and Symbol</w:t>
            </w: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We have filed an application to list SpinCo common stock on the NYSE under the ticker symbol “</w:t>
            </w:r>
            <w:r>
              <w:rPr>
                <w:rFonts w:ascii="Arial" w:cs="Arial" w:eastAsia="Arial" w:hAnsi="Arial"/>
                <w:sz w:val="18"/>
                <w:szCs w:val="18"/>
                <w:b w:val="1"/>
                <w:bCs w:val="1"/>
                <w:color w:val="auto"/>
                <w:w w:val="94"/>
              </w:rPr>
              <w:t>[</w:t>
            </w:r>
            <w:r>
              <w:rPr>
                <w:rFonts w:ascii="Arial" w:cs="Arial" w:eastAsia="Arial" w:hAnsi="Arial"/>
                <w:sz w:val="18"/>
                <w:szCs w:val="18"/>
                <w:color w:val="auto"/>
                <w:w w:val="94"/>
              </w:rPr>
              <w:t>●</w:t>
            </w:r>
            <w:r>
              <w:rPr>
                <w:rFonts w:ascii="Arial" w:cs="Arial" w:eastAsia="Arial" w:hAnsi="Arial"/>
                <w:sz w:val="18"/>
                <w:szCs w:val="18"/>
                <w:b w:val="1"/>
                <w:bCs w:val="1"/>
                <w:color w:val="auto"/>
                <w:w w:val="94"/>
              </w:rPr>
              <w:t>]</w:t>
            </w:r>
            <w:r>
              <w:rPr>
                <w:rFonts w:ascii="Arial" w:cs="Arial" w:eastAsia="Arial" w:hAnsi="Arial"/>
                <w:sz w:val="18"/>
                <w:szCs w:val="18"/>
                <w:color w:val="auto"/>
                <w:w w:val="94"/>
              </w:rPr>
              <w:t>” We</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anticipate that, on or shortly before the record date, trading of shares of SpinCo common stock will begin on</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a “when-issued” basis and will continue up to and including the distribution date, and we expect “regular-</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way” trading of SpinCo common stock will begin the first trading day after the distribution date. We also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anticipate that, on or shortly before the record date, there will be two markets in Oil States common stock: a</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regular-way market on which shares of Oil States common stock will trade with an entitlement to shares of</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7"/>
              </w:rPr>
              <w:t>SpinCo common stock to be distributed pursuant to the distribution, and an “ex-distribution” market on</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5"/>
              </w:rPr>
              <w:t>which shares of Oil States common stock will trade without an entitlement to shares of SpinCo common</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stock. For more information, see “Trading Market.”</w:t>
            </w: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Tax Consequences</w:t>
            </w: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Oil States has received a private letter ruling from the IRS substantially to the effect that, for U.S. federal</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income tax purposes, (i) certain transactions to be effected in connection with the separation qualify as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transactions under Sections 355 and/or 368(a) of the Code and (ii) the distribution generally qualifies as a</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tax-free transaction under Section 355 and Section 368(a)(1)(D) of the Code. Further, Oil States will receive</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8"/>
              </w:rPr>
              <w:t>an opinion from its tax counsel in form and substance acceptable to Oil States, which will rely on the</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8"/>
              </w:rPr>
              <w:t>effectiveness of the private letter ruling, with respect to certain matters on which the IRS will not rule.</w:t>
            </w:r>
          </w:p>
        </w:tc>
      </w:tr>
      <w:tr>
        <w:trPr>
          <w:trHeight w:val="418"/>
        </w:trPr>
        <w:tc>
          <w:tcPr>
            <w:tcW w:w="2800" w:type="dxa"/>
            <w:vAlign w:val="bottom"/>
          </w:tcPr>
          <w:p>
            <w:pPr>
              <w:spacing w:after="0"/>
              <w:rPr>
                <w:sz w:val="24"/>
                <w:szCs w:val="24"/>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Accordingly, the contribution, distribution and related transactions will qualify as a tax-free transactions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under Section 355 and/or Section 368(a)(1)(D) of the Code, for U.S. federal income tax purposes, except for</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9"/>
              </w:rPr>
              <w:t>gain realized on the receipt of cash paid in lieu of fractional shares, no gain or loss will generally be</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8"/>
              </w:rPr>
              <w:t>recognized by an Oil States shareholder, and no amount generally will be included in such Oil States</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shareholder’s taxable income, as a result of the spin-off.</w:t>
            </w:r>
          </w:p>
        </w:tc>
      </w:tr>
      <w:tr>
        <w:trPr>
          <w:trHeight w:val="418"/>
        </w:trPr>
        <w:tc>
          <w:tcPr>
            <w:tcW w:w="2800" w:type="dxa"/>
            <w:vAlign w:val="bottom"/>
          </w:tcPr>
          <w:p>
            <w:pPr>
              <w:spacing w:after="0"/>
              <w:rPr>
                <w:sz w:val="24"/>
                <w:szCs w:val="24"/>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For a more detailed description of the U.S. federal income tax consequences of the spin-off, see “The Spin-</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Off—U.S. Federal Income Tax Consequences of the Spin-Off.”</w:t>
            </w:r>
          </w:p>
        </w:tc>
      </w:tr>
      <w:tr>
        <w:trPr>
          <w:trHeight w:val="414"/>
        </w:trPr>
        <w:tc>
          <w:tcPr>
            <w:tcW w:w="2800" w:type="dxa"/>
            <w:vAlign w:val="bottom"/>
          </w:tcPr>
          <w:p>
            <w:pPr>
              <w:spacing w:after="0"/>
              <w:rPr>
                <w:sz w:val="24"/>
                <w:szCs w:val="24"/>
                <w:color w:val="auto"/>
              </w:rPr>
            </w:pPr>
          </w:p>
        </w:tc>
        <w:tc>
          <w:tcPr>
            <w:tcW w:w="8660" w:type="dxa"/>
            <w:vAlign w:val="bottom"/>
          </w:tcPr>
          <w:p>
            <w:pPr>
              <w:ind w:left="780"/>
              <w:spacing w:after="0"/>
              <w:rPr>
                <w:sz w:val="20"/>
                <w:szCs w:val="20"/>
                <w:color w:val="auto"/>
              </w:rPr>
            </w:pPr>
            <w:r>
              <w:rPr>
                <w:rFonts w:ascii="Arial" w:cs="Arial" w:eastAsia="Arial" w:hAnsi="Arial"/>
                <w:sz w:val="18"/>
                <w:szCs w:val="18"/>
                <w:b w:val="1"/>
                <w:bCs w:val="1"/>
                <w:color w:val="auto"/>
                <w:w w:val="90"/>
              </w:rPr>
              <w:t>Each stockholder is urged to consult his, her or its tax advisor as to the specific tax consequences of</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b w:val="1"/>
                <w:bCs w:val="1"/>
                <w:color w:val="auto"/>
                <w:w w:val="93"/>
              </w:rPr>
              <w:t>the spin-off to such stockholder, including the effect of any state, local or non-U.S. tax laws and of</w:t>
            </w:r>
          </w:p>
        </w:tc>
      </w:tr>
      <w:tr>
        <w:trPr>
          <w:trHeight w:val="234"/>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b w:val="1"/>
                <w:bCs w:val="1"/>
                <w:color w:val="auto"/>
              </w:rPr>
              <w:t>changes in applicable tax laws.</w:t>
            </w: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Relationship with Oil States</w:t>
            </w:r>
          </w:p>
        </w:tc>
        <w:tc>
          <w:tcPr>
            <w:tcW w:w="8660" w:type="dxa"/>
            <w:vAlign w:val="bottom"/>
          </w:tcPr>
          <w:p>
            <w:pPr>
              <w:spacing w:after="0"/>
              <w:rPr>
                <w:sz w:val="24"/>
                <w:szCs w:val="24"/>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after the Spin-Off</w:t>
            </w: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We will enter into a separation and distribution agreement and other ancillary agreements with Oil States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7"/>
              </w:rPr>
              <w:t>related to the spin-off. These agreements will govern the relationship between us and Oil States after</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8"/>
              </w:rPr>
              <w:t>completion of the spin-off and provide for the allocation between us and Oil States of various assets,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liabilities and obligations. We intend to enter into a transition services agreement with Oil States pursuant to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7"/>
              </w:rPr>
              <w:t>which certain services will be provided on an interim basis following the distribution. We also intend to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5"/>
              </w:rPr>
              <w:t>enter into an employee matters agreement that will set forth the agreements between Oil States and us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0"/>
              </w:rPr>
              <w:t>concerning certain employee compensation and benefit matters. Further, we intend to enter into a tax sharing</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agreement with Oil States regarding the respective rights, responsibilities, and obligations of Oil States and</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us with respect to the payment of taxes, filing of tax returns, reimbursements of taxes, control of audits and</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other tax proceedings, liability for taxes that may be triggered as a result of the spin-off and other matters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regarding taxes. We describe these arrangements in greater detail under “Arrangements Between Oil States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and Our Company,” and describe some of the risks of these arrangements under “Risk Factors—Risks</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Related to the Spin-Off.”</w:t>
            </w: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Indemnities</w:t>
            </w: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We will indemnify Oil States under the tax sharing agreement for taxes incurred as a result of the failure of</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the spin-off to qualify as tax-free under Section 355 and Section 368(a)(1)(D) of the Code, to the extent</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0"/>
              </w:rPr>
              <w:t>caused by our breach of any representations or covenants made in the tax sharing agreement, the separation</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and distribution agreement, or made in connection with the private letter ruling and the tax opinion or by any</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other action taken by us. See “Arrangements Between Oil States and Our Company—Tax Sharing</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Agreement.” In addition, under the separation and distribution agreement and indemnification and release</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agreement, we will also indemnify Oil States and its remaining subsidiaries against various claims and</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liabilities relating to the past operation of our business. In addition, we have agreed to pay 50% of any taxes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arising from the spin-off to the extent that the tax is not attributable to the fault of either party. See</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“Arrangements Between Oil States and Our Company.”</w:t>
            </w:r>
          </w:p>
        </w:tc>
      </w:tr>
      <w:tr>
        <w:trPr>
          <w:trHeight w:val="675"/>
        </w:trPr>
        <w:tc>
          <w:tcPr>
            <w:tcW w:w="2800" w:type="dxa"/>
            <w:vAlign w:val="bottom"/>
          </w:tcPr>
          <w:p>
            <w:pPr>
              <w:spacing w:after="0"/>
              <w:rPr>
                <w:sz w:val="24"/>
                <w:szCs w:val="24"/>
                <w:color w:val="auto"/>
              </w:rPr>
            </w:pPr>
          </w:p>
        </w:tc>
        <w:tc>
          <w:tcPr>
            <w:tcW w:w="8660" w:type="dxa"/>
            <w:vAlign w:val="bottom"/>
          </w:tcPr>
          <w:p>
            <w:pPr>
              <w:ind w:left="2820"/>
              <w:spacing w:after="0"/>
              <w:rPr>
                <w:sz w:val="20"/>
                <w:szCs w:val="20"/>
                <w:color w:val="auto"/>
              </w:rPr>
            </w:pPr>
            <w:r>
              <w:rPr>
                <w:rFonts w:ascii="Arial" w:cs="Arial" w:eastAsia="Arial" w:hAnsi="Arial"/>
                <w:sz w:val="18"/>
                <w:szCs w:val="18"/>
                <w:color w:val="auto"/>
              </w:rPr>
              <w:t>13</w:t>
            </w:r>
          </w:p>
        </w:tc>
      </w:tr>
      <w:tr>
        <w:trPr>
          <w:trHeight w:val="105"/>
        </w:trPr>
        <w:tc>
          <w:tcPr>
            <w:tcW w:w="28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61"/>
        </w:trPr>
        <w:tc>
          <w:tcPr>
            <w:tcW w:w="2800" w:type="dxa"/>
            <w:vAlign w:val="bottom"/>
            <w:shd w:val="clear" w:color="auto" w:fill="808080"/>
          </w:tcPr>
          <w:p>
            <w:pPr>
              <w:spacing w:after="0"/>
              <w:rPr>
                <w:sz w:val="5"/>
                <w:szCs w:val="5"/>
                <w:color w:val="auto"/>
              </w:rPr>
            </w:pPr>
          </w:p>
        </w:tc>
        <w:tc>
          <w:tcPr>
            <w:tcW w:w="86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Dividend Policy</w:t>
            </w:r>
          </w:p>
        </w:tc>
        <w:tc>
          <w:tcPr>
            <w:tcW w:w="9080" w:type="dxa"/>
            <w:vAlign w:val="bottom"/>
          </w:tcPr>
          <w:p>
            <w:pPr>
              <w:ind w:left="1200"/>
              <w:spacing w:after="0"/>
              <w:rPr>
                <w:sz w:val="20"/>
                <w:szCs w:val="20"/>
                <w:color w:val="auto"/>
              </w:rPr>
            </w:pPr>
            <w:r>
              <w:rPr>
                <w:rFonts w:ascii="Arial" w:cs="Arial" w:eastAsia="Arial" w:hAnsi="Arial"/>
                <w:sz w:val="18"/>
                <w:szCs w:val="18"/>
                <w:color w:val="auto"/>
                <w:w w:val="98"/>
              </w:rPr>
              <w:t>Following the spin-off, we intend to commence the payment of cash dividends on our common stock,</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subject to our compliance with applicable law, and depending on, among other things, our results of</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operations, financial condition, level of indebtedness, capital requirements, business prospects and other</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5"/>
              </w:rPr>
              <w:t>factors that our board of directors may deem relevant. Our ability to pay dividends on our common stock</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may be limited by the covenants of our revolving credit facility and may be further restricted by the terms of</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any future debt or preferred securities. See “Dividend Policy” and “Description of Material Indebtedness.”</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Transfer Agent</w:t>
            </w:r>
          </w:p>
        </w:tc>
        <w:tc>
          <w:tcPr>
            <w:tcW w:w="9080" w:type="dxa"/>
            <w:vAlign w:val="bottom"/>
          </w:tcPr>
          <w:p>
            <w:pPr>
              <w:ind w:left="1200"/>
              <w:spacing w:after="0"/>
              <w:rPr>
                <w:sz w:val="20"/>
                <w:szCs w:val="20"/>
                <w:color w:val="auto"/>
              </w:rPr>
            </w:pPr>
            <w:r>
              <w:rPr>
                <w:rFonts w:ascii="Arial" w:cs="Arial" w:eastAsia="Arial" w:hAnsi="Arial"/>
                <w:sz w:val="18"/>
                <w:szCs w:val="18"/>
                <w:color w:val="auto"/>
              </w:rPr>
              <w:t>Computershare Trust Company, N.A.</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Risk Factors</w:t>
            </w: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We face both general and specific risks and uncertainties relating to our business and our being an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7"/>
              </w:rPr>
              <w:t>independent, publicly owned company. We also are subject to risks related to the spin-off. You should</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carefully read “Risk Factors” beginning on page 19 of this information statement.</w:t>
            </w:r>
          </w:p>
        </w:tc>
      </w:tr>
      <w:tr>
        <w:trPr>
          <w:trHeight w:val="675"/>
        </w:trPr>
        <w:tc>
          <w:tcPr>
            <w:tcW w:w="2380" w:type="dxa"/>
            <w:vAlign w:val="bottom"/>
          </w:tcPr>
          <w:p>
            <w:pPr>
              <w:spacing w:after="0"/>
              <w:rPr>
                <w:sz w:val="24"/>
                <w:szCs w:val="24"/>
                <w:color w:val="auto"/>
              </w:rPr>
            </w:pPr>
          </w:p>
        </w:tc>
        <w:tc>
          <w:tcPr>
            <w:tcW w:w="9080" w:type="dxa"/>
            <w:vAlign w:val="bottom"/>
          </w:tcPr>
          <w:p>
            <w:pPr>
              <w:ind w:left="3240"/>
              <w:spacing w:after="0"/>
              <w:rPr>
                <w:sz w:val="20"/>
                <w:szCs w:val="20"/>
                <w:color w:val="auto"/>
              </w:rPr>
            </w:pPr>
            <w:r>
              <w:rPr>
                <w:rFonts w:ascii="Arial" w:cs="Arial" w:eastAsia="Arial" w:hAnsi="Arial"/>
                <w:sz w:val="18"/>
                <w:szCs w:val="18"/>
                <w:color w:val="auto"/>
              </w:rPr>
              <w:t>14</w:t>
            </w:r>
          </w:p>
        </w:tc>
      </w:tr>
      <w:tr>
        <w:trPr>
          <w:trHeight w:val="105"/>
        </w:trPr>
        <w:tc>
          <w:tcPr>
            <w:tcW w:w="2380" w:type="dxa"/>
            <w:vAlign w:val="bottom"/>
          </w:tcPr>
          <w:p>
            <w:pPr>
              <w:spacing w:after="0"/>
              <w:rPr>
                <w:sz w:val="9"/>
                <w:szCs w:val="9"/>
                <w:color w:val="auto"/>
              </w:rPr>
            </w:pPr>
          </w:p>
        </w:tc>
        <w:tc>
          <w:tcPr>
            <w:tcW w:w="9080" w:type="dxa"/>
            <w:vAlign w:val="bottom"/>
          </w:tcPr>
          <w:p>
            <w:pPr>
              <w:spacing w:after="0"/>
              <w:rPr>
                <w:sz w:val="9"/>
                <w:szCs w:val="9"/>
                <w:color w:val="auto"/>
              </w:rPr>
            </w:pPr>
          </w:p>
        </w:tc>
      </w:tr>
      <w:tr>
        <w:trPr>
          <w:trHeight w:val="61"/>
        </w:trPr>
        <w:tc>
          <w:tcPr>
            <w:tcW w:w="2380" w:type="dxa"/>
            <w:vAlign w:val="bottom"/>
            <w:shd w:val="clear" w:color="auto" w:fill="808080"/>
          </w:tcPr>
          <w:p>
            <w:pPr>
              <w:spacing w:after="0"/>
              <w:rPr>
                <w:sz w:val="5"/>
                <w:szCs w:val="5"/>
                <w:color w:val="auto"/>
              </w:rPr>
            </w:pPr>
          </w:p>
        </w:tc>
        <w:tc>
          <w:tcPr>
            <w:tcW w:w="9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face both general and specific risks and uncertainties relating to our business and our being an independent, publicly owned company. We also are subject to risks related to the spin-off. You should carefully read “Risk Factors” beginning on page 19 of this information statement. In particular: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080" w:hanging="640"/>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Decreased customer expenditure levels will adversely affect our results of operations.</w:t>
      </w:r>
    </w:p>
    <w:p>
      <w:pPr>
        <w:spacing w:after="0" w:line="225" w:lineRule="exact"/>
        <w:rPr>
          <w:rFonts w:ascii="Arial" w:cs="Arial" w:eastAsia="Arial" w:hAnsi="Arial"/>
          <w:sz w:val="18"/>
          <w:szCs w:val="18"/>
          <w:color w:val="auto"/>
        </w:rPr>
      </w:pPr>
    </w:p>
    <w:p>
      <w:pPr>
        <w:ind w:left="1080" w:right="340" w:hanging="640"/>
        <w:spacing w:after="0" w:line="308"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46" w:lineRule="exact"/>
        <w:rPr>
          <w:rFonts w:ascii="Arial" w:cs="Arial" w:eastAsia="Arial" w:hAnsi="Arial"/>
          <w:sz w:val="17"/>
          <w:szCs w:val="17"/>
          <w:color w:val="auto"/>
        </w:rPr>
      </w:pPr>
    </w:p>
    <w:p>
      <w:pPr>
        <w:ind w:left="1080" w:right="60" w:hanging="640"/>
        <w:spacing w:after="0" w:line="277"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Exchange rate fluctuations could adversely affect our U.S. reported results of operations and financial position and could impact our ability to pay dividends.</w:t>
      </w:r>
    </w:p>
    <w:p>
      <w:pPr>
        <w:spacing w:after="0" w:line="170" w:lineRule="exact"/>
        <w:rPr>
          <w:rFonts w:ascii="Arial" w:cs="Arial" w:eastAsia="Arial" w:hAnsi="Arial"/>
          <w:sz w:val="18"/>
          <w:szCs w:val="18"/>
          <w:color w:val="auto"/>
        </w:rPr>
      </w:pPr>
    </w:p>
    <w:p>
      <w:pPr>
        <w:ind w:left="1080" w:right="220" w:hanging="640"/>
        <w:spacing w:after="0" w:line="277"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failure to retain our current customers, renew our existing customer contracts and obtain new customer contracts could adversely affect our business.</w:t>
      </w:r>
    </w:p>
    <w:p>
      <w:pPr>
        <w:spacing w:after="0" w:line="170" w:lineRule="exact"/>
        <w:rPr>
          <w:rFonts w:ascii="Arial" w:cs="Arial" w:eastAsia="Arial" w:hAnsi="Arial"/>
          <w:sz w:val="18"/>
          <w:szCs w:val="18"/>
          <w:color w:val="auto"/>
        </w:rPr>
      </w:pPr>
    </w:p>
    <w:p>
      <w:pPr>
        <w:ind w:left="1120" w:hanging="707"/>
        <w:spacing w:after="0" w:line="277"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do business in Canada and Australia, whose political and regulatory environments and compliance regimes differ from those in the United States.</w:t>
      </w:r>
    </w:p>
    <w:p>
      <w:pPr>
        <w:spacing w:after="0" w:line="170" w:lineRule="exact"/>
        <w:rPr>
          <w:rFonts w:ascii="Arial" w:cs="Arial" w:eastAsia="Arial" w:hAnsi="Arial"/>
          <w:sz w:val="18"/>
          <w:szCs w:val="18"/>
          <w:color w:val="auto"/>
        </w:rPr>
      </w:pPr>
    </w:p>
    <w:p>
      <w:pPr>
        <w:ind w:left="1080" w:right="20" w:hanging="640"/>
        <w:spacing w:after="0" w:line="277"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of our major Canadian lodges are located on land subject to leases; if we are unable to renew a lease, we could be materially and adversely affected.</w:t>
      </w:r>
    </w:p>
    <w:p>
      <w:pPr>
        <w:spacing w:after="0" w:line="170" w:lineRule="exact"/>
        <w:rPr>
          <w:rFonts w:ascii="Arial" w:cs="Arial" w:eastAsia="Arial" w:hAnsi="Arial"/>
          <w:sz w:val="18"/>
          <w:szCs w:val="18"/>
          <w:color w:val="auto"/>
        </w:rPr>
      </w:pPr>
    </w:p>
    <w:p>
      <w:pPr>
        <w:ind w:left="1080" w:right="700" w:hanging="640"/>
        <w:spacing w:after="0" w:line="277"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We will incur incremental U.S. income taxes if we elect to repatriate our foreign earnings.</w:t>
      </w:r>
    </w:p>
    <w:p>
      <w:pPr>
        <w:spacing w:after="0" w:line="225" w:lineRule="exact"/>
        <w:rPr>
          <w:rFonts w:ascii="Arial" w:cs="Arial" w:eastAsia="Arial" w:hAnsi="Arial"/>
          <w:sz w:val="18"/>
          <w:szCs w:val="18"/>
          <w:color w:val="auto"/>
        </w:rPr>
      </w:pPr>
    </w:p>
    <w:p>
      <w:pPr>
        <w:ind w:left="1080" w:right="80" w:hanging="640"/>
        <w:spacing w:after="0" w:line="277"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Development of permanent infrastructure in the Canadian oil sands region, regions of Australia or various U.S. locations where we locate our assets could negatively impact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w:t>
      </w:r>
    </w:p>
    <w:p>
      <w:pPr>
        <w:spacing w:after="0" w:line="229" w:lineRule="exact"/>
        <w:rPr>
          <w:sz w:val="20"/>
          <w:szCs w:val="20"/>
          <w:color w:val="auto"/>
        </w:rPr>
      </w:pPr>
    </w:p>
    <w:p>
      <w:pPr>
        <w:ind w:left="1080" w:hanging="640"/>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realize the potential benefits from our separation from Oil States.</w:t>
      </w:r>
    </w:p>
    <w:p>
      <w:pPr>
        <w:spacing w:after="0" w:line="225" w:lineRule="exact"/>
        <w:rPr>
          <w:rFonts w:ascii="Arial" w:cs="Arial" w:eastAsia="Arial" w:hAnsi="Arial"/>
          <w:sz w:val="18"/>
          <w:szCs w:val="18"/>
          <w:color w:val="auto"/>
        </w:rPr>
      </w:pPr>
    </w:p>
    <w:p>
      <w:pPr>
        <w:ind w:left="1080" w:right="20" w:hanging="640"/>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combined value of Oil States and SpinCo shares after the spin-off may not equal or exceed the value of Oil States shares prior to the spin-off.</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large number of our shares are or will be eligible for future sale, which may cause the market price for our common stock to decline.</w:t>
      </w:r>
    </w:p>
    <w:p>
      <w:pPr>
        <w:spacing w:after="0" w:line="236" w:lineRule="exact"/>
        <w:rPr>
          <w:rFonts w:ascii="Arial" w:cs="Arial" w:eastAsia="Arial" w:hAnsi="Arial"/>
          <w:sz w:val="17"/>
          <w:szCs w:val="17"/>
          <w:color w:val="auto"/>
        </w:rPr>
      </w:pPr>
    </w:p>
    <w:p>
      <w:pPr>
        <w:ind w:left="1080" w:right="100" w:hanging="640"/>
        <w:spacing w:after="0" w:line="26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Because significant amounts of our common stock are held by oilfield services and other stock indices there is the possibility that our shareholder base will change following the spin-off. If significant amounts of our common stock are sold in the open market, any such shares sold may not meet with offsetting new demand.</w:t>
      </w:r>
    </w:p>
    <w:p>
      <w:pPr>
        <w:spacing w:after="0" w:line="181" w:lineRule="exact"/>
        <w:rPr>
          <w:rFonts w:ascii="Arial" w:cs="Arial" w:eastAsia="Arial" w:hAnsi="Arial"/>
          <w:sz w:val="18"/>
          <w:szCs w:val="18"/>
          <w:color w:val="auto"/>
        </w:rPr>
      </w:pPr>
    </w:p>
    <w:p>
      <w:pPr>
        <w:ind w:left="1080" w:hanging="640"/>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historical combined and pro forma financial information may not be representative of the results we would have achieved as a stand-alone public company and may not be a reliable indicator of our future results.</w:t>
      </w:r>
    </w:p>
    <w:p>
      <w:pPr>
        <w:spacing w:after="0" w:line="170" w:lineRule="exact"/>
        <w:rPr>
          <w:rFonts w:ascii="Arial" w:cs="Arial" w:eastAsia="Arial" w:hAnsi="Arial"/>
          <w:sz w:val="18"/>
          <w:szCs w:val="18"/>
          <w:color w:val="auto"/>
        </w:rPr>
      </w:pPr>
    </w:p>
    <w:p>
      <w:pPr>
        <w:ind w:left="1080" w:right="580" w:hanging="640"/>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costs will increase as a result of operating as a public company, and our management will be required to devote substantial time to complying with public company regulations.</w:t>
      </w:r>
    </w:p>
    <w:p>
      <w:pPr>
        <w:spacing w:after="0" w:line="170" w:lineRule="exact"/>
        <w:rPr>
          <w:rFonts w:ascii="Arial" w:cs="Arial" w:eastAsia="Arial" w:hAnsi="Arial"/>
          <w:sz w:val="18"/>
          <w:szCs w:val="18"/>
          <w:color w:val="auto"/>
        </w:rPr>
      </w:pPr>
    </w:p>
    <w:p>
      <w:pPr>
        <w:ind w:left="1080" w:right="300" w:hanging="640"/>
        <w:spacing w:after="0" w:line="286"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65" w:lineRule="exact"/>
        <w:rPr>
          <w:rFonts w:ascii="Arial" w:cs="Arial" w:eastAsia="Arial" w:hAnsi="Arial"/>
          <w:sz w:val="17"/>
          <w:szCs w:val="17"/>
          <w:color w:val="auto"/>
        </w:rPr>
      </w:pPr>
    </w:p>
    <w:p>
      <w:pPr>
        <w:ind w:left="1080" w:hanging="640"/>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potentially could have received better terms from unaffiliated third parties than the terms we receive in our agreements with Oil States.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4" w:name="page25"/>
    <w:bookmarkEnd w:id="24"/>
    <w:p>
      <w:pPr>
        <w:ind w:left="1080" w:right="80" w:hanging="640"/>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increase our debt or raise additional capital in the future, which could affect our financial condition, may decrease our profitability or could dilute our shareholders.</w:t>
      </w:r>
    </w:p>
    <w:p>
      <w:pPr>
        <w:spacing w:after="0" w:line="170" w:lineRule="exact"/>
        <w:rPr>
          <w:rFonts w:ascii="Arial" w:cs="Arial" w:eastAsia="Arial" w:hAnsi="Arial"/>
          <w:sz w:val="18"/>
          <w:szCs w:val="18"/>
          <w:color w:val="auto"/>
        </w:rPr>
      </w:pPr>
    </w:p>
    <w:p>
      <w:pPr>
        <w:ind w:left="1080" w:right="140" w:hanging="640"/>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tax sharing agreement with Oil States may limit our ability to take certain actions, including strategic transactions, and may require us to indemnify Oil States for significant tax liabilities.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1080" w:hanging="640"/>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market currently exists for our common stock. We cannot assure you that an active trading market will develop for our common stock.</w:t>
      </w:r>
    </w:p>
    <w:p>
      <w:pPr>
        <w:spacing w:after="0" w:line="236" w:lineRule="exact"/>
        <w:rPr>
          <w:rFonts w:ascii="Arial" w:cs="Arial" w:eastAsia="Arial" w:hAnsi="Arial"/>
          <w:sz w:val="17"/>
          <w:szCs w:val="17"/>
          <w:color w:val="auto"/>
        </w:rPr>
      </w:pPr>
    </w:p>
    <w:p>
      <w:pPr>
        <w:ind w:left="1080" w:hanging="640"/>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market price and trading volume of our common stock may be volatile and you may not be able to resell your shares at or above the initial market price of our common stock following the spin-off.</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sales, or the perception of future sales, of our common stock may depress the price of our common stock.</w:t>
      </w:r>
    </w:p>
    <w:p>
      <w:pPr>
        <w:spacing w:after="0" w:line="225" w:lineRule="exact"/>
        <w:rPr>
          <w:rFonts w:ascii="Arial" w:cs="Arial" w:eastAsia="Arial" w:hAnsi="Arial"/>
          <w:sz w:val="18"/>
          <w:szCs w:val="18"/>
          <w:color w:val="auto"/>
        </w:rPr>
      </w:pPr>
    </w:p>
    <w:p>
      <w:pPr>
        <w:ind w:left="1080" w:right="600" w:hanging="640"/>
        <w:spacing w:after="0" w:line="308"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46" w:lineRule="exact"/>
        <w:rPr>
          <w:rFonts w:ascii="Arial" w:cs="Arial" w:eastAsia="Arial" w:hAnsi="Arial"/>
          <w:sz w:val="17"/>
          <w:szCs w:val="17"/>
          <w:color w:val="auto"/>
        </w:rPr>
      </w:pPr>
    </w:p>
    <w:p>
      <w:pPr>
        <w:ind w:left="1080" w:right="200" w:hanging="640"/>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cannot assure you that we will pay dividends on our common stock, and our indebtedness could limit our ability to pay dividends on our common stock.</w:t>
      </w:r>
    </w:p>
    <w:p>
      <w:pPr>
        <w:spacing w:after="0" w:line="170" w:lineRule="exact"/>
        <w:rPr>
          <w:rFonts w:ascii="Arial" w:cs="Arial" w:eastAsia="Arial" w:hAnsi="Arial"/>
          <w:sz w:val="18"/>
          <w:szCs w:val="18"/>
          <w:color w:val="auto"/>
        </w:rPr>
      </w:pPr>
    </w:p>
    <w:p>
      <w:pPr>
        <w:ind w:left="1080" w:right="260" w:hanging="640"/>
        <w:spacing w:after="0" w:line="34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Provisions contained in our certificate of incorporation and bylaws could discourage a takeover attempt, which may reduce or eliminate the likelihood of a change of control transaction and, therefore, the ability of our stockholders to sell their shares for a premium.</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SUMMARY COMBINED HISTORICAL FINANCIAL DATA</w:t>
      </w:r>
    </w:p>
    <w:p>
      <w:pPr>
        <w:spacing w:after="0" w:line="22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following tables present the summary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2013 and 2012 and the statements of income and cash flows for each of the years ended December 31, 2013, 2012 and 2011 are derived from our audited combined financial statements included elsewhere in this information statement. The balance sheet data as of December 31, 2011 is derived from our audited combined financial statements not included in this information statement.</w:t>
      </w:r>
    </w:p>
    <w:p>
      <w:pPr>
        <w:spacing w:after="0" w:line="15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summary combined historical financial information presented below should be read in conjunction with our combined financial statements and accompanying notes and “Management’s Discussion and Analysis of Financial Condition and Results of Operations” included elsewhere in this information statement. The financial information may not be indicative of our future performance and does not necessarily reflect that the financial position and results of operations would have been had we operated as a separate, stand-alone entity during the periods presented, including changes that will occur in our operations as a result of our spin-off from Oil States.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9"/>
              </w:rPr>
              <w:t>For the year ended 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Revenues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1,041,104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1,108,875</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864,701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352,929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Net income attributable to Accommodations</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Business of Oil States International, Inc.</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181,876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244,721</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168,505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5"/>
                <w:szCs w:val="25"/>
                <w:color w:val="auto"/>
                <w:vertAlign w:val="superscript"/>
              </w:rPr>
              <w:t>(1)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428,982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494,193</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291,694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314,047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Lodge/village revenue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823,893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Average available lodge/villages rooms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18,421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RevPAR </w:t>
            </w:r>
            <w:r>
              <w:rPr>
                <w:rFonts w:ascii="Arial" w:cs="Arial" w:eastAsia="Arial" w:hAnsi="Arial"/>
                <w:sz w:val="25"/>
                <w:szCs w:val="25"/>
                <w:color w:val="auto"/>
                <w:vertAlign w:val="superscript"/>
              </w:rPr>
              <w:t>(2)</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88"/>
              </w:rPr>
              <w:t>(In thousands)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2,127,050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2,132,925</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1,799,894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350,530</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123,497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126,972</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15"/>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87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6" w:name="page27"/>
    <w:bookmarkEnd w:id="26"/>
    <w:p>
      <w:pPr>
        <w:ind w:left="660" w:hanging="652"/>
        <w:spacing w:after="0" w:line="270"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term EBITDA as defined consists of net income plus interest expense, net, income taxes, depreciation and amortization. EBITDA as defined is not a measure of financial performance under generally accepted accounting principles. You should not consider it in isolation from or as a substitute for net income or cash flow measures prepared in accordance with generally accepted accounting principles or as a measure of profitability or liquidity. Additionally, EBITDA as defined may not be comparable to other similarly titled measures of other companies. We have included EBITDA as defined as a supplemental disclosure because we believe that EBITDA as defined provides useful information regarding our ability to service debt and to fund capital expenditures and provides investors a helpful measure for comparing our operating performance with the performance of other companies that have different financing and capital structures or tax rates. We use EBITDA as defined to compare and to monitor the performance of our business segments to other comparable public companies and as one of the primary measures to benchmark for the award of incentive compensation under our annual incentive compensation plan.</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reconciles EBITDA as defined with our net income, as derived from our financial information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8"/>
              </w:rPr>
              <w:t>For the year ended 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Accommodations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of Oil States International, Inc.</w:t>
            </w:r>
          </w:p>
        </w:tc>
        <w:tc>
          <w:tcPr>
            <w:tcW w:w="1400" w:type="dxa"/>
            <w:vAlign w:val="bottom"/>
            <w:gridSpan w:val="2"/>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181,876</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244,721</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167,213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139,047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56,056</w:t>
            </w: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84,266</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as defined</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428,982</w:t>
            </w:r>
          </w:p>
        </w:tc>
        <w:tc>
          <w:tcPr>
            <w:tcW w:w="5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494,193</w:t>
            </w:r>
          </w:p>
        </w:tc>
        <w:tc>
          <w:tcPr>
            <w:tcW w:w="6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354,341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16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RevPAR is defined as lodge/village revenue divided by the product of (a) average available rooms and (b) days in the period. An available room is defined as a calendar day during which the room is available for occupancy.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i w:val="1"/>
          <w:iCs w:val="1"/>
          <w:color w:val="auto"/>
        </w:rPr>
        <w:t>You should carefully consider the information included in this information statement, including the matters addressed under “Forward-Looking Statements,” and the following risks.</w:t>
      </w:r>
    </w:p>
    <w:p>
      <w:pPr>
        <w:spacing w:after="0" w:line="170"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Decreased customer expenditure levels will adversely affect our results of operations.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Demand for our services is sensitive to the level of exploration, development and production activity of, and the corresponding capital spending by, oil and gas and mining companies. If our customers’ expenditures decline, our business will suffer. The oil and gas and mining industries’ willingness to explore, develop and produce depends largely upon the availability of attractive resource prospects and the prevailing view of future commodity prices.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would have material adverse effects on our results of operations. Any prolonged reduction in commodity prices will depress levels of exploration, development, and production activity, often reflected as reductions in employees or coal production. Additionally, significant new regulatory requirements, including climate change legislation, could have an impact on the demand for and the cost of producing oil, coal and natural gas. Many factors affect the supply of and demand for oil, coal, natural gas and other minerals and, therefore, influence product prices, including:</w:t>
      </w:r>
    </w:p>
    <w:p>
      <w:pPr>
        <w:spacing w:after="0" w:line="182"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demand, particularly from China, for coal and other natural resources produced in Australia;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development;</w:t>
      </w:r>
    </w:p>
    <w:p>
      <w:pPr>
        <w:spacing w:after="0" w:line="170" w:lineRule="exact"/>
        <w:rPr>
          <w:rFonts w:ascii="Arial" w:cs="Arial" w:eastAsia="Arial" w:hAnsi="Arial"/>
          <w:sz w:val="18"/>
          <w:szCs w:val="18"/>
          <w:color w:val="auto"/>
        </w:rPr>
      </w:pPr>
    </w:p>
    <w:p>
      <w:pPr>
        <w:ind w:left="660" w:right="40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of transportation infrastructure for oil, natural gas and coal, refining capacity and shifts in end-customer preferences toward fuel efficiency and the use of natural gas;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worldwide economic activity including growth in developing countries, such as China and India;</w:t>
      </w:r>
    </w:p>
    <w:p>
      <w:pPr>
        <w:spacing w:after="0" w:line="225" w:lineRule="exact"/>
        <w:rPr>
          <w:rFonts w:ascii="Arial" w:cs="Arial" w:eastAsia="Arial" w:hAnsi="Arial"/>
          <w:sz w:val="18"/>
          <w:szCs w:val="18"/>
          <w:color w:val="auto"/>
        </w:rPr>
      </w:pPr>
    </w:p>
    <w:p>
      <w:pPr>
        <w:ind w:left="660" w:right="2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oil and gas production by non-OPEC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rapid technological change and the timing and extent of energy resource development, including LNG or other alternative fuels;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environmental regulation;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domestic and foreign tax policies.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8" w:name="page29"/>
    <w:bookmarkEnd w:id="28"/>
    <w:p>
      <w:pPr>
        <w:ind w:right="340"/>
        <w:spacing w:after="0" w:line="308" w:lineRule="auto"/>
        <w:rPr>
          <w:sz w:val="20"/>
          <w:szCs w:val="20"/>
          <w:color w:val="auto"/>
        </w:rPr>
      </w:pPr>
      <w:r>
        <w:rPr>
          <w:rFonts w:ascii="Arial" w:cs="Arial" w:eastAsia="Arial" w:hAnsi="Arial"/>
          <w:sz w:val="17"/>
          <w:szCs w:val="17"/>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4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With growth in the Chinese economy, its demand for oil and steel increases driving demand for oil and metallurgical coal. Should GDP growth in China slow further or contract, demand for these commodities and, correspondingly, our accommodations would fall which would negatively impact our financial results.</w:t>
      </w:r>
    </w:p>
    <w:p>
      <w:pPr>
        <w:spacing w:after="0" w:line="17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Perceptions of lower longer-term commodity prices can cause our customers to reduce or defer major expenditures given the long-term nature of many large scale development projects, adversely affecting our revenues and profitability. In Canada, Western Canadian Select (WCS) crude is the benchmark price for our oil sands accommodations’ customers. Historically, WCS has traded at a discount to WTI. Should the price of WTI decline or the WCS discount to WTI widen further, our oil sands customers may delay additional investments or reduce their spending in the oil sands region.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We expect that a material decline in mineral and commodity prices could result in a decrease in the activity of our customers with the possibility that this would materially adversely affect us. No assurance can be given regarding future volumes and/or prices relating to the activities of our customers. We have experienced in the past, and expect to experience in the future, significant fluctuations in operating results based on these changes.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Exchange rate fluctuations could adversely affect our U.S. reported results of operations and financial position and could impact our ability to pay dividends.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the amount of our net revenues and earnings depending upon exchange rate movements. For the year ended December 31, 2013, 93% of our revenues originated from subsidiaries outside of the U.S. and were denominated in the Canadian dollar and the Australian dollar. As a result, a material decrease in the value of these currencies relative to the U.S. dollar has had, and may have in the future, a negative impact on our reported revenues, net income and cash flows. Any currency controls implemented by local monetary authorities in countries where we currently operate could also adversely affect our business, financial condition and results of operations. In addition, we intend to pay our dividends in U.S. dollars. Weakness in the Canadian and Australian dollars could negatively impact our willingness to repatriate and exchange those foreign earnings and cash flows into U.S. dollars in order to pay our dividends.</w:t>
      </w:r>
    </w:p>
    <w:p>
      <w:pPr>
        <w:spacing w:after="0" w:line="18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customers, renew our existing customer contracts and obtain new customer contracts could adversely affect our business.</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success depends on our ability to retain our current customers, renew or replace our existing customer contracts and obtain new business. Our ability to do so generally depends on a variety of factors, including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that our current customers will not turn to competitors, cease operations, elect to self-operate or terminate contracts with us. Additionally, several contracts have clauses that allow termination upon the payment of a termination fee. As a result, our customers may choose to terminate their contracts. Customer contract cancellations or the failure to renew a significant number of our existing contracts would have a material adverse effect on our business and results of operations and the failure to obtain new business could have an adverse impact on our growth.</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We do business in Canada and Australia, whose political and regulatory environments and compliance regimes differ from those in the United States.</w:t>
      </w:r>
    </w:p>
    <w:p>
      <w:pPr>
        <w:spacing w:after="0" w:line="248"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A significant portion of our revenue is attributable to operations in Canada and Australia. These activities accounted for over 90% of our consolidated revenue in the year ended December 31, 2013. Risks associated with our operations in Canada and Australia include, but are not limited to:</w:t>
      </w:r>
    </w:p>
    <w:p>
      <w:pPr>
        <w:spacing w:after="0" w:line="12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inability to repatriate earnings or capital in a tax efficient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changing political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changing foreign and domestic monetary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regional economic downturns;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expropriation, confiscation or nationalization of assets;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exchange limitations.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regulatory regimes in these countries are substantially different than those in the United States, and are unfamiliar to U.S. investors. Violations of foreign laws could result in monetary and criminal penalties against us or our subsidiaries and could damage our reputation and, therefore, our ability to do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 of our major Canadian lodges are located on land subject to leases; if we are unable to renew a lease, we could be materially and adversely affected.</w:t>
      </w:r>
    </w:p>
    <w:p>
      <w:pPr>
        <w:spacing w:after="0" w:line="26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All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2015 and 2026 unless extended. We can provide no assurances that we will be able to renew our leases upon expiration on similar terms, or at all. If we are unable to renew leases on similar terms, it may have an adverse effect on our business. In addition, if we were to lose the right to use a property due to non-renewal of the lease, we would be unable to derive income from such property, which could materially and adversely affect us.</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Because of the concentration of our accommodations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lodges. Due to our geographic concentration, any adverse events or developments in our operating areas may disproportionately affect our financial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will incur incremental U.S. income taxes if we elect to repatriate our foreign earnings.</w:t>
      </w:r>
    </w:p>
    <w:p>
      <w:pPr>
        <w:spacing w:after="0" w:line="22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currently assume for U.S. tax purposes that the earnings of our foreign subsidiaries are permanently reinvested abroad in the countries where such earnings are derived. However, if we were to determine in the future that repatriation of our foreign earnings is advisable, we would incur incremental U.S. federal and state income taxes based on the difference between U.S. federal and foreign statutory tax rates on such foreign earnings. Repatriation may be necessary in the future in order to fund dividends, allow for U.S. expansion or to repay debt.</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Development of permanent infrastructure in the Canadian oil sands region, regions of Australia or various U.S. locations where we locate our assets could negatively impact our business.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specialize in providing housing and personnel logistics for work forces in remote areas which often lack the infrastructure typically available in nearby towns and cities. If permanent towns, cities and municipal infrastructure develop or grow in the oil sands region of northern Alberta, Canada, or regions of Australia where we locate villages, then demand for our accommodations could decrease as customer employees move to the region and choose to utilize permanent housing and food services.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on several significant customers, and the loss of one or more such customers or the inability of one or more such customers to meet their obligations to us could adversely affect our results of operations.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depend on several significant customers. The majority of our customers operate in the energy or mining industry. For a more detailed explanation of our customers, see “Business.”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generally require collateral in support of our trade receivables.</w:t>
      </w:r>
    </w:p>
    <w:p>
      <w:pPr>
        <w:spacing w:after="0" w:line="19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In an economic downturn, commodity prices typically decline, and the credit markets and availability of credit could be constrained. Additionally, many of our customers’ equity values could decline. The combination of lower cash flow due to commodity prices, a reduction in borrowing bases under reserve-based credit facilities and the lack of available debt or equity financing may result in a significant reduction in our customers’ liquidity and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seasonal earnings volatility due to adverse weather conditions in our regions of operations.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customers are exposed to a number of unique operating risks and challenges which could also adversely affect us.</w:t>
      </w:r>
    </w:p>
    <w:p>
      <w:pPr>
        <w:spacing w:after="0" w:line="225"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We could be materially adversely affected by disruptions to our clients’ operations caused by any one of or all of the following singularly or in combination:</w:t>
      </w:r>
    </w:p>
    <w:p>
      <w:pPr>
        <w:spacing w:after="0" w:line="17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domestic and international pricing and demand for the natural resource being produced at a given project (or proposed project);</w:t>
      </w:r>
    </w:p>
    <w:p>
      <w:pPr>
        <w:spacing w:after="0" w:line="225"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unexpected problems, higher costs and delays during the development, construction and project start-up which may delay the commencement of production;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unforeseen and adverse geological, geotechnical, seismic and mining conditions;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lack of availability of sufficient water or power to maintain their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water or food quality or safety issues;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lack of availability or failure of the required infrastructure necessary to maintain or to expand their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breakdown or shortage of equipment and labor necessary to maintain their operations;</w:t>
      </w:r>
    </w:p>
    <w:p>
      <w:pPr>
        <w:spacing w:after="0" w:line="225" w:lineRule="exact"/>
        <w:rPr>
          <w:rFonts w:ascii="Arial" w:cs="Arial" w:eastAsia="Arial" w:hAnsi="Arial"/>
          <w:sz w:val="18"/>
          <w:szCs w:val="18"/>
          <w:color w:val="auto"/>
        </w:rPr>
      </w:pPr>
    </w:p>
    <w:p>
      <w:pPr>
        <w:ind w:left="660" w:right="140" w:hanging="652"/>
        <w:spacing w:after="0" w:line="286"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risks to land titles, mining titles and use thereof as a result of native title claims;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claims by persons living in close proximity to mining projects, which may have an impact on the consents granted;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interruptions to the operations of our customers caused by industrial accidents or disputes;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in or failure to commission new infrastructure in timeframes so as not to disrupt customer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customers reduce their accommodations outsourcing.</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business and growth strategies depend in large part on the continuation of a current trend toward outsourcing services.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this trend will continue or not be reversed or that customers that have outsourced accommodations will not decide to perform these functions themselves.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Oil and natural gas prices have fluctuated significantly in the last several years.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or comply with government regulations related to food and beverages or serving alcoholic beverages may subject us to liability.</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9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7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Our land banking strategy may not be successful.</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land banking strategy is focused on investing early in land in order to gain a strategic, first-mover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ability to make distributions and payments to our security holders and the market price of our securities, which include the following risks:</w:t>
      </w:r>
    </w:p>
    <w:p>
      <w:pPr>
        <w:spacing w:after="0" w:line="18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regions in which we invest may not develop adequate customer demand;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be able to obtain financing for development projects on favorable terms or at all;</w:t>
      </w:r>
    </w:p>
    <w:p>
      <w:pPr>
        <w:spacing w:after="0" w:line="27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be able to obtain, or may experience delays in obtaining, all necessary zoning, land-use, building, occupancy and other governmental permits and authorizations;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 opportunities that we explore may be abandoned and the related investment impaired;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properties may perform below anticipated levels, producing cash flow below budgeted amounts;</w:t>
      </w:r>
    </w:p>
    <w:p>
      <w:pPr>
        <w:spacing w:after="0" w:line="279"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construction costs, total investment amounts and our share of remaining funding may exceed our estimates and projects may not be completed, delivered or stabilized as planned;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experience delays (temporary or permanent) if there is public, government or aboriginal opposition to our activities; and</w:t>
      </w:r>
    </w:p>
    <w:p>
      <w:pPr>
        <w:spacing w:after="0" w:line="27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contract intensive and may lead to customer disputes or delays in receipt of payments.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environmental laws and regulations that may require us to take actions that will adversely affect our results of operations.</w:t>
      </w:r>
    </w:p>
    <w:p>
      <w:pPr>
        <w:spacing w:after="0" w:line="170"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5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7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issuance of administrative, civil and criminal penalties;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denial or revocation of permits or other authorizations;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reduction or cessation of operations;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performance of site investigatory, remedial or other corrective actions.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Construction risks exist which may adversely affect our results of operations.</w:t>
      </w:r>
    </w:p>
    <w:p>
      <w:pPr>
        <w:spacing w:after="0" w:line="225"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81"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construction activities of our accommodations are partially dependent on the supply of appropriate construction and development opportunities;</w:t>
      </w:r>
    </w:p>
    <w:p>
      <w:pPr>
        <w:spacing w:after="0" w:line="248" w:lineRule="exact"/>
        <w:rPr>
          <w:rFonts w:ascii="Arial" w:cs="Arial" w:eastAsia="Arial" w:hAnsi="Arial"/>
          <w:sz w:val="16"/>
          <w:szCs w:val="16"/>
          <w:color w:val="auto"/>
        </w:rPr>
      </w:pPr>
    </w:p>
    <w:p>
      <w:pPr>
        <w:ind w:left="660" w:hanging="652"/>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18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81"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objections aired by aboriginal or community interest, environment and/or neighborhood groups which may cause delays in the granting or approvals and/or the overall progress of a project;</w:t>
      </w:r>
    </w:p>
    <w:p>
      <w:pPr>
        <w:spacing w:after="0" w:line="170"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where we assume design responsibility, there is a risk that design problems or defects may result in rectification and/or costs or liabilities which we cannot readily recover; and</w:t>
      </w:r>
    </w:p>
    <w:p>
      <w:pPr>
        <w:spacing w:after="0" w:line="170"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is a risk that we may fail to fulfill our statutory and contractual obligations in relation to the quality of our materials and workmanship, including warranties and defect liability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nature of our business and a severe prolonged downturn could negatively affect the value of our goodwill.</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As of December 31, 2013, goodwill represented approximately 12% of our total assets. We have recorded goodwill because we paid more for some of our businesses that we acquired than the fair market value of the tangible and separately measurable intangible net assets of those businesses. Current accounting standards require a periodic review of goodwill for each of our reporting units (Canada, Australia, and U.S.) for impairment in value and a non-cash charge against earnings with a corresponding decrease in stockholders’ equity if circumstances, some of which are beyond our control, indicate that the carrying amount will not be recoverable. It is possible that we could recognize goodwill impairment losses in the future if, among other factors:</w:t>
      </w:r>
    </w:p>
    <w:p>
      <w:pPr>
        <w:spacing w:after="0" w:line="158"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global economic conditions deteriorate;</w:t>
      </w:r>
    </w:p>
    <w:p>
      <w:pPr>
        <w:spacing w:after="0" w:line="225" w:lineRule="exact"/>
        <w:rPr>
          <w:rFonts w:ascii="Arial" w:cs="Arial" w:eastAsia="Arial" w:hAnsi="Arial"/>
          <w:sz w:val="18"/>
          <w:szCs w:val="18"/>
          <w:color w:val="auto"/>
        </w:rPr>
      </w:pPr>
    </w:p>
    <w:p>
      <w:pPr>
        <w:ind w:left="660" w:right="80" w:hanging="652"/>
        <w:spacing w:after="0" w:line="31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outlook for future profits and cash flow for any of our reporting units deteriorate as the result of many possible factors, including, but not limited to, increased or unanticipated competition, technology becoming obsolete, further reductions in customer capital spending plans, loss of key personnel, adverse legal or regulatory judgment(s), future operating losses at a reporting unit, downward forecast revisions, or restructuring plans;</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of equity or debt capital increase;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valuations for comparable public companies or comparable acquisition valuations deteriorate.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accidental release of pollutants into the environment may cause us to incur significant costs and liabilities.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may be exposed to certain regulatory and financial risks related to climate change.</w:t>
      </w:r>
    </w:p>
    <w:p>
      <w:pPr>
        <w:spacing w:after="0" w:line="22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18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18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 in increased costs associated with our operations and our customers’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other costs to our business;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demand for carbon-based fuels;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demand for our services.</w:t>
      </w:r>
    </w:p>
    <w:p>
      <w:pPr>
        <w:spacing w:after="0" w:line="225" w:lineRule="exact"/>
        <w:rPr>
          <w:sz w:val="20"/>
          <w:szCs w:val="20"/>
          <w:color w:val="auto"/>
        </w:rPr>
      </w:pPr>
    </w:p>
    <w:p>
      <w:pPr>
        <w:jc w:val="both"/>
        <w:ind w:right="340" w:firstLine="324"/>
        <w:spacing w:after="0" w:line="297" w:lineRule="auto"/>
        <w:rPr>
          <w:sz w:val="20"/>
          <w:szCs w:val="20"/>
          <w:color w:val="auto"/>
        </w:rPr>
      </w:pPr>
      <w:r>
        <w:rPr>
          <w:rFonts w:ascii="Arial" w:cs="Arial" w:eastAsia="Arial" w:hAnsi="Arial"/>
          <w:sz w:val="16"/>
          <w:szCs w:val="16"/>
          <w:color w:val="auto"/>
        </w:rPr>
        <w:t>Any adoption of these or similar proposals by Canadian, Australian, U.S. federal, regional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for a more detailed description of our climate-change related risks.</w:t>
      </w:r>
    </w:p>
    <w:p>
      <w:pPr>
        <w:spacing w:after="0" w:line="158"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stockholders.</w:t>
      </w:r>
    </w:p>
    <w:p>
      <w:pPr>
        <w:spacing w:after="0" w:line="15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18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retaining key employees of acquired businesses;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retaining and attracting new customers of acquired businesses;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retaining supply and distribution relationships key to the supply chain;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increased administrative burden;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developing our sales and marketing capabilities;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managing our growth effectively;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impairment resulting from the overpayment for an acquisition;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integrating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managing tax and foreign exchange exposure;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potentially operating a new line of business;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increased logistical problems common to large, expansive operations;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inability to pursue and protect patents covering acquired technology.</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shareholders of the Company may not have the opportunity to evaluate the economic, financial and other relevant information that we will consider in evaluating future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adequate insurance for potential liabilities and insurance may not cover certain liabilities, including litigation.</w:t>
      </w:r>
    </w:p>
    <w:p>
      <w:pPr>
        <w:spacing w:after="0" w:line="22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We also face the following other risks related to our insurance coverage:</w:t>
      </w:r>
    </w:p>
    <w:p>
      <w:pPr>
        <w:spacing w:after="0" w:line="166"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not be able to continue to obtain insurance on commercially reasonable terms;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counterparties to our insurance contracts may pose credit risks;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incur losses from interruption of our business that exceed our insurance coverage.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suffer due to increased industry-wide capacity of certain types of assets.</w:t>
      </w:r>
    </w:p>
    <w:p>
      <w:pPr>
        <w:spacing w:after="0" w:line="23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demand for and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81"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In addition, we have significantly increased our capacity in the oil sands region over the past seven years and in Australia over the past three years based on our expectation for current and future customer demand for accommodations in these areas. Should our customers build their own facilities to meet their accommodations needs or our competitors likewise increase their available accommodations, or activity in the oil sands or natural resources regions declines significantly, demand and/or pricing for our accommodations could decrease, negatively impacting our profitability.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We have not yet obtained commitments under our new revolving credit facility</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Upon the closing of the spin-off, we expect to enter into a revolving credit facility. However, we have not obtained any financing commitments for the credit facility and may be unable to enter into a credit facility or other debt financing arrangement on terms acceptable to us, if at all. If we are unable to enter into a revolving credit facility or other debt financing arrangement, we will be forced to find other alternatives to meet our liquidity needs or reduce our capital expenditures, which could negatively impact our financial results and growth prospects.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key members of our management could adversely affect our business.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customer labor problems could adversely affect us.</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As of December 31, 2013, we were party to collective bargaining agreements covering 1,823 employees in Canada and 543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benefits from our separation from Oil States.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not realize the benefits that we anticipate from our separation from Oil States. These benefits include the following:</w:t>
      </w:r>
    </w:p>
    <w:p>
      <w:pPr>
        <w:spacing w:after="0" w:line="225" w:lineRule="exact"/>
        <w:rPr>
          <w:sz w:val="20"/>
          <w:szCs w:val="20"/>
          <w:color w:val="auto"/>
        </w:rPr>
      </w:pPr>
    </w:p>
    <w:p>
      <w:pPr>
        <w:ind w:left="660" w:right="600" w:hanging="652"/>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enhancing corporate growth and efficiency by enabling each management team to focus its attention on the development and execution of its respective business;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improving access to capital to fund internal and external expansion;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enhancing SpinCo’s market recognition with investors because of more focused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an acquisition currency for SpinCo;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enhancing our ability to attract and retain key employees.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may not achieve the anticipated benefits from our separation for a variety of reasons. For example, the process of separating our business from Oil States and operating as an independent public company may distract our management from focusing on our business and strategic priorities. In addition, although we expect improved access to the debt and equity capital markets following the separation, we may not be able to issue debt or equity on terms acceptable to us or at all. The availability of shares of our common stock for use as consideration for acquisitions also will not ensure that we will be able to successfully pursue acquisitions or that the acquisitions will be successful. Moreover, even with equity compensation tied to our business we may not be able to attract and retain employees as desired. We also may not fully realize the anticipated benefits from our separation if any of the matters identified as risks in this “Risk Factors” section were to occur. If we do not realize the anticipated benefits from our separation for any reason, our business may be materially adversely affected.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The combined value of Oil States and SpinCo shares after the spin-off may not equal or exceed the value of Oil States shares prior to the spin-off.</w:t>
      </w:r>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After the spin-off, Oil States’ common stock will continue to be listed and traded on the NYSE under the symbol “OIS.” We have applied to list our common stock authorized on the NYSE under the symbol “[●].” We cannot assure you that the combined trading prices of Oil States common stock and SpinCo common stock after the spin-off, as adjusted for any changes in the combined capitalization of these companies, will be equal to or greater than the trading price of Oil States common stock prior to the spin-off. Until the market has fully evaluated the business of Oil States without the accommodations business, the price at which Oil States common stock trades may fluctuate significantly. Similarly, until the market has fully evaluated our company, the price at which SpinCo common stock trades may fluctuate significantly.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large number of our shares are or will be eligible for future sale, which may cause the market price for our common stock to decline.</w:t>
      </w:r>
    </w:p>
    <w:p>
      <w:pPr>
        <w:spacing w:after="0" w:line="23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completion of the spin-off, we will have an aggregate of approximately [●] shares of our common stock outstanding. All of those shares (other than those held by our “affiliates”) will be freely tradable without restriction or registration under the Securities Act of 1933, as amended. Shares held by our affiliates, which include our directors and executive officers, can be sold subject to volume, manner of sale and notice provisions under Rule 144. We estimate that our directors and executive officers, who may be considered “affiliates” for purposes of Rule 144, will beneficially own approximately [●] shares of our common stock immediately following the distribution. We are unable to predict whether large amounts of our common stock will be sold in the open market following the spin-off. We are also unable to predict whether a sufficient number of buyers will be in the market at that time. As discussed in the immediately following risk factor, certain index funds will likely be required to sell shares of our common stock that they receive in the distribution. In addition, other Oil States stockholders may sell the shares of our common stock they receive in the distribution for various reasons. For example, such stockholders may not believe our business profile or level of market capitalization as an independent company fits their investment objectives. A change in the level of analyst coverage following the spin-off could also negatively impact demand for our shares. The sale of significant amounts of our common stock or the perception in the market that this will occur may lower the market price of our common stock.</w:t>
      </w:r>
    </w:p>
    <w:p>
      <w:pPr>
        <w:spacing w:after="0" w:line="183" w:lineRule="exact"/>
        <w:rPr>
          <w:sz w:val="20"/>
          <w:szCs w:val="20"/>
          <w:color w:val="auto"/>
        </w:rPr>
      </w:pPr>
    </w:p>
    <w:p>
      <w:pPr>
        <w:ind w:right="200"/>
        <w:spacing w:after="0" w:line="328" w:lineRule="auto"/>
        <w:rPr>
          <w:sz w:val="20"/>
          <w:szCs w:val="20"/>
          <w:color w:val="auto"/>
        </w:rPr>
      </w:pPr>
      <w:r>
        <w:rPr>
          <w:rFonts w:ascii="Arial" w:cs="Arial" w:eastAsia="Arial" w:hAnsi="Arial"/>
          <w:sz w:val="15"/>
          <w:szCs w:val="15"/>
          <w:b w:val="1"/>
          <w:bCs w:val="1"/>
          <w:i w:val="1"/>
          <w:iCs w:val="1"/>
          <w:color w:val="auto"/>
        </w:rPr>
        <w:t>Because significant amounts of our common stock are currently held by oilfield services and other stock indices there is the possibility that our shareholder base will change following the spin-off. If significant amounts of our common stock are sold in the open market, any such shares sold may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be met with offsetting new demand.</w:t>
      </w:r>
    </w:p>
    <w:p>
      <w:pPr>
        <w:spacing w:after="0" w:line="23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 portion of Oil States’ outstanding common stock is held by index funds tied to oilfield services companies or other stock indices. Because we do not expect our common stock to be included in such indices, index funds currently holding shares of Oil States common stock will likely be required to sell the shares of our common stock they receive in the distribution. There may not be sufficient new buying interest to offset sales by those index funds. Accordingly, our common stock could experience a high level of volatility immediately following the spin-off and, as a result, the price of our common stock could be adversely affected.</w:t>
      </w:r>
    </w:p>
    <w:p>
      <w:pPr>
        <w:spacing w:after="0" w:line="200" w:lineRule="exact"/>
        <w:rPr>
          <w:sz w:val="20"/>
          <w:szCs w:val="20"/>
          <w:color w:val="auto"/>
        </w:rPr>
      </w:pPr>
    </w:p>
    <w:p>
      <w:pPr>
        <w:spacing w:after="0" w:line="2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historical combined and pro forma financial information may not be representative of the results we would have achieved as a stand-alone public company and may not be a reliable indicator of our future results.</w:t>
      </w:r>
    </w:p>
    <w:p>
      <w:pPr>
        <w:spacing w:after="0" w:line="17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historical combined and pro forma financial information that we have included in this information statement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presented. The costs and expenses reflected in our historical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that may be different from the comparable expenses that we would have incurred had we operated as a stand-alone company. These expenses have been allocated to us on the basis of direct usage when identifiable, with the remainder allocated based on estimated time spent by Oil States personnel, a pro-rata basis of revenues, headcount or other relevant measures of our business and Oil States and its subsidiaries. We have not adjusted our historical combined financial information to reflect changes that will occur in our cost structure and operations as a result of our transition to becoming a stand-alone public company, including increased costs associated with an independent board of directors, SEC reporting and the NYSE requirements. Therefore, our historical financial information may not necessarily be indicative of what our financial position, results of operations or cash flows will be in the future. We based the pro forma adjustments on available information and assumptions we believe are reasonable; however, our assumptions may prove not to be accurate. In addition, our unaudited pro forma combined financial statements may not give effect to various ongoing additional costs we may incur in connection with being an independent public company. Accordingly, our unaudited pro forma combined financial information does not reflect what our financial condition, results of operations or cash flows would have been as an independent public company and is not necessarily indicative of our future financial condition or future results of operations. For additional information, see “Selected Historical Combined Financial Data,” “Unaudited Pro Forma Combined Financial Statements” and “Management’s Discussion and Analysis of Financial Condition and Results of Operations,” and our financial statements and related notes included elsewhere in this information statement.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ind w:right="240"/>
        <w:spacing w:after="0" w:line="277" w:lineRule="auto"/>
        <w:rPr>
          <w:sz w:val="20"/>
          <w:szCs w:val="20"/>
          <w:color w:val="auto"/>
        </w:rPr>
      </w:pPr>
      <w:r>
        <w:rPr>
          <w:rFonts w:ascii="Arial" w:cs="Arial" w:eastAsia="Arial" w:hAnsi="Arial"/>
          <w:sz w:val="18"/>
          <w:szCs w:val="18"/>
          <w:b w:val="1"/>
          <w:bCs w:val="1"/>
          <w:i w:val="1"/>
          <w:iCs w:val="1"/>
          <w:color w:val="auto"/>
        </w:rPr>
        <w:t>Our costs will increase as a result of operating as a public company, and our management will be required to devote substantial time to complying with public company regulations.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historically operated our business as a segment of a public company. As a stand-alone public company, we may incur additional legal, accounting, compliance and other expenses that we have not incurred historically. After the spin-off, we will become obligated to file with the SEC annual and quarterly information and other reports that are specified in Section 13 and other sections of the Exchange Act. We will also be required to ensure that we have the ability to prepare financial statements that are fully compliant with all SEC reporting requirements on a timely basis. In addition, we will also become subject to other reporting and corporate governance requirements, including certain requirements of the NYSE, and certain provisions of Sarbanes-Oxley and the regulations promulgated thereunder, which will impose significant compliance obligations upon us.</w:t>
      </w:r>
    </w:p>
    <w:p>
      <w:pPr>
        <w:spacing w:after="0" w:line="17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Sarbanes-Oxley, as well as new rules subsequently implemented by the SEC and the NYSE, have imposed increased regulation and disclosure and required enhanced corporate governance practices of public companies. We are committed to maintaining high standards of corporate governance and public disclosure, and our efforts to comply with evolving laws, regulations and standards in this regard are likely to result in increased administrative expenses and a diversion of management’s time and attention from revenue-generating activities to compliance activities. These changes will require a significant commitment of additional resources. We may not be successful in implementing these requirements and implementing them could materially adversely affect our business, results of operations and financial condition.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or the NYSE. Any such action could harm our reputation and the confidence of investors and customers in our company and could materially adversely affect our business and cause our share price to fall.</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Certain administrative services required by us for the operation of our business are currently provided by Oil States and its subsidiaries, including, but not limited to finance, legal, risk management, tax, treasury, information technology, human resources, and certain other shared services. Prior to the completion of the spin-off, we will enter into agreements with Oil States related to the separation of our business operations from Oil States, including a transition services agreement. We believe it is necessary for Oil States to provide services for us under the transition services agreement to facilitate the efficient operation of our business as we transition to becoming a stand-alone public company. We will, as a result, initially depend on Oil States for services following the completion of the spin-off. While these services are being provided to us by Oil States, our operational flexibility to modify or implement changes with respect to such services or the amounts we pay for them will be limited. After the expiration or termination of the transition services agreement, we may not be able to replace these services or enter into appropriate third-party agreements on terms and conditions, including cost, comparable to those that we will receive from Oil States under the transition services agreement. Although we intend to replace portions of the services currently provided by Oil States, we may encounter difficulties replacing certain services or be unable to negotiate pricing or other terms as favorable as those we currently have in effect. See “Arrangements Between Oil States and Our Company—Transition Services Agreement.”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We potentially could have received better terms from unaffiliated third parties than the terms we receive in our agreements with Oil States.</w:t>
      </w:r>
    </w:p>
    <w:p>
      <w:pPr>
        <w:spacing w:after="0" w:line="237"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agreements we will enter into with Oil States in connection with the separation, including the Separation and Distribution Agreement, Tax Sharing Agreement, Employee Matters Agreement, Indemnification and Release Agreement and Transition Services Agreement, will have been negotiated in the context of the separation while we were still a wholly owned subsidiary of Oil States. Accordingly, during the period in which the terms of those agreements will have been negotiated, we will not have had an independent board of directors or a management team independent of Oil States. As a result, the terms of those agreements may not reflect terms that would have resulted from arm’s-length negotiations between unaffiliated third parties. The terms of the agreements to be negotiated in the context of the separation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“Arrangements Between Oil States and Our Company” for a description of these obligations and the allocation of liabilities between Oil States and us.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increase our debt or raise additional capital in the future, which could affect our financial condition, may decrease our profitability or could dilute our shareholders.</w:t>
      </w:r>
    </w:p>
    <w:p>
      <w:pPr>
        <w:spacing w:after="0" w:line="1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stock, the terms of the debt or our preferred stock issued may give the holders rights, preferences and privileges senior to those of holders of our common stock,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tax sharing agreement, we will agree to take certain actions or refrain from taking certain actions to ensure that the spin-off qualifies for tax-free status under section 355 and section 368(a)(1)(D) of the Code. We will also make various other covenants in the tax sharing agreement intended to ensure the tax-free status of the spin-off. These covenants restrict our ability to sell assets outside the ordinary course of business, to issue or sell additional common stock or other securities (including securities convertible into our common stock), or to enter into certain other corporate transactions. For example, after the spin-off, we may not enter into any transaction that would cause us to undergo either a 50% or greater change in the ownership of our voting stock or a 50% or greater change in the ownership (measured by value) of all classes of our stock in transactions considered related to the spin-off. See “Arrangements Between Oil States and Our Company—Tax Sharing Agreement.”</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could have significant tax liabilities for periods during which our subsidiaries and operations were those of Oil States.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For any tax periods (or portion thereof) in which Oil States owns at least 80% of the total voting power and value of our common stock, we and our U.S. subsidiaries will be included in Oil States’ consolidated group for U.S. federal income tax purposes. In addition, we or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we (or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“Arrangements Between Oil States and Our Company—Tax Sharing Agreement.”</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we could be liable for the shortfall with respect to periods in which we were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following the completion of the spin-off,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23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spin-off is conditioned on Oil States’ receipt of an opinion of its outside tax advisor reasonably acceptable to the Oil States board of directors regarding certain aspects of the spin-off transaction on which the IRS will not rule, except for cash payments made to stockholders in lieu of fractional shares of SpinCo common stock that such stockholders would otherwise receive in the distribution. Oil States will receive an opinion from its outside tax advisor to such effect.</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Oil States has received a private letter ruling from the IRS regarding certain aspects of the spin-off transaction. The private letter ruling relies, and the opinion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after the spin-off. If the spin-off is determined to be taxable for U.S. federal income tax purposes for any reason, Oil States and/or its stockholders could incur significant income tax liabilities, and we could incur significant liabilities. For a discussion of the potential tax consequences to Oil States stockholders if the spin-off is determined to be taxable, see “The Spin-Off—U.S. Federal Income Tax Consequences of the Spin-Off.” For a description of the sharing of such liabilities between Oil States and us, see “Arrangements Between Oil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States and Our Company—Tax Sharing Agreement.”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Third parties may seek to hold us responsible for liabilities of Oil States that we did not assume in our agreements.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Third parties may seek to hold us responsible for retained liabilities of Oil States. Under our agreements with Oil States, Oil States will agree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prior and continuing relationship with Oil States exposes us to risks attributable to businesses of Oil States.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Immediately following the spin-off,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193"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Following the spin-off, we expect our board of directors to consider converting us to a REIT. If we qualify as a REIT, compliance with REIT requirements could have adverse consequences to us.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Following the spin-off, we expect our board of directors to consider converting us to a real estate investment trust (“REIT”). Compliance with REIT requirements may cause us to forego otherwise attractive opportunities which may hinder or delay our ability to meet our investment objectives and reduce your overall return. To qualify as a REIT, we are required at all times to satisfy certain tests relating to, among other things, the sources of our income, the nature and diversification of our assets, the ownership of our stock and amounts we distribute to our shareholders. Compliance with the REIT requirements may impair our ability to maximize profits. For example, we may be required to pay distributions to shareholders at disadvantageous times or when we do not have funds readily available for distribution.</w:t>
      </w:r>
    </w:p>
    <w:p>
      <w:pPr>
        <w:spacing w:after="0" w:line="193"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addition, to qualify as a REIT, at the end of each calendar quarter, at least 75% of our assets must consist of cash, cash items, government securities and qualified real estate assets. The remainder of our investments in securities other than qualified real estate assets and government securities generally cannot include more than 10% of the voting securities of any one issuer or more than 10% of the value of the outstanding securities of any one issuer. Additionally, no more than 5% of the value of our assets other than government securities and qualified real estate assets can consist of the securities of any one issuer, and no more than 25% of the value of our assets may be represented by securities of one or more taxable REIT subsidiaries. In order to satisfy these requirements, we may be forced to liquidate otherwise attractive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qualify as a REIT.</w:t>
      </w:r>
    </w:p>
    <w:p>
      <w:pPr>
        <w:spacing w:after="0" w:line="225" w:lineRule="exact"/>
        <w:rPr>
          <w:sz w:val="20"/>
          <w:szCs w:val="20"/>
          <w:color w:val="auto"/>
        </w:rPr>
      </w:pPr>
    </w:p>
    <w:p>
      <w:pPr>
        <w:ind w:right="60" w:firstLine="324"/>
        <w:spacing w:after="0" w:line="295" w:lineRule="auto"/>
        <w:rPr>
          <w:sz w:val="20"/>
          <w:szCs w:val="20"/>
          <w:color w:val="auto"/>
        </w:rPr>
      </w:pPr>
      <w:r>
        <w:rPr>
          <w:rFonts w:ascii="Arial" w:cs="Arial" w:eastAsia="Arial" w:hAnsi="Arial"/>
          <w:sz w:val="16"/>
          <w:szCs w:val="16"/>
          <w:color w:val="auto"/>
        </w:rPr>
        <w:t>Following the spin-off, we expect our board of directors to consider the viability and advisability of an election by SpinCo to qualify and be taxed as a REIT for U.S. federal income tax purposes. Our qualification as a REIT will depend upon our ability to meet, on an ongoing basis, requirements regarding our organization and ownership, distributions of our income, the nature and diversification of our income and assets and other tests imposed by the Code. We may fail to satisfy the REIT requirements in the future. If the IRS determines that we do not qualify as a REIT or if we qualify as a REIT and subsequently</w:t>
      </w:r>
    </w:p>
    <w:p>
      <w:pPr>
        <w:spacing w:after="0"/>
        <w:rPr>
          <w:sz w:val="20"/>
          <w:szCs w:val="20"/>
          <w:color w:val="auto"/>
        </w:rPr>
      </w:pPr>
      <w:r>
        <w:rPr>
          <w:rFonts w:ascii="Arial" w:cs="Arial" w:eastAsia="Arial" w:hAnsi="Arial"/>
          <w:sz w:val="18"/>
          <w:szCs w:val="18"/>
          <w:color w:val="auto"/>
        </w:rPr>
        <w:t>lose our REIT status, we will not receive the tax and other benefits associated with qualifying as a REIT.</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i w:val="1"/>
          <w:iCs w:val="1"/>
          <w:color w:val="auto"/>
        </w:rPr>
        <w:t>The spin-off may expose us to potential liabilities arising out of state and federal fraudulent conveyance laws and legal dividend requirements.</w:t>
      </w:r>
    </w:p>
    <w:p>
      <w:pPr>
        <w:spacing w:after="0" w:line="24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our common stock or taking other action as part of the spin-off, or that we or any of our subsidiaries did not receive fair consideration or reasonably equivalent value for incurring indebtedness, including the new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18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our common stock.</w:t>
      </w:r>
    </w:p>
    <w:p>
      <w:pPr>
        <w:spacing w:after="0" w:line="17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Under the separation and distribution agreement, from and after the spin-off, each of Oil States and we will be responsible for the debts, liabilities and other obligations related to the business or businesses which it owns and operates following the consummation of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“Arrangements Between Oil States and Our Company— Separation and Distribution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market currently exists for our common stock. We cannot assure you that an active trading market will develop for our common stock.</w:t>
      </w:r>
    </w:p>
    <w:p>
      <w:pPr>
        <w:spacing w:after="0" w:line="23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Prior to the completion of the spin-off, there has been no public market for shares of our common stock. We cannot predict the extent to which investor interest in our company will lead to the development of a trading market on the NYSE or otherwise, or how liquid that market might become. If an active market does not develop, you may have difficulty selling any shares of our common stock that you receive in the spin-off.</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you may not be able to resell your shares at or above the initial market price of our common stock following the spin-off.</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market price of our stock may be influenced by many factors, some of which are beyond our control, including those described above in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to Our Business” and the following:</w:t>
      </w:r>
    </w:p>
    <w:p>
      <w:pPr>
        <w:spacing w:after="0" w:line="21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after the spin-off or changes in financial estimates by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variations in our quarterly operating results and those of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risks related to our business and our industry, including those discussed above;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conditions or trends in our industry, markets or customers;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stock relative to other investment alternatives.</w:t>
      </w:r>
    </w:p>
    <w:p>
      <w:pPr>
        <w:spacing w:after="0" w:line="225"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As a result of these factors, holders of our common stock may not be able to resell their shares at or above the initial market price following the spin-off or may not be able to resell them at all. These broad market and industry factors may materially reduce the market price of our common stock, regardless of our operating performance. In addition, price volatility may be greater if the public float and trading volume of our common stock is 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the perception of future sales, of our common stock may depress the price of our common stock.</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Upon completion of the spin-off, we will have approximately [●] million shares of common stock outstanding. The market price of our common stock could decline significantly as a result of sales of a large number of shares of our common stock in the market after the completion of the spin-off. The shares of our common stock that Oil States distributes to its stockholders generally may be sold immediately in the public market. Oil States stockholders could sell our common stock received in the distribution if we do not fit their investment objectives or, in the case of index funds, if we are not part of the index in which they invest. Sales of significant amounts of our common stock or a perception in the market that such sales will occur may reduce the market price of our common stock. These sales, or the possibility that these sales may occur, also might make it more difficult for us to sell equity securities in the future at a time and at a price that we deem appropriate.</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Also, in the future, we may issue our securities in connection with investments or acquisitions. The amount of shares of our common stock issued in connection with an investment or acquisition could constitute a material portion of our then outstanding shares of our common stock. Issuing additional stock could adversely dilute our shareholders.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We expect that our revolving credit facility will contain, and the terms of any future indebtedness we or our subsidiaries incur may contain, limitations on our ability to pay dividends. For more information, see “Dividend Policy.” There can be no assurance that we will pay a dividend in the future or continue to pay any dividend if we do commence paying dividends.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5" w:name="page46"/>
    <w:bookmarkEnd w:id="45"/>
    <w:p>
      <w:pPr>
        <w:ind w:right="60"/>
        <w:spacing w:after="0" w:line="308" w:lineRule="auto"/>
        <w:rPr>
          <w:sz w:val="20"/>
          <w:szCs w:val="20"/>
          <w:color w:val="auto"/>
        </w:rPr>
      </w:pPr>
      <w:r>
        <w:rPr>
          <w:rFonts w:ascii="Arial" w:cs="Arial" w:eastAsia="Arial" w:hAnsi="Arial"/>
          <w:sz w:val="17"/>
          <w:szCs w:val="17"/>
          <w:b w:val="1"/>
          <w:bCs w:val="1"/>
          <w:i w:val="1"/>
          <w:iCs w:val="1"/>
          <w:color w:val="auto"/>
        </w:rPr>
        <w:t>Provisions contained in our certificate of incorporation and bylaws could discourage a takeover attempt, which may reduce or eliminate the likelihood of a change of control transaction and, therefore, the ability of our stockholders to sell their shares for a premium.</w:t>
      </w:r>
    </w:p>
    <w:p>
      <w:pPr>
        <w:spacing w:after="0" w:line="14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Provisions contained in our certificate of incorporation and bylaws provide for a classified board of directors, limitations on the removal of directors, limitations on stockholder proposals at meetings of stockholders and limitations on stockholder action by written consent and the inability of stockholders to call special meetings, could make it more difficult for a third-party to acquire control of our company. Our certificate of incorporation also authorizes our board of directors to issue preferred stock without stockholder approval. If our board of directors elects to issue preferred stock, it could increase the difficulty for a third-party to acquire us, which may reduce or eliminate our stockholders’ ability to sell their shares of our common stock at a premium. See “Description of Capital Stock—Anti-Takeover Effects of Provisions of our Amended and Restated Certificate of Incorporation, our Amended and Restated Bylaws and Delaware Law.”</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1"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forum, the Court of Chancery of the State of Delaware will, to the fullest extent permitted by applicable law, be the sole and exclusive forum for:</w:t>
      </w:r>
    </w:p>
    <w:p>
      <w:pPr>
        <w:spacing w:after="0" w:line="147" w:lineRule="exact"/>
        <w:rPr>
          <w:sz w:val="20"/>
          <w:szCs w:val="20"/>
          <w:color w:val="auto"/>
        </w:rPr>
      </w:pPr>
    </w:p>
    <w:p>
      <w:pPr>
        <w:ind w:left="1080" w:hanging="640"/>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employees or agents to us or our stockholders,</w:t>
      </w:r>
    </w:p>
    <w:p>
      <w:pPr>
        <w:spacing w:after="0" w:line="248" w:lineRule="exact"/>
        <w:rPr>
          <w:rFonts w:ascii="Arial" w:cs="Arial" w:eastAsia="Arial" w:hAnsi="Arial"/>
          <w:sz w:val="16"/>
          <w:szCs w:val="16"/>
          <w:color w:val="auto"/>
        </w:rPr>
      </w:pPr>
    </w:p>
    <w:p>
      <w:pPr>
        <w:ind w:left="1080" w:right="380" w:hanging="640"/>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(the “DGCL”), our amended and restated certificate of incorporation or our bylaws, or</w:t>
      </w:r>
    </w:p>
    <w:p>
      <w:pPr>
        <w:spacing w:after="0" w:line="170" w:lineRule="exact"/>
        <w:rPr>
          <w:rFonts w:ascii="Arial" w:cs="Arial" w:eastAsia="Arial" w:hAnsi="Arial"/>
          <w:sz w:val="18"/>
          <w:szCs w:val="18"/>
          <w:color w:val="auto"/>
        </w:rPr>
      </w:pPr>
    </w:p>
    <w:p>
      <w:pPr>
        <w:ind w:left="1080" w:right="280" w:hanging="640"/>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consented to, the provisions of our amended and restated certificate of incorporation described in the preceding sentence.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shareholders.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Publicly traded companies have increasingly become subject to campaigns by investors seeking to increase shareholder value by advocating corporate actions such as financial restructuring, increased borrowing, special dividends, stock repurchases or even sales of assets or the entire company. Upon completion of the spin-off, at least two of our shareholders, who, in the past, have been known for their shareholder activism, may own a material portion of our outstanding shares of common stock. Given our shareholder composition and other factors, it is possible such shareholders or future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instead of us because of any such issues, then our, revenue, earnings and operating cash flows could be adversely affected.</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information in this information statement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forward-looking words such as “may,” “will,” “could,” “project,” “believe,” “anticipate,” “expect,” “estimate,” “potential,” “plan,” “forecast,” “proposed,” “should,” “seek,” and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When considering forward-looking statements, you should keep in mind the risk factors and other cautionary statements described under the heading “Risk Factors” included in this information statement.</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8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and other minerals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drilling</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recovery from the recent recession;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other factors identified under the caption “Risk Factors” beginning on page 19 of this information statement.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Readers are cautioned not to place undue reliance on forward-looking statements, which speak only as of the date hereof. We undertake no responsibility to publicly release the result of any revision of our forward-looking statements after the date they are made.</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Should one or more of the risks or uncertainties described in this prospectus occur, or should underlying assumptions prove incorrect, our actual results and plans could differ materially from those expressed in any forward-looking statements.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THE SPIN-OFF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Oil States’ board of directors regularly reviewed the possibility and advisability of separating its oilfield services and accommodations businesses. On July 30, 2013, Oil States announced that its board of directors had authorized management to pursue the spin-off of its accommodations business into a standalone, publicly traded company. On , 2014, Oil States announced that its board of directors had unanimously approved the spin-off and the distribution</w:t>
      </w:r>
    </w:p>
    <w:p>
      <w:pPr>
        <w:spacing w:after="0" w:line="290" w:lineRule="auto"/>
        <w:rPr>
          <w:sz w:val="20"/>
          <w:szCs w:val="20"/>
          <w:color w:val="auto"/>
        </w:rPr>
      </w:pPr>
      <w:r>
        <w:rPr>
          <w:rFonts w:ascii="Arial" w:cs="Arial" w:eastAsia="Arial" w:hAnsi="Arial"/>
          <w:sz w:val="17"/>
          <w:szCs w:val="17"/>
          <w:color w:val="auto"/>
        </w:rPr>
        <w:t>of all of the stock of the new company to Oil States’ shareholders as of the record date of , 2014. This authorization is subject to final approval by the Oil States board of directors, which approval is subject to, among other things, the conditions described below under “—Conditions to the Spin-Off.”</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complete the spin-off, Oil States will, following the restructuring transactions described below, distribute to its stockholders all of the shares of our</w:t>
      </w:r>
    </w:p>
    <w:p>
      <w:pPr>
        <w:spacing w:after="0" w:line="4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common stock. The distribution will occur on the distribution date, which is , 2014. Each holder of Oil States common stock will receive shares of our common stock for each share of Oil States common stock held by such stockholder at the close of business on , 2014, the record date. After completion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spin-off, the accommodations business will be an independent publicly traded company.</w:t>
      </w:r>
    </w:p>
    <w:p>
      <w:pPr>
        <w:spacing w:after="0" w:line="293"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Each holder of Oil States common stock will continue to hold his, her or its shares in Oil States. No vote of Oil States stockholders is required or is being sought in connection with the spin-off, and Oil States stockholders will not have any appraisal rights in connection with the spin-off.</w:t>
      </w:r>
    </w:p>
    <w:p>
      <w:pPr>
        <w:spacing w:after="0" w:line="14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distribution of our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us from Oil States. For a more detailed description, see “—Conditions to the Spin-Off.”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Spin-Off</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Oil States’ board of directors has determined that the spin-off is in the best interests of Oil States and its stockholders because the spin-off will provide various benefits including: (1) enhancing corporate growth and efficiency by enabling each management team to focus its attention on the development and execution of its respective business; (2) improving access to capital to fund internal and external expansion; (3) enhancing SpinCo’s market recognition with investors because of more focused operations; (4) establishing an acquisition currency for SpinCo and (5) enhancing our ability to attract and retain key employees.</w:t>
      </w:r>
    </w:p>
    <w:p>
      <w:pPr>
        <w:spacing w:after="0" w:line="18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Enhancing corporate growth and efficiency by enabling each management team to focus its attention on the development and execution of its respective business</w:t>
      </w:r>
      <w:r>
        <w:rPr>
          <w:rFonts w:ascii="Arial" w:cs="Arial" w:eastAsia="Arial" w:hAnsi="Arial"/>
          <w:sz w:val="17"/>
          <w:szCs w:val="17"/>
          <w:color w:val="auto"/>
        </w:rPr>
        <w:t>. Our accommodations business and the oilfield services business of Oil States have different financial and operating characteristics and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operating strategies in order to maximize their long-term value. Our separation from Oil States will allow Oil States and us to enhance corporate growth and efficiency by providing management the ability to focus solely on our respective businesses and strategies and to better align management resources with the needs of our individual businesses. The dilution of attention involved in managing a combination of businesses with differing operating models and competing goals will thus be eliminated. Our separate management teams will also be able to better prioritize allocation of resources in support of differing priorities such as our desire to pursue our growth strategy through entry into other end markets that could benefit from the services provided by our business, including the military and student housing markets.</w:t>
      </w:r>
    </w:p>
    <w:p>
      <w:pPr>
        <w:spacing w:after="0" w:line="1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separate public companies, Oil States and we will be able to provide incentive compensation including stock related compensation, to key management and employees that is more directly linked to the specific performance of their respective company and the market performance of their stock. This should improve both our business and the Oil States’ oilfield services business’ ability to attract and retain the requisite talent to compete effectively. We also may be better able to attract management from the hospitality, real estate and business services sectors as a separate company. Furthermore, with critical bases of activities located in Canada and Australia, attracting key talent from these countries is important to our business, and we may be better able to accomplish this objective after the spin-off.</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8" w:name="page49"/>
    <w:bookmarkEnd w:id="48"/>
    <w:p>
      <w:pPr>
        <w:ind w:right="60" w:firstLine="324"/>
        <w:spacing w:after="0" w:line="289" w:lineRule="auto"/>
        <w:rPr>
          <w:sz w:val="20"/>
          <w:szCs w:val="20"/>
          <w:color w:val="auto"/>
        </w:rPr>
      </w:pPr>
      <w:r>
        <w:rPr>
          <w:rFonts w:ascii="Arial" w:cs="Arial" w:eastAsia="Arial" w:hAnsi="Arial"/>
          <w:sz w:val="16"/>
          <w:szCs w:val="16"/>
          <w:i w:val="1"/>
          <w:iCs w:val="1"/>
          <w:color w:val="auto"/>
        </w:rPr>
        <w:t>Improving access to capital to fund internal and external expansion</w:t>
      </w:r>
      <w:r>
        <w:rPr>
          <w:rFonts w:ascii="Arial" w:cs="Arial" w:eastAsia="Arial" w:hAnsi="Arial"/>
          <w:sz w:val="16"/>
          <w:szCs w:val="16"/>
          <w:color w:val="auto"/>
        </w:rPr>
        <w:t>. As a separate public company, we will no longer need to compete with Oil States’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businesses for capital resources. Both Oil States and we believe that direct and differentiated access to the capital markets will allow each of us to better optimize our capital structures to meet the specific needs of each of the respective businesses, aligning financial and operational characteristics with investor and market expectations. Specifically, the capitalization policies and ratings guidelines for accommodations companies differ significantly from those in the oilfield services industry. As a result, we expect, as a stand-alone business, to be able to lower our overall cost of capital by increasing our leverage levels over time in a manner that is consistent with industry norms. Many companies in the real estate space are able to support greater leverage while maintaining an investment grade rating; for example, lodging companies and multi-family housing companies routinely employ leverage of 4-6x Debt/EBITDA (earnings before interest, taxes, depreciation, and amortization). In contrast, few oilfield services companies have investment grade ratings and those that do generally are amongst the largest in the industry (much larger in size than Oil States) and typically carry leverage of less than 2x Debt/EBITDA.</w:t>
      </w:r>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Enhancing our market recognition with investors because of more focused operations</w:t>
      </w:r>
      <w:r>
        <w:rPr>
          <w:rFonts w:ascii="Arial" w:cs="Arial" w:eastAsia="Arial" w:hAnsi="Arial"/>
          <w:sz w:val="16"/>
          <w:szCs w:val="16"/>
          <w:color w:val="auto"/>
        </w:rPr>
        <w:t>. Oil States’ management and financial advisors believe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characteristics of the accommodations business and Oil States’ other businesses may appeal to different types of investors. We believe our simpler corporate structure with a single business segment will allow us to attract investors interested in focusing on the market dynamics, returns and informational inputs associated with an accommodations company. The spin-off will improve the investment community’s visibility into and understanding of Oil States’ and SpinCo’s operations, particularly as each company is able to develop its own separate identity by providing more focused and targeted communication to the market regarding its own business strategies, assets, operational performance, financial achievements and management teams. After the spin-off, investors should be better able to evaluate the financial performance of Oil States and us, as well as our respective strategies within the context of our respective market expectations and returns, thereby enhancing the likelihood that both entities will achieve appropriate market valuations.</w:t>
      </w:r>
    </w:p>
    <w:p>
      <w:pPr>
        <w:spacing w:after="0" w:line="16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Establishing an acquisition currency for SpinCo</w:t>
      </w:r>
      <w:r>
        <w:rPr>
          <w:rFonts w:ascii="Arial" w:cs="Arial" w:eastAsia="Arial" w:hAnsi="Arial"/>
          <w:sz w:val="17"/>
          <w:szCs w:val="17"/>
          <w:color w:val="auto"/>
        </w:rPr>
        <w:t>. As a standalone accommodations company, we will be better positioned to use our equity securities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pursuing merger and acquisition activities as the owners of the businesses we could seek to acquire will generally have greater interest in receiving securities of a company in the same line of business they were in rather than receiving the securities of a diversified operator of multiple businesses. However, we will be subject to certain requirements. For example, after the spin-off, we must avoid a 50% or greater change in our ownership in transactions related to the spin-off. This limitation is necessary in order to maintain the tax-free treatment of our separation from Oil States.</w:t>
      </w:r>
    </w:p>
    <w:p>
      <w:pPr>
        <w:spacing w:after="0" w:line="17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Enhancing our ability to attract and retain key employees</w:t>
      </w:r>
      <w:r>
        <w:rPr>
          <w:rFonts w:ascii="Arial" w:cs="Arial" w:eastAsia="Arial" w:hAnsi="Arial"/>
          <w:sz w:val="18"/>
          <w:szCs w:val="18"/>
          <w:color w:val="auto"/>
        </w:rPr>
        <w:t>. We believe that separating the oilfield services business from the accommodations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should improve both businesses ability to attract key employees with specialized skill sets. As a result of the spin-off, Oil States and SpinCo will provide incentive compensation, including stock related compensation, to key management and employees that is directly linked to the specific performance of their company and the market performance of their stock. This should improve both businesses ability to attract and retain the requisite talent to compete effectively. In addition, we expect that SpinCo will be better able to attract management from the hospitality, real estate and business services sectors as a separate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part of the spin-off, we will consummate certain restructuring transactions as follows:</w:t>
      </w:r>
    </w:p>
    <w:p>
      <w:pPr>
        <w:spacing w:after="0" w:line="221"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expect to enter into a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million,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-year credit facility Please see “Description of Material Indebtedness”;</w:t>
      </w:r>
    </w:p>
    <w:p>
      <w:pPr>
        <w:spacing w:after="0" w:line="225" w:lineRule="exact"/>
        <w:rPr>
          <w:rFonts w:ascii="Arial" w:cs="Arial" w:eastAsia="Arial" w:hAnsi="Arial"/>
          <w:sz w:val="18"/>
          <w:szCs w:val="18"/>
          <w:color w:val="auto"/>
        </w:rPr>
      </w:pPr>
    </w:p>
    <w:p>
      <w:pPr>
        <w:ind w:left="980" w:right="420" w:hanging="324"/>
        <w:spacing w:after="0" w:line="282"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Oil States will contribute and transfer to us the assets and liabilities associated with our business in exchange for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shares of our common stock;</w:t>
      </w:r>
    </w:p>
    <w:p>
      <w:pPr>
        <w:spacing w:after="0" w:line="16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pay a special dividend in the range of $650.0 million to $850.0 million to Oil States;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special dividend will settle the intercompany account balances and debt between us and Oil States;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also amend and restate our certificate of incorporation and bylaws.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Effecting the Spin-Off</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general terms and conditions relating to the spin-off will be set forth in a separation and distribution agreement between us and Oil States. Under the</w:t>
      </w:r>
    </w:p>
    <w:p>
      <w:pPr>
        <w:spacing w:after="0" w:line="46" w:lineRule="exact"/>
        <w:rPr>
          <w:sz w:val="20"/>
          <w:szCs w:val="20"/>
          <w:color w:val="auto"/>
        </w:rPr>
      </w:pPr>
    </w:p>
    <w:p>
      <w:pPr>
        <w:jc w:val="both"/>
        <w:ind w:right="100"/>
        <w:spacing w:after="0" w:line="265" w:lineRule="auto"/>
        <w:rPr>
          <w:sz w:val="20"/>
          <w:szCs w:val="20"/>
          <w:color w:val="auto"/>
        </w:rPr>
      </w:pPr>
      <w:r>
        <w:rPr>
          <w:rFonts w:ascii="Arial" w:cs="Arial" w:eastAsia="Arial" w:hAnsi="Arial"/>
          <w:sz w:val="17"/>
          <w:szCs w:val="17"/>
          <w:color w:val="auto"/>
        </w:rPr>
        <w:t>separation and distribution agreement, the distribution will be effective as of 11:59 p.m., Eastern Time, on , 2014, the distribution date. As a result of the spin-off, on the distribution date, each holder of Oil States common stock will receive shares of our common stock for each share of Oil States</w:t>
      </w:r>
    </w:p>
    <w:p>
      <w:pPr>
        <w:ind w:right="160"/>
        <w:spacing w:after="0" w:line="261" w:lineRule="auto"/>
        <w:rPr>
          <w:sz w:val="20"/>
          <w:szCs w:val="20"/>
          <w:color w:val="auto"/>
        </w:rPr>
      </w:pPr>
      <w:r>
        <w:rPr>
          <w:rFonts w:ascii="Arial" w:cs="Arial" w:eastAsia="Arial" w:hAnsi="Arial"/>
          <w:sz w:val="18"/>
          <w:szCs w:val="18"/>
          <w:color w:val="auto"/>
        </w:rPr>
        <w:t>common stock owned. In order to receive shares of our common stock in the spin-off, an Oil States stockholder must be stockholder at the close of business of the NYSE on , 2014, the record date.</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the distribution date, Oil States will release the shares of our common stock to our distribution agent to distribute to Oil States stockholders. For most of these Oil States stockholders, our distribution agent will credit their shares of our common stock to book-entry accounts established to hold their shares of our common stock. Our distribution agent will send these stockholders, including any Oil States stockholder that holds physical share certificates of Oil States common stock and is the registered holder of such shares of Oil States common stock represented by those certificates on the record date, a statement reflecting their ownership of our common stock. Book-entry refers to a method of recording stock ownership in records in which no physical certificates are used. For stockholders who own Oil States common stock through a broker or other nominee, their shares of our common stock will be credited to these stockholders’ accounts by the broker or other nominee. It is expected that it will take the distribution agent one to two weeks to electronically issue shares of our common stock to Oil States stockholders or their bank or brokerage firm by way of direct registration in book-entry form. Trading of our stock will not be affected by this delay in issuance by the distribution agent. As further discussed below, we will not issue fractional shares of our common stock in the distribution. Following the spin-off, stockholders whose shares are held in book-entry form may request that their shares of our common stock be transferred to a brokerage or other account at any time.</w:t>
      </w:r>
    </w:p>
    <w:p>
      <w:pPr>
        <w:spacing w:after="0" w:line="183"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Oil States stockholders will not be required to make any payment or surrender or exchange their shares of Oil States common stock or take any other action to receive their shares of our common stock. No vote of Oil States stockholders is required or sought in connection with the spin-off, including the restructuring transactions, and Oil States stockholders have no appraisal rights in connection with the spin-off.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distribution agent will not distribute any fractional shares of our common stock to Oil States stockholders. Instead, as soon as practicable on or after the distribution date, the distribution agent will aggregate fractional shares of our common stock held by holders of record into whole shares, sell them in the open market at the prevailing market prices and then distribute the aggregate net sale proceeds ratably to Oil States stockholders who would otherwise have been entitled to receive fractional shares of our common stock. The amount of this payment will depend on the prices at which the distribution agent sells the aggregated fractional shares of our common stock in the open market shortly after the distribution date. We will be responsible for any payment of brokerage fees. The amount of these brokerage fees is not expected to be material to us. The receipt of cash in lieu of fractional shares of our common stock will generally result in a taxable gain or loss to the recipient stockholder. Each stockholder entitled to receive cash proceeds from these shares should consult his, her or its own tax advisor as to the stockholder’s particular circumstances. The tax consequences of the distribution are described in more detail under “— U.S. Federal Income Tax Consequences of the Spin-Off.”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the Spin-Off</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following is a summary of the material U.S. federal income tax considerations relating to holders of Oil States common stock as a result of the distribution. This summary is based on the Code, the Treasury Regulations promulgated thereunder and judicial and administrative interpretations thereof, in each case as in effect and available as of the date of this information statement and all of which are subject to differing interpretations that may change at any time, possibly with retroactive effect. Any such change could affect the tax consequences described below.</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0" w:name="page51"/>
    <w:bookmarkEnd w:id="50"/>
    <w:p>
      <w:pPr>
        <w:ind w:right="300" w:firstLine="324"/>
        <w:spacing w:after="0" w:line="308" w:lineRule="auto"/>
        <w:rPr>
          <w:sz w:val="20"/>
          <w:szCs w:val="20"/>
          <w:color w:val="auto"/>
        </w:rPr>
      </w:pPr>
      <w:r>
        <w:rPr>
          <w:rFonts w:ascii="Arial" w:cs="Arial" w:eastAsia="Arial" w:hAnsi="Arial"/>
          <w:sz w:val="17"/>
          <w:szCs w:val="17"/>
          <w:color w:val="auto"/>
        </w:rPr>
        <w:t>Except as specifically described below, this summary is limited to holders of Oil States common stock that are U.S. holders (as described below). For purposes of this summary, a U.S. holder is a beneficial owner of Oil States common stock that is, for U.S. federal income tax purposes:</w:t>
      </w:r>
    </w:p>
    <w:p>
      <w:pPr>
        <w:spacing w:after="0" w:line="14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660" w:right="22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 for U.S. federal income tax purposes.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non-U.S. holder is a beneficial owner (other than an entity treated as a partnership or other pass-through entity for U.S. federal income tax purposes) of shares of Oil States common stock who is not a U.S. holder.</w:t>
      </w:r>
    </w:p>
    <w:p>
      <w:pPr>
        <w:spacing w:after="0" w:line="17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This summary does not discuss all tax considerations that may be relevant to Oil States shareholders in light of their particular circumstances, nor does it address the consequences to Oil States shareholders subject to special treatment under the U.S. federal income tax laws, such as:</w:t>
      </w:r>
    </w:p>
    <w:p>
      <w:pPr>
        <w:spacing w:after="0" w:line="147"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regulated investment companies, real estate investment trusts, or grantor trusts;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w:t>
      </w:r>
    </w:p>
    <w:p>
      <w:pPr>
        <w:spacing w:after="0" w:line="225"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holders who own shares of our common stock as part of a hedging, integrated, or conversion transaction or a straddle or holders deemed to sell shares of our common stock under the constructive sale provisions of the Code;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holders who acquired our common stock pursuant to the exercise of employee stock options or otherwise as compensation;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holders who are subject to alternative minimum tax consequences;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in such entities.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This summary does not address the U.S. federal income tax consequences to Oil States shareholders who do not hold Oil States common stock as capital assets. Moreover, this summary does not address any state, local or non-U.S. tax consequences or any estate, gift or other non-income tax consequences.</w:t>
      </w:r>
    </w:p>
    <w:p>
      <w:pPr>
        <w:spacing w:after="0" w:line="124"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Oil States common stock, the tax treatment of a partner in the partnership will generally depend upon the status of the partner and the activities of the partnership. If you are a partner of a partnership holding shares of Oil States common stock, you should consult your tax advisor.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1" w:name="page52"/>
    <w:bookmarkEnd w:id="51"/>
    <w:p>
      <w:pPr>
        <w:ind w:right="60"/>
        <w:spacing w:after="0" w:line="261" w:lineRule="auto"/>
        <w:rPr>
          <w:sz w:val="20"/>
          <w:szCs w:val="20"/>
          <w:color w:val="auto"/>
        </w:rPr>
      </w:pPr>
      <w:r>
        <w:rPr>
          <w:rFonts w:ascii="Arial" w:cs="Arial" w:eastAsia="Arial" w:hAnsi="Arial"/>
          <w:sz w:val="18"/>
          <w:szCs w:val="18"/>
          <w:b w:val="1"/>
          <w:bCs w:val="1"/>
          <w:color w:val="auto"/>
        </w:rPr>
        <w:t>HOLDERS OF OIL STATES COMMON STOCK SHOULD CONSULT THEIR OWN TAX ADVISORS WITH RESPECT TO THE SPECIFIC U.S. FEDERAL, STATE AND LOCAL AND NON-U.S. TAX CONSEQUENCES OF THE DISTRIBUTION IN LIGHT OF THEIR PARTICULAR CIRCUMSTANCES AND THE EFFECT OF POSSIBLE CHANGES IN LAW THAT MIGHT AFFECT THE TAX CONSEQUENCES DESCRIBED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Tax-free Status of the Distribution</w:t>
      </w:r>
    </w:p>
    <w:p>
      <w:pPr>
        <w:spacing w:after="0" w:line="279" w:lineRule="exact"/>
        <w:rPr>
          <w:sz w:val="20"/>
          <w:szCs w:val="20"/>
          <w:color w:val="auto"/>
        </w:rPr>
      </w:pPr>
    </w:p>
    <w:p>
      <w:pPr>
        <w:ind w:right="100" w:firstLine="324"/>
        <w:spacing w:after="0" w:line="308" w:lineRule="auto"/>
        <w:rPr>
          <w:sz w:val="20"/>
          <w:szCs w:val="20"/>
          <w:color w:val="auto"/>
        </w:rPr>
      </w:pPr>
      <w:r>
        <w:rPr>
          <w:rFonts w:ascii="Arial" w:cs="Arial" w:eastAsia="Arial" w:hAnsi="Arial"/>
          <w:sz w:val="16"/>
          <w:szCs w:val="16"/>
          <w:color w:val="auto"/>
        </w:rPr>
        <w:t>Oil States (i) has received a private letter ruling substantially to the effect that, among other things, the distribution will qualify under Section 355 of the Code as a tax-free distribution and (ii) will receive an opinion from its tax counsel regarding certain aspects of the spin-off transaction on which the IRS will</w:t>
      </w:r>
    </w:p>
    <w:p>
      <w:pPr>
        <w:spacing w:after="0"/>
        <w:rPr>
          <w:sz w:val="20"/>
          <w:szCs w:val="20"/>
          <w:color w:val="auto"/>
        </w:rPr>
      </w:pPr>
      <w:r>
        <w:rPr>
          <w:rFonts w:ascii="Arial" w:cs="Arial" w:eastAsia="Arial" w:hAnsi="Arial"/>
          <w:sz w:val="18"/>
          <w:szCs w:val="18"/>
          <w:color w:val="auto"/>
        </w:rPr>
        <w:t>not rule. Because the distribution will qualify as a tax-free distribution,</w:t>
      </w:r>
    </w:p>
    <w:p>
      <w:pPr>
        <w:spacing w:after="0" w:line="239" w:lineRule="exact"/>
        <w:rPr>
          <w:sz w:val="20"/>
          <w:szCs w:val="20"/>
          <w:color w:val="auto"/>
        </w:rPr>
      </w:pPr>
    </w:p>
    <w:p>
      <w:pPr>
        <w:ind w:left="660" w:right="28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included in the income of, Oil States stockholders upon their receipt of shares of our common stock in the distribution;</w:t>
      </w:r>
    </w:p>
    <w:p>
      <w:pPr>
        <w:spacing w:after="0" w:line="170" w:lineRule="exact"/>
        <w:rPr>
          <w:rFonts w:ascii="Arial" w:cs="Arial" w:eastAsia="Arial" w:hAnsi="Arial"/>
          <w:sz w:val="18"/>
          <w:szCs w:val="18"/>
          <w:color w:val="auto"/>
        </w:rPr>
      </w:pPr>
    </w:p>
    <w:p>
      <w:pPr>
        <w:ind w:left="660" w:right="44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basis of an Oil States stockholder in Oil States common stock immediately before the distribution will be allocated between the Oil States common stock held by such holder and our common stock received by such holder in the distribution, in proportion to their relative fair market values at the time of the distribution;</w:t>
      </w:r>
    </w:p>
    <w:p>
      <w:pPr>
        <w:spacing w:after="0" w:line="181"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holding period of our common stock received by each Oil States stockholder will include the period during which the stockholder held the Oil States common stock on which the distribution is made, provided that the Oil States common stock is held as a capital asset on the distribution date;</w:t>
      </w:r>
    </w:p>
    <w:p>
      <w:pPr>
        <w:spacing w:after="0" w:line="123" w:lineRule="exact"/>
        <w:rPr>
          <w:rFonts w:ascii="Arial" w:cs="Arial" w:eastAsia="Arial" w:hAnsi="Arial"/>
          <w:sz w:val="16"/>
          <w:szCs w:val="16"/>
          <w:color w:val="auto"/>
        </w:rPr>
      </w:pPr>
    </w:p>
    <w:p>
      <w:pPr>
        <w:ind w:left="660" w:right="20" w:hanging="652"/>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Oil States stockholder that receives cash in lieu of a fractional share of our common stock generally should recognize taxable gain or loss equal to the difference between the amount of cash received for such fractional share of our common stock and the tax basis allocable to such fractional share interests in our common stock (determined as described above) and such gain will be capital gain or loss if the Oil States common stock on which the distribution is made is held as a capital asset on the distribution date; and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gain or loss will be recognized by Oil States upon the distribution of our common stock.</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private letter ruling relies, and the tax opinion of counsel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In addition, an opinion of counsel is not binding on the IRS, so, notwithstanding the opinion of Oil States’ tax advisor, the IRS could conclude upon audit that the distribution is taxable if it disagrees with the conclusions in the opinion or for other reasons. There can be no assurance that the IRS or the courts will not challenge the qualification of the distribution as a tax-free transaction under Section 355 of the Code or that such challenge would not prevail.</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though the distribution will otherwise qualify as tax-free, Oil States or its affiliates may recognize taxable gain under Section 355(e) of the Code if there are one or more acquisitions (including issuances) of either our stock or the stock of Oil States, representing 50% or more, measured by vote or value, of the then-outstanding stock of either corporation, and the acquisition or acquisitions are deemed to be part of a plan or series of related transactions that include the distribution. Any such acquisition of our stock within two years before or after the distribution (with exceptions, including public trading by less-than-five percent stockholders and certain compensatory stock issuances) generally will be presumed to be part of such a plan unless Oil States can rebut that presumption. If Oil States recognizes gain under Section 355(e), it would result in a significant U.S. federal income tax liability to Oil States (although the distribution would generally be tax-free to Oil States stockholders), and, under some circumstances, the tax sharing agreement would require us to indemnify Oil States for such tax liability. See “—Indemnification” and “Arrangements Between Oil States and Our Company—Tax Sharing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U.S. 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SpinCo Stock</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discussion above under “—Tax-Free Status of the Distribution” applies to U.S. holders if the distribution qualifies as tax-free under Section 355 of the Code.</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the distribution of shares of our common stock were determined not to qualify under Section 355, then each U.S. holder of Oil States receiving shares of our common stock in the distribution generally would be treated as receiving a distribution in an amount equal to the fair market value of such shares (including fractional shares in lieu of which such holder receives cash) of our common stock. This generally would result in the following consequences to the U.S. holder:</w:t>
      </w:r>
    </w:p>
    <w:p>
      <w:pPr>
        <w:spacing w:after="0" w:line="187"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first, a taxable dividend to the extent of such U.S. holder’s pro rata share of Oil States’ current and accumulated earnings and profits;</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second, any amount that exceeds Oil States’ earnings and profits would be treated as a nontaxable return of capital to the extent of such U.S. holder’s tax basis in its shares of Oil States’ common stock;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third, any remaining amount would be taxed as capital gain.</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Oil States would recognize a taxable gain equal to the excess of the fair market value of our common stock distributed over Oil States’ adjusted tax basis in such stock, and, under certain circumstances, the tax sharing agreement would require us to indemnify Oil States for such tax liability. See “—Indemnification” and “Arrangements Between Oil States and Our Company—Tax Sharing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in Lieu of Fractional Shares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Though the distribution qualifies as a tax-free distribution for U.S. federal income tax purposes, a U.S. holder who receives cash in lieu of our common stock in connection with the distribution generally will recognize capital gain or loss measured by the difference between the cash received for such fractional share of our common stock and the holder’s tax basis that would be allocated to such fractional share. Any such capital gain would be long term capital gain, assuming that the U.S. holder has held all of its Oil States common stock for more than one year. If the distribution does not qualify as a tax-free distribution, then the same rule will apply, but the U.S. holder’s basis in the fractional share of our stock will be its fair market value at the time of the distribution.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 U.S. holder that receives a taxable distribution of our common stock or payment of cash in lieu of a fractional share of our common stock made in connection with the distribution may be subject to information reporting and backup withholding. A U.S. holder may avoid backup withholding if such holder provides proof of an applicable exemption or a correct taxpayer identification number, and otherwise complies with the requirements of the backup withholding rules. Backup withholding does not constitute an additional tax, but is merely an advance payment that may be refunded or credited against a holder’s U.S. federal income tax liability, provided the required information is timely supplied to the IRS.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Non-U.S. 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SpinCo Stock</w:t>
      </w:r>
    </w:p>
    <w:p>
      <w:pPr>
        <w:spacing w:after="0" w:line="252" w:lineRule="exact"/>
        <w:rPr>
          <w:sz w:val="20"/>
          <w:szCs w:val="20"/>
          <w:color w:val="auto"/>
        </w:rPr>
      </w:pPr>
    </w:p>
    <w:p>
      <w:pPr>
        <w:ind w:right="40" w:firstLine="324"/>
        <w:spacing w:after="0" w:line="292" w:lineRule="auto"/>
        <w:rPr>
          <w:sz w:val="20"/>
          <w:szCs w:val="20"/>
          <w:color w:val="auto"/>
        </w:rPr>
      </w:pPr>
      <w:r>
        <w:rPr>
          <w:rFonts w:ascii="Arial" w:cs="Arial" w:eastAsia="Arial" w:hAnsi="Arial"/>
          <w:sz w:val="16"/>
          <w:szCs w:val="16"/>
          <w:color w:val="auto"/>
        </w:rPr>
        <w:t>The distribution will qualify as a tax-free distribution for U.S. federal income tax purposes. Non-U.S. holders receiving stock in the distribution will not be subject to U.S. federal income tax on any gain realized on the receipt of our common stock so long as (1) Oil States’ common stock is considered regularly traded on an established securities market and (2) such non-U.S. holder beneficially owns five percent or less of Oil States’ common stock at all times during the shorter of the five-year period ending on the distribution date or the non-U.S. holder’s holding period, taking into account both actual and constructive ownership under the applicable ownership attribution rules of the Code. Oil States believes that its common stock has been and is regularly traded on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established securities market for U.S. federal income tax purposes.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firstLine="324"/>
        <w:spacing w:after="0" w:line="286" w:lineRule="auto"/>
        <w:rPr>
          <w:sz w:val="20"/>
          <w:szCs w:val="20"/>
          <w:color w:val="auto"/>
        </w:rPr>
      </w:pPr>
      <w:r>
        <w:rPr>
          <w:rFonts w:ascii="Arial" w:cs="Arial" w:eastAsia="Arial" w:hAnsi="Arial"/>
          <w:sz w:val="16"/>
          <w:szCs w:val="16"/>
          <w:color w:val="auto"/>
        </w:rPr>
        <w:t>Any non-U.S. holder that beneficially owns more than five percent of Oil States common stock under the rules described above and receives our common stock will be subject to U.S. federal income tax on any gain realized with respect to its existing Oil States common stock as a result of the distribution if (1) Oil States is treated as a “United States real property holding corporation” (“USRPHC”) for U.S. federal income tax purposes at any time during the shorter of the five year period ending on the distribution date or the period during which the non-U.S. holder held such Oil States common stock and (2) we are not a USRPHC immediately following the distribution. In general, either Oil States or we will be a USRPHC at any relevant time described above if 50 percent or more of the fair market value of the respective company’s assets constitute “United States real property interests” within the meaning of the Code. We expect to be a USRPHC immediately after the distribution. However, because the determination of whether we are a USRPHC turns on the relative fair market value of our United States real property interests and our other assets, and because the USRPHC rules are complex, we can give no assurance that we will be a USRPHC after the distribution. Any non-U.S. holder that beneficially owns more than five percent of Oil States common stock under the rules described above and receives our common stock will not be subject to U.S. federal income tax on any gain realized with respect to its existing Oil States common stock as a result of the distribution if (a) both we and Oil States are USRPHCs and (b) such non-U.S. holders meet certain procedural and substantive requirements described in such Treasury regulations. Non-U.S. holders should consult their tax advisors to determine if they are more than five percent beneficial owners of Oil States’ common stock, or may be more than five percent owners of our common stock under the applicable rules.</w:t>
      </w:r>
    </w:p>
    <w:p>
      <w:pPr>
        <w:spacing w:after="0" w:line="175"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If the distribution was determined not to qualify as a tax-free distribution for U.S. federal income tax purposes, then each non-U.S. holder receiving shares of our common stock in the distribution (including fractional shares in lieu of which such holder receives cash) would be subject to U.S. federal income tax at a rate of 30 percent of the gross amount of any such distribution that is treated as a dividend, unless:</w:t>
      </w:r>
    </w:p>
    <w:p>
      <w:pPr>
        <w:spacing w:after="0" w:line="166" w:lineRule="exact"/>
        <w:rPr>
          <w:sz w:val="20"/>
          <w:szCs w:val="20"/>
          <w:color w:val="auto"/>
        </w:rPr>
      </w:pPr>
    </w:p>
    <w:p>
      <w:pPr>
        <w:ind w:right="240" w:firstLine="332"/>
        <w:spacing w:after="0" w:line="277" w:lineRule="auto"/>
        <w:tabs>
          <w:tab w:leader="none" w:pos="7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dividend was effectively connected with the conduct of a trade or business, or, if an income tax treaty applies, is attributable to a permanent establishment or fixed base maintained by the non-U.S. holder within the United States; or</w:t>
      </w:r>
    </w:p>
    <w:p>
      <w:pPr>
        <w:spacing w:after="0" w:line="170" w:lineRule="exact"/>
        <w:rPr>
          <w:rFonts w:ascii="Arial" w:cs="Arial" w:eastAsia="Arial" w:hAnsi="Arial"/>
          <w:sz w:val="18"/>
          <w:szCs w:val="18"/>
          <w:color w:val="auto"/>
        </w:rPr>
      </w:pPr>
    </w:p>
    <w:p>
      <w:pPr>
        <w:ind w:left="760" w:hanging="428"/>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non-U.S. holder is entitled to a reduced tax rate with respect to dividends pursuant to an applicable income tax treaty.</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first exception, regular graduated federal income tax rates applicable to U.S. persons would apply to the dividend, and, in the case of a corporate non-U.S. holder, a branch profits tax may also apply, as described below. Unless one of these exceptions applies and the non-U.S. holder provides Oil States with an appropriate IRS Form (or Forms) W-8 to claim an exemption from or reduction in the rate of withholding under such exception, Oil States may be required to withhold 30 percent of any distribution of our common stock treated as a dividend to satisfy the non-U.S. holder’s U.S. federal income tax liability.</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 distribution of our common stock that is not tax-free for U.S. federal income tax purposes could also be treated as a nontaxable return of capital or could trigger capital gain for U.S. federal income tax purposes. A distribution of our common stock that is treated as a nontaxable return of capital is generally not subject to U.S. income tax. Furthermore, such distribution generally is not subject to U.S. withholding tax so long as the common stock of Oil States is regularly traded on an established securities market, which Oil States believes to be the case, and the non-U.S. holder does not beneficially own more than five percent of Oil States’ common stock at any time during the shorter of the five year period ending on the distribution date or the period during which the non-U.S. Holder held such Oil States common stock, taking into account the attribution rules described above. A distribution of our common stock triggering capital gain is generally not subject to U.S. federal income taxation subject to the same exceptions described below under “—Cash In Lieu of Fractional Shares,” and generally is not subject to U.S. withholding tax subject to the same exception described above for a nontaxable return of capital.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i w:val="1"/>
          <w:iCs w:val="1"/>
          <w:color w:val="auto"/>
        </w:rPr>
        <w:t>Cash In Lieu of Fractional Shares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the distribution will qualify as a tax-free distribution, non-U.S. holders generally will not be subject to regular U.S. federal income or withholding tax on gain realized on the receipt of cash in lieu of fractional shares of our common stock received in the distribution, unless:</w:t>
      </w:r>
    </w:p>
    <w:p>
      <w:pPr>
        <w:spacing w:after="0" w:line="170" w:lineRule="exact"/>
        <w:rPr>
          <w:sz w:val="20"/>
          <w:szCs w:val="20"/>
          <w:color w:val="auto"/>
        </w:rPr>
      </w:pPr>
    </w:p>
    <w:p>
      <w:pPr>
        <w:ind w:right="200" w:firstLine="332"/>
        <w:spacing w:after="0" w:line="277" w:lineRule="auto"/>
        <w:tabs>
          <w:tab w:leader="none" w:pos="7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gain is effectively connected with a United States trade or business of the non-U.S. holder or, if an income tax treaty applies, attributable to a permanent establishment or fixed base maintained by the non-U.S. holder within the United States;</w:t>
      </w:r>
    </w:p>
    <w:p>
      <w:pPr>
        <w:spacing w:after="0" w:line="170" w:lineRule="exact"/>
        <w:rPr>
          <w:rFonts w:ascii="Arial" w:cs="Arial" w:eastAsia="Arial" w:hAnsi="Arial"/>
          <w:sz w:val="18"/>
          <w:szCs w:val="18"/>
          <w:color w:val="auto"/>
        </w:rPr>
      </w:pPr>
    </w:p>
    <w:p>
      <w:pPr>
        <w:ind w:right="300" w:firstLine="332"/>
        <w:spacing w:after="0" w:line="277" w:lineRule="auto"/>
        <w:tabs>
          <w:tab w:leader="none" w:pos="7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in which the distribution occurs and certain other conditions are met; or</w:t>
      </w:r>
    </w:p>
    <w:p>
      <w:pPr>
        <w:spacing w:after="0" w:line="170" w:lineRule="exact"/>
        <w:rPr>
          <w:rFonts w:ascii="Arial" w:cs="Arial" w:eastAsia="Arial" w:hAnsi="Arial"/>
          <w:sz w:val="18"/>
          <w:szCs w:val="18"/>
          <w:color w:val="auto"/>
        </w:rPr>
      </w:pPr>
    </w:p>
    <w:p>
      <w:pPr>
        <w:ind w:right="240" w:firstLine="332"/>
        <w:spacing w:after="0" w:line="264" w:lineRule="auto"/>
        <w:tabs>
          <w:tab w:leader="none" w:pos="7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are treated as a USRPHC immediately after the distribution, and (i) our common stock is not regularly traded on an established securities market (which we do not believe to be the case), or (ii) if our common stock were regularly traded on an established securities market, the non-U.S. holder beneficially owned more than five percent of our common stock under the rules described above.</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If one of the above clauses (1) through (3) applies, the non-U.S. holder generally will recognize capital gain or loss measured by the difference between the cash received for the fractional share of our common stock and the holder’s tax basis that would be allocated to such fractional share. Gains realized by a non-U.S. holder described in clause (1) above that are effectively connected with the conduct of a trade or business, or, if an income tax treaty applies, are attributable to a permanent establishment or a fixed base maintained by the non-U.S. holder within the United States generally will be taxed on a net income basis at the graduated rates that are applicable to U.S. persons. In the case of a non-U.S. holder that is a corporation, such income may also be subject to the U.S. federal branch profits tax, which generally is imposed on a foreign corporation upon the deemed repatriation from the United States of effectively connected earnings and profits, currently at a 30 percent rate, unless the rate is reduced or eliminated by an applicable income tax treaty and the non-U.S. holder is a qualified resident of the treaty country. Gains realized by a non-U.S. holder described in clause (2) above generally will be subject to a 30 percent tax from the receipt of cash in lieu of fractional shares (or a lower treaty rate, if applicable), with such gains eligible to be offset by certain U.S.-source capital losses recognized in the same taxable year of the distribution. Non-U.S. holders that meet the circumstances in clause (3) should consult their tax advisors regarding the determination of the amount of gain (if any) that would be subject to U.S. federal income tax. If the distribution does not qualify as a tax-free distribution, then the same rule will apply, but the non-U.S. holder’s basis in the fractional share of our stock will be its fair market value at the time of the distribution.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Payments made to non-U.S. holders in the distribution may be subject to information reporting and backup withholding. Non-U.S. holders generally may avoid backup withholding by furnishing a properly executed IRS Form W-8BEN (or other applicable IRS Form W-8) certifying the non-U.S. holder’s non-U.S. status or by otherwise establishing an exemption. Backup withholding is not an additional tax. Rather, non-U.S. holders may use amounts withheld as a credit against their U.S. federal income tax liability or may claim a refund of any excess amounts withheld by timely and duly filing a claim for refund with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for Significant Stockholders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Current Treasury regulations require a “significant” stockholder (one who immediately before the distribution owns 5% or more (by vote or value) of the total outstanding Oil States common stock) who receives our common stock pursuant to the distribution to attach to such stockholder’s U.S. federal income tax return for the year in which the distribution occurs a detailed statement setting forth such data as may be appropriate in order to show the applicability to the distribution of Section 355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Under the tax sharing agreement, we have agreed to indemnify Oil States from liability for any taxes arising from the spin-off to the extent attributable to a breach by us (or any of our subsidiaries) of any of our representations or covenants in the tax sharing agreement, the separation and distribution agreement, or made in connection with the private letter ruling or opinion of counsel. In addition, we have agreed to pay 50% of any taxes arising from the spin-off to the extent that the tax is not attributable to the fault of either party. See “Arrangements Between Oil States and Our Company—Tax Sharing Agreement.”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Results of the Spin-Off</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After the spin-off, we will be an independent, publicly owned company. Immediately following the spin-off, we expect to have approximately [●] holders of shares of our common stock and approximately [●] million shares of our common stock outstanding, based on the number of stockholders and outstanding shares of Oil States common stock expected as of the record date. The figures assume no exercise of outstanding options and exclude shares of Oil States common stock held directly or indirectly by Oil States, if any. The actual number of shares to be distributed will be determined on the record date and will reflect any exercise of Oil States options between the date the Oil States board of directors declares the dividend for the distribution and the record date for the distribution.</w:t>
      </w:r>
    </w:p>
    <w:p>
      <w:pPr>
        <w:spacing w:after="0" w:line="19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For information regarding options to purchase shares of our common stock that will be outstanding after the distribution, see “Capitalization,” “Management” and “Arrangements Between Oil States and Our Company—Employee Matters Agreement.”</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Before the spin-off, we will enter into several agreements with Oil States to effect the spin-off and provide a framework for our relationship with Oil States after the spin-off. These agreements will govern the relationship between us and Oil States after completion of the spin-off and provide for the allocation between us and Oil States of Oil States’ assets, liabilities and obligations. For a more detailed description of these agreements, see “Arrangements Between Oil States and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Prior to the Distribution Date</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It is anticipated that, on or shortly before the record date and continuing up to and including the distribution date, there will be a “when-issued” market in our common stock. When-issued trading refers to a sale or purchase made conditionally because the security has been authorized but not yet issued. The when-issued trading market will be a market for shares of our common stock that will be distributed to Oil States stockholders on the distribution date. Any Oil States stockholder that owns shares of Oil States common stock at the close of business on the record date will be entitled to shares of our common stock distributed in the spin-off. Oil States stockholders may trade this entitlement to shares of our common stock, without the shares of Oil States common stock they own, on the when-issued market. On the first trading day following the distribution date, we expect when-issued trading with respect to our common stock will end and “regular-way” trading will begin. See “Trading Market.”</w:t>
      </w:r>
    </w:p>
    <w:p>
      <w:pPr>
        <w:spacing w:after="0" w:line="17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Following the distribution date, we expect shares of our common stock to be listed on the NYSE under the ticker symbol “[●]” We will announce the when-issued ticker symbol when and if it becomes available.</w:t>
      </w:r>
    </w:p>
    <w:p>
      <w:pPr>
        <w:spacing w:after="0" w:line="17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shares of Oil States common stock are sold in the regular-way market up to and including the distribution date, the selling stockholder’s right to receive shares of our common stock in the distribution will be sold as well. However, if Oil States stockholders own shares of Oil States common stock at the close of business on the record date and sell those shares on the ex-distribution market up to and including the distribution date, the selling stockholders will still receive the shares of our common stock that they would otherwise receive pursuant to the distribution. See “Trading Market.”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Treatment of Stock-Based Plans for Current and Former Employees</w:t>
      </w:r>
    </w:p>
    <w:p>
      <w:pPr>
        <w:spacing w:after="0" w:line="25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treatment of outstanding Oil States options and other equity-based compensation awards has not been finally determined. However, it is currently anticipated that all outstanding Oil States options and other time-vested equity-based awards (whether held by current or former employees or directors of Oil States or SpinCo) will be adjusted in connection with the spin-off (or, in the case of restricted shares of Oil States common stock, will directly participate in the spin-off) such that following the spin-off each equity award holder will hold the same type of award with respect to Oil States common stock along with a separate award of the same type of SpinCo common stock, with the number of shares and exercise price of such award adjusted to preserve the value of the award prior to the spin-off. Oil States continues to evaluate the treatment of certain performance-based equity compensation awards in connection with the spin-off. Additional detail regarding the final treatment of Oil States options and other equity-based awards will be included in a subsequent amendment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statement.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Incurrence of Debt</w:t>
      </w:r>
    </w:p>
    <w:p>
      <w:pPr>
        <w:spacing w:after="0" w:line="225" w:lineRule="exact"/>
        <w:rPr>
          <w:sz w:val="20"/>
          <w:szCs w:val="20"/>
          <w:color w:val="auto"/>
        </w:rPr>
      </w:pPr>
    </w:p>
    <w:p>
      <w:pPr>
        <w:ind w:right="300" w:firstLine="324"/>
        <w:spacing w:after="0" w:line="266" w:lineRule="auto"/>
        <w:rPr>
          <w:sz w:val="20"/>
          <w:szCs w:val="20"/>
          <w:color w:val="auto"/>
        </w:rPr>
      </w:pPr>
      <w:r>
        <w:rPr>
          <w:rFonts w:ascii="Arial" w:cs="Arial" w:eastAsia="Arial" w:hAnsi="Arial"/>
          <w:sz w:val="18"/>
          <w:szCs w:val="18"/>
          <w:color w:val="auto"/>
        </w:rPr>
        <w:t>Upon the closing of the spin-off, we expect to enter into a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million,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-year credit facility. We have not obtained a financing commitment for the credit facility. Amounts outstanding under the credit facility are initially expected to bear variable-rate interest at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See “Description of Material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Spin-Off</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expect that the spin-off will be effective as of 11:59 p.m., Eastern Time, on , 2014, the distribution date, provided that the following conditions shall have been satisfied or waived by Oil States:</w:t>
      </w:r>
    </w:p>
    <w:p>
      <w:pPr>
        <w:spacing w:after="0" w:line="170" w:lineRule="exact"/>
        <w:rPr>
          <w:sz w:val="20"/>
          <w:szCs w:val="20"/>
          <w:color w:val="auto"/>
        </w:rPr>
      </w:pPr>
    </w:p>
    <w:p>
      <w:pPr>
        <w:ind w:left="660" w:right="14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 will have declared effective our registration statement on Form 10, of which this information statement is a part, under the Exchange Act; no stop order suspending the effectiveness of the registration statement shall be in effect; and no proceedings for such purpose shall be pending before or threatened by the SEC;</w:t>
      </w:r>
    </w:p>
    <w:p>
      <w:pPr>
        <w:spacing w:after="0" w:line="181" w:lineRule="exact"/>
        <w:rPr>
          <w:rFonts w:ascii="Arial" w:cs="Arial" w:eastAsia="Arial" w:hAnsi="Arial"/>
          <w:sz w:val="18"/>
          <w:szCs w:val="18"/>
          <w:color w:val="auto"/>
        </w:rPr>
      </w:pPr>
    </w:p>
    <w:p>
      <w:pPr>
        <w:ind w:left="660" w:right="90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required actions and filings with regard to state securities and blue sky laws of the U.S. (and any comparable laws under any foreign jurisdictions) will have been taken and, where applicable, have become effective or been accepted;</w:t>
      </w:r>
    </w:p>
    <w:p>
      <w:pPr>
        <w:spacing w:after="0" w:line="170"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SpinCo common stock will have been authorized for listing on the NYSE, or another national securities exchange approved by SpinCo, subject to official notice of issuance;</w:t>
      </w:r>
    </w:p>
    <w:p>
      <w:pPr>
        <w:spacing w:after="0" w:line="170" w:lineRule="exact"/>
        <w:rPr>
          <w:rFonts w:ascii="Arial" w:cs="Arial" w:eastAsia="Arial" w:hAnsi="Arial"/>
          <w:sz w:val="18"/>
          <w:szCs w:val="18"/>
          <w:color w:val="auto"/>
        </w:rPr>
      </w:pPr>
    </w:p>
    <w:p>
      <w:pPr>
        <w:ind w:left="660" w:right="4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181"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Oil States shall have received an opinion of its tax counsel, in form and substance acceptable to Oil States and which shall remain in full force and effect, as to certain matters affecting the tax treatment of the Spin-off on which the IRS will not rule;</w:t>
      </w:r>
    </w:p>
    <w:p>
      <w:pPr>
        <w:spacing w:after="0" w:line="170"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order, injunction, decree or regulation issued by any court or agency of competent jurisdiction or other legal restraint or prohibition preventing consummation of the distribution will be in effect;</w:t>
      </w:r>
    </w:p>
    <w:p>
      <w:pPr>
        <w:spacing w:after="0" w:line="170"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government approvals and other material consents necessary to consummate the distribution will have been obtained and be in full force and effect.</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fulfillment of the foregoing conditions will not create any obligations on Oil States’ part to effect the distribution, and the Oil States board of directors has reserved the right, in its sole discretion, to abandon, modify or change the terms of the distribution, including by accelerating or delaying the timing of the consummation of all or part of the distribution, at any time prior to the distribution date.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TRADING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There has been no public market for our common stock. An active trading market may not develop or may not be sustained. We anticipate that trading of our common stock will commence on a “when-issued” basis on or shortly before the record date and continue through the distribution date. When-issued trading refers to a sale or purchase made conditionally because the security has been authorized but not yet issued. When-issued trades generally settle within four trading days after the distribution date. If you own shares of Oil States common stock at the close of business on the record date, you will be entitled to shares of our common stock distributed pursuant to the spin-off. You may trade this entitlement to shares of our common stock, without the shares of Oil States common stock you own, on the when-issued market. On the first trading day following the distribution date, any when-issued trading with respect to our common stock will end and “regular-way” trading will begin. We intend to list our common stock on the NYSE under the ticker symbol “[●]” We will announce our when-issued trading symbol when and if it becomes available.</w:t>
      </w:r>
    </w:p>
    <w:p>
      <w:pPr>
        <w:spacing w:after="0" w:line="17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you sell shares of Oil States common stock in the regular-way market up to and including the distribution date, you will be selling your right to receive shares of our common stock in the distribution. However, if you own shares of Oil States common stock at the close of business on the record date and sell those shares on the ex-distribution market up to and including the distribution date, you will still receive the shares of our common stock that you would otherwise receive pursuant to the distribution.</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predict the prices at which our common stock may trade before the spin-off on a “when-issued” basis or after the spin-off. Those prices will be determined by the marketplace. Prices at which trading in our common stock occurs may fluctuate significantly. Those prices may be influenced by many factors, including anticipated or actual fluctuations in our operating results or those of other companies in our industry, investor perception of our company and the accommodations industry, market fluctuations and general economic conditions. In addition, the stock market in general has experienced extreme price and volume fluctuations that have affected the performance of many stocks and that have often been unrelated or disproportionate to the operating performance of these companies. These are just some factors that may adversely affect the market price of our common stock. See “Risk Factors—Risks Related to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of Our Common Stock</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shares of our common stock that you will receive in the distribution will be freely transferable, unless you are considered an “affiliate” of ours under Rule 144 under the Securities Act of 1933, as amended (the “Securities Act”). Persons who can be considered our affiliates after the spin-off generally include individuals or entities that directly, or indirectly through one or more intermediaries, control, are controlled by, or are under common control with, us, and may include certain of our officers and directors. In addition, individuals who are affiliates of Oil States on the distribution date may be deemed to be affiliates of ours. We estimate that our directors and executive officers, who may be considered “affiliates” for purposes of Rule 144, will beneficially own approximately [●] shares of our common stock immediately following the distribution. See “Security Ownership of Certain Beneficial Owners and Management” included elsewhere in this information statement for more information. Our affiliates may sell shares of our common stock received in the distribution only:</w:t>
      </w:r>
    </w:p>
    <w:p>
      <w:pPr>
        <w:spacing w:after="0" w:line="192"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under a registration statement that the SEC has declared effective under the Securities Act;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under an exemption from registration under the Securities Act, such as the exemption afforded by Rule 144.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ind w:firstLine="324"/>
        <w:spacing w:after="0" w:line="264" w:lineRule="auto"/>
        <w:rPr>
          <w:sz w:val="20"/>
          <w:szCs w:val="20"/>
          <w:color w:val="auto"/>
        </w:rPr>
      </w:pPr>
      <w:r>
        <w:rPr>
          <w:rFonts w:ascii="Arial" w:cs="Arial" w:eastAsia="Arial" w:hAnsi="Arial"/>
          <w:sz w:val="18"/>
          <w:szCs w:val="18"/>
          <w:color w:val="auto"/>
        </w:rPr>
        <w:t>In general, under Rule 144 as currently in effect, an affiliate will be entitled to sell, within any three-month period commencing 90 days after the date the registration statement, of which this information statement is a part, is declared effective, a number of shares of our common stock that does not exceed the greater of:</w:t>
      </w:r>
    </w:p>
    <w:p>
      <w:pPr>
        <w:spacing w:after="0" w:line="181"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 of our common stock then outstanding; or</w:t>
      </w:r>
    </w:p>
    <w:p>
      <w:pPr>
        <w:spacing w:after="0" w:line="225"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NYSE during the four calendar weeks preceding the filing of a notice on Form 144 with respect to the sale.</w:t>
      </w:r>
    </w:p>
    <w:p>
      <w:pPr>
        <w:spacing w:after="0" w:line="17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Rule 144 also includes notice requirements and restrictions governing the manner of sale. Sales may not be made under Rule 144 unless certain information about us is publicly available.</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future, we may adopt new stock option and other equity-based award plans and issue options to purchase shares of our common stock and other stock-based awards. We currently expect to file a registration statement under the Securities Act to register shares to be issued under these stock plans. Shares issued pursuant to awards after the effective date of the registration statement, other than shares issued to affiliates, generally will be freely tradable without further registration under the Securities Act.</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Except for our common stock distributed in the distribution, none of our equity securities will be outstanding on or immediately after the spin-off and there are no registration rights agreements existing with respect to our common stock.</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9" w:name="page60"/>
    <w:bookmarkEnd w:id="59"/>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In addition, our ability to pay dividends may be limited by covenants in our revolving credit facility. Future agreements may also limit our ability to pay dividends. See “Description of Material Indebtedness.”</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following table sets forth (i) our historical capitalization as of December 31, 2013, and (ii) our adjusted capitalization assuming the distribution, the incurrence of debt and other matters (as discussed in “The Spin-Off”) was effective as of December 31, 2013. The table should be read in conjunction with “Management’s Discussion and Analysis of Financial Condition and Results of Operations” and the historical combined and pro forma combined financial statements and accompanying notes included elsewhere in this Information Statement.</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7"/>
          </w:tcPr>
          <w:p>
            <w:pPr>
              <w:ind w:left="540"/>
              <w:spacing w:after="0"/>
              <w:rPr>
                <w:sz w:val="20"/>
                <w:szCs w:val="20"/>
                <w:color w:val="auto"/>
              </w:rPr>
            </w:pPr>
            <w:r>
              <w:rPr>
                <w:rFonts w:ascii="Arial" w:cs="Arial" w:eastAsia="Arial" w:hAnsi="Arial"/>
                <w:sz w:val="18"/>
                <w:szCs w:val="18"/>
                <w:b w:val="1"/>
                <w:bCs w:val="1"/>
                <w:color w:val="auto"/>
              </w:rPr>
              <w:t>As of December 31,</w:t>
            </w:r>
          </w:p>
        </w:tc>
      </w:tr>
      <w:tr>
        <w:trPr>
          <w:trHeight w:val="191"/>
        </w:trPr>
        <w:tc>
          <w:tcPr>
            <w:tcW w:w="80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70"/>
              <w:spacing w:after="0" w:line="191" w:lineRule="exact"/>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6"/>
                <w:szCs w:val="16"/>
                <w:color w:val="auto"/>
              </w:rPr>
            </w:pPr>
          </w:p>
        </w:tc>
      </w:tr>
      <w:tr>
        <w:trPr>
          <w:trHeight w:val="234"/>
        </w:trPr>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ind w:left="180"/>
              <w:spacing w:after="0"/>
              <w:rPr>
                <w:sz w:val="20"/>
                <w:szCs w:val="20"/>
                <w:color w:val="auto"/>
              </w:rPr>
            </w:pPr>
            <w:r>
              <w:rPr>
                <w:rFonts w:ascii="Arial" w:cs="Arial" w:eastAsia="Arial" w:hAnsi="Arial"/>
                <w:sz w:val="18"/>
                <w:szCs w:val="18"/>
                <w:b w:val="1"/>
                <w:bCs w:val="1"/>
                <w:color w:val="auto"/>
              </w:rPr>
              <w:t>Actual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As Adjusted</w:t>
            </w:r>
          </w:p>
        </w:tc>
      </w:tr>
      <w:tr>
        <w:trPr>
          <w:trHeight w:val="210"/>
        </w:trPr>
        <w:tc>
          <w:tcPr>
            <w:tcW w:w="80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w w:val="95"/>
              </w:rPr>
              <w:t>(dollars</w:t>
            </w:r>
          </w:p>
        </w:tc>
        <w:tc>
          <w:tcPr>
            <w:tcW w:w="220" w:type="dxa"/>
            <w:vAlign w:val="bottom"/>
            <w:gridSpan w:val="3"/>
          </w:tcPr>
          <w:p>
            <w:pPr>
              <w:spacing w:after="0"/>
              <w:rPr>
                <w:sz w:val="20"/>
                <w:szCs w:val="20"/>
                <w:color w:val="auto"/>
              </w:rPr>
            </w:pPr>
            <w:r>
              <w:rPr>
                <w:rFonts w:ascii="Arial" w:cs="Arial" w:eastAsia="Arial" w:hAnsi="Arial"/>
                <w:sz w:val="18"/>
                <w:szCs w:val="18"/>
                <w:b w:val="1"/>
                <w:bCs w:val="1"/>
                <w:color w:val="auto"/>
              </w:rPr>
              <w:t>in</w:t>
            </w: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millions)</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Outstanding</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Short-term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30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771.0</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00" w:type="dxa"/>
            <w:vAlign w:val="bottom"/>
            <w:shd w:val="clear" w:color="auto" w:fill="CCEEFF"/>
          </w:tcPr>
          <w:p>
            <w:pPr>
              <w:spacing w:after="0"/>
              <w:rPr>
                <w:sz w:val="18"/>
                <w:szCs w:val="18"/>
                <w:color w:val="auto"/>
              </w:rPr>
            </w:pPr>
          </w:p>
        </w:tc>
      </w:tr>
      <w:tr>
        <w:trPr>
          <w:trHeight w:val="210"/>
        </w:trPr>
        <w:tc>
          <w:tcPr>
            <w:tcW w:w="80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 value</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1,232.0*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Oil States International, Inc. net investment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ind w:left="180"/>
              <w:spacing w:after="0"/>
              <w:rPr>
                <w:sz w:val="20"/>
                <w:szCs w:val="20"/>
                <w:color w:val="auto"/>
              </w:rPr>
            </w:pPr>
            <w:r>
              <w:rPr>
                <w:rFonts w:ascii="Arial" w:cs="Arial" w:eastAsia="Arial" w:hAnsi="Arial"/>
                <w:sz w:val="18"/>
                <w:szCs w:val="18"/>
                <w:color w:val="auto"/>
              </w:rPr>
              <w:t>Total Net Investment/Stockholders’ Equity</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w:t>
            </w:r>
          </w:p>
        </w:tc>
        <w:tc>
          <w:tcPr>
            <w:tcW w:w="100" w:type="dxa"/>
            <w:vAlign w:val="bottom"/>
          </w:tcPr>
          <w:p>
            <w:pPr>
              <w:spacing w:after="0"/>
              <w:rPr>
                <w:sz w:val="18"/>
                <w:szCs w:val="18"/>
                <w:color w:val="auto"/>
              </w:rPr>
            </w:pP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portion of the distribution adjustment to additional paid-in capital will be allocated to common stock once the distribution ratio has been determined.</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unaudited pro forma combined financial statements of the Accommodations Business of Oil States consist of the unaudited pro forma combined statement of income for the year ended December 31, 2013 and an unaudited pro forma combined balance sheet as of December 31, 2013. The unaudited pro forma combined financial statements should be read in conjunction with “Capitalization,” “Selected Historical Combined Financial Data,” “Management’s Discussion and Analysis of Financial Condition and Results of Operations,” “Other Related Party Transactions” and our historical combined financial statements included elsewhere in this Information Statement.</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unaudited pro forma combined financial statements have been derived from our historical combined financial statements included in this Information Statement and are not intended to be a complete presentation of our financial position or results of operations had the transactions contemplated by the spin-off and related agreements occurred as of and for the periods indicated. In addition, they are provided for illustrative and informational purposes only and are not necessarily indicative of our future results of operations or financial condition as an independent, publicly traded company. The pro forma adjustments are based upon available information and assumptions that management believes are reasonable, that reflect the expected impacts of events directly attributable to the spin-off and related transaction agreements, and that are factually supportable, and for purposes of the statement of income, are expected to have a continuing impact on us. However, such adjustments are subject to change based on the finalization of the terms of the spin-off and related agreements.</w:t>
      </w:r>
    </w:p>
    <w:p>
      <w:pPr>
        <w:spacing w:after="0" w:line="16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unaudited pro forma combined statement of income for the year ended December 31, 2013 reflects our results as if the spin-off and related transactions described below had occurred on January 1, 2013. The unaudited pro forma combined balance sheet as of December 31, 2013 reflects our results as if the spin-off and related transactions described below had occurred as of such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combined financial statements give effect to the following:</w:t>
      </w:r>
    </w:p>
    <w:p>
      <w:pPr>
        <w:spacing w:after="0" w:line="22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contribution by Oil States to us, pursuant to the spin-off, of all the assets and liabilities that comprise our business;</w:t>
      </w:r>
    </w:p>
    <w:p>
      <w:pPr>
        <w:spacing w:after="0" w:line="225" w:lineRule="exact"/>
        <w:rPr>
          <w:rFonts w:ascii="Arial" w:cs="Arial" w:eastAsia="Arial" w:hAnsi="Arial"/>
          <w:sz w:val="18"/>
          <w:szCs w:val="18"/>
          <w:color w:val="auto"/>
        </w:rPr>
      </w:pPr>
    </w:p>
    <w:p>
      <w:pPr>
        <w:ind w:left="660" w:hanging="652"/>
        <w:spacing w:after="0" w:line="293"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anticipated post-spin-off capital structure, including (i) the issuance of up to approximately [●] million shares of our common stock to holders of Oil States common shares (this number of shares is based upon the number of Oil States common shares outstanding on December 31, 2013 and an assumed distribution ratio of [●] shares of OIS Accommodations SpinCo Inc. common stock for every one share of Oil States common stock held on the record date) and (ii) the incurrence of $771.0 million of indebtedness to fund an estimated transfer to Oil States of $750.0 million through a return of capital and/or a dividend. We anticipate that the cash distribution to Oil States will range from $650.0 million to $850.0 million and we have used the mid-point of that range to calculate the pro forma adjustment. The final distribution amount has not yet been determined; and</w:t>
      </w:r>
    </w:p>
    <w:p>
      <w:pPr>
        <w:spacing w:after="0" w:line="164" w:lineRule="exact"/>
        <w:rPr>
          <w:rFonts w:ascii="Arial" w:cs="Arial" w:eastAsia="Arial" w:hAnsi="Arial"/>
          <w:sz w:val="16"/>
          <w:szCs w:val="16"/>
          <w:color w:val="auto"/>
        </w:rPr>
      </w:pPr>
    </w:p>
    <w:p>
      <w:pPr>
        <w:ind w:left="660" w:right="660" w:hanging="652"/>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settlement of intercompany account balances between us and Oil States including the contribution to us of our existing long term debt to affiliates, which is currently held by Oil States.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operating expenses reported in our historical combined statements of income include allocations of certain Oil States costs. These costs include allocation of Oil States corporate costs, shared services, and other operating and administration costs that benefit us. In connection with the spin-off, we expect to enter into a transition services agreement, tax sharing agreement and employee matters agreement with Oil States. See “Arrangements Between Oil States and Our Company.” We do not expect that the incremental costs associated with the agreements will be materially higher than the allocations described above, as such, no further pro forma adjustment have been made. However, the unaudited pro forma condensed combined financial statements do not reflect all of the costs of operating as a stand-alone public company which are estimated to be in the range of $17.0 million to $20.0 million, before-tax, annually.</w:t>
      </w:r>
    </w:p>
    <w:p>
      <w:pPr>
        <w:spacing w:after="0" w:line="165" w:lineRule="exact"/>
        <w:rPr>
          <w:sz w:val="20"/>
          <w:szCs w:val="20"/>
          <w:color w:val="auto"/>
        </w:rPr>
      </w:pPr>
    </w:p>
    <w:p>
      <w:pPr>
        <w:ind w:right="60" w:firstLine="324"/>
        <w:spacing w:after="0" w:line="299" w:lineRule="auto"/>
        <w:rPr>
          <w:sz w:val="20"/>
          <w:szCs w:val="20"/>
          <w:color w:val="auto"/>
        </w:rPr>
      </w:pPr>
      <w:r>
        <w:rPr>
          <w:rFonts w:ascii="Arial" w:cs="Arial" w:eastAsia="Arial" w:hAnsi="Arial"/>
          <w:sz w:val="16"/>
          <w:szCs w:val="16"/>
          <w:color w:val="auto"/>
        </w:rPr>
        <w:t>We currently estimate that Oil States will incur $15.0 million to $20.0 million of transaction costs related to the spin-off, excluding refinancing costs. As of December 31, 2013, Oil States had already incurred approximately $5.2 million of these transaction costs. We have not adjusted the accompanying unaudited pro forma combined statements of income for these estimated costs as the costs are not expected to be allocated to us or to have an ongoing impact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our operating results. We expect all of these costs to be paid for and expensed by Oil States.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2" w:name="page63"/>
    <w:bookmarkEnd w:id="62"/>
    <w:p>
      <w:pPr>
        <w:ind w:right="280"/>
        <w:spacing w:after="0" w:line="277" w:lineRule="auto"/>
        <w:rPr>
          <w:sz w:val="20"/>
          <w:szCs w:val="20"/>
          <w:color w:val="auto"/>
        </w:rPr>
      </w:pPr>
      <w:r>
        <w:rPr>
          <w:rFonts w:ascii="Arial" w:cs="Arial" w:eastAsia="Arial" w:hAnsi="Arial"/>
          <w:sz w:val="18"/>
          <w:szCs w:val="18"/>
          <w:color w:val="auto"/>
        </w:rPr>
        <w:t>We anticipate that SpinCo will also incur transition costs related to becoming a separate, public company within 18 months of the spin-off. These costs primarily relate to the following:</w:t>
      </w:r>
    </w:p>
    <w:p>
      <w:pPr>
        <w:spacing w:after="0" w:line="170"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accounting, tax, legal and other professional costs pertaining to the spin-off and establishing us as a stand-alone public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compensation, such as modifications to certain bonus and equity awards, upon completion of the spin-off;</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recruiting and relocation costs associated with hiring key senior management personnel new to our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costs related to establishing our new brand in the marketplace;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costs to separate information systems.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Due to the scope and complexity of these activities, the amount of these costs could increase or decrease materially and the timing of incurrence could change.</w:t>
      </w: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584" w:right="49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2013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millions)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828"/>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Financing</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 Forma for</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Adjustments</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the Financing</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for</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and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Historical(a)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Distribution</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Distribution</w:t>
            </w: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0"/>
              </w:rPr>
              <w:t>(750.0) (e)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w:t>
            </w: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177.8</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6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261.1</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2,127.0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2,143.8</w:t>
            </w:r>
          </w:p>
        </w:tc>
        <w:tc>
          <w:tcPr>
            <w:tcW w:w="22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760"/>
              <w:spacing w:after="0"/>
              <w:rPr>
                <w:sz w:val="20"/>
                <w:szCs w:val="20"/>
                <w:color w:val="auto"/>
              </w:rPr>
            </w:pPr>
            <w:r>
              <w:rPr>
                <w:rFonts w:ascii="Arial" w:cs="Arial" w:eastAsia="Arial" w:hAnsi="Arial"/>
                <w:sz w:val="18"/>
                <w:szCs w:val="18"/>
                <w:b w:val="1"/>
                <w:bCs w:val="1"/>
                <w:color w:val="auto"/>
              </w:rPr>
              <w:t>LIABILITIES AND STOCKHOLDERS’ EQUITY</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Long-term debt to affiliates</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580"/>
              <w:spacing w:after="0"/>
              <w:rPr>
                <w:sz w:val="20"/>
                <w:szCs w:val="20"/>
                <w:color w:val="auto"/>
              </w:rPr>
            </w:pPr>
            <w:r>
              <w:rPr>
                <w:rFonts w:ascii="Arial" w:cs="Arial" w:eastAsia="Arial" w:hAnsi="Arial"/>
                <w:sz w:val="18"/>
                <w:szCs w:val="18"/>
                <w:color w:val="auto"/>
                <w:w w:val="96"/>
              </w:rPr>
              <w:t>(335.2) (f)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third-parties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771.0</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771.0</w:t>
            </w: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79.7</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970.1</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Parent company investment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760"/>
              <w:spacing w:after="0"/>
              <w:rPr>
                <w:sz w:val="20"/>
                <w:szCs w:val="20"/>
                <w:color w:val="auto"/>
              </w:rPr>
            </w:pPr>
            <w:r>
              <w:rPr>
                <w:rFonts w:ascii="Arial" w:cs="Arial" w:eastAsia="Arial" w:hAnsi="Arial"/>
                <w:sz w:val="18"/>
                <w:szCs w:val="18"/>
                <w:color w:val="auto"/>
              </w:rPr>
              <w:t>(4.2) (c)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(1,646.8) (g)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Parent company equity</w:t>
            </w: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1,591.0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22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 - noncontrolling interests</w:t>
            </w:r>
          </w:p>
        </w:tc>
        <w:tc>
          <w:tcPr>
            <w:tcW w:w="6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6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1,592.7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w:t>
            </w:r>
          </w:p>
        </w:tc>
        <w:tc>
          <w:tcPr>
            <w:tcW w:w="2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2,127.0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2,143.8</w:t>
            </w:r>
          </w:p>
        </w:tc>
        <w:tc>
          <w:tcPr>
            <w:tcW w:w="22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25" w:lineRule="exact"/>
        <w:rPr>
          <w:sz w:val="20"/>
          <w:szCs w:val="20"/>
          <w:color w:val="auto"/>
        </w:rPr>
      </w:pPr>
    </w:p>
    <w:p>
      <w:pPr>
        <w:ind w:left="660" w:right="780" w:hanging="652"/>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portion of the distribution adjustment to additional paid-in capital will be allocated to common stock once the distribution ratio has been determined.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140" w:type="dxa"/>
            <w:vAlign w:val="bottom"/>
            <w:gridSpan w:val="6"/>
          </w:tcPr>
          <w:p>
            <w:pPr>
              <w:jc w:val="right"/>
              <w:ind w:right="1420"/>
              <w:spacing w:after="0"/>
              <w:rPr>
                <w:sz w:val="20"/>
                <w:szCs w:val="20"/>
                <w:color w:val="auto"/>
              </w:rPr>
            </w:pPr>
            <w:r>
              <w:rPr>
                <w:rFonts w:ascii="Arial" w:cs="Arial" w:eastAsia="Arial" w:hAnsi="Arial"/>
                <w:sz w:val="18"/>
                <w:szCs w:val="18"/>
                <w:b w:val="1"/>
                <w:bCs w:val="1"/>
                <w:color w:val="auto"/>
                <w:w w:val="91"/>
              </w:rPr>
              <w:t>(in millions, except per share data)</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Financing</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Pro Forma for</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Adjustments</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Distribution</w:t>
            </w:r>
          </w:p>
        </w:tc>
        <w:tc>
          <w:tcPr>
            <w:tcW w:w="34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the Financing</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for</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and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Historical(a)</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4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Distribution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549.6</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&amp; administrative expenses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167.2</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income</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 (d)</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(f)</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(56.1)</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8.3 (h)</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183.3</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Less: Net income attributable to noncontrolling interests</w:t>
            </w:r>
          </w:p>
        </w:tc>
        <w:tc>
          <w:tcPr>
            <w:tcW w:w="1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60" w:type="dxa"/>
            <w:vAlign w:val="bottom"/>
            <w:gridSpan w:val="3"/>
          </w:tcPr>
          <w:p>
            <w:pPr>
              <w:spacing w:after="0" w:line="156" w:lineRule="exact"/>
              <w:rPr>
                <w:sz w:val="20"/>
                <w:szCs w:val="20"/>
                <w:color w:val="auto"/>
              </w:rPr>
            </w:pPr>
            <w:r>
              <w:rPr>
                <w:rFonts w:ascii="Arial" w:cs="Arial" w:eastAsia="Arial" w:hAnsi="Arial"/>
                <w:sz w:val="18"/>
                <w:szCs w:val="18"/>
                <w:b w:val="1"/>
                <w:bCs w:val="1"/>
                <w:color w:val="auto"/>
              </w:rPr>
              <w:t>Net income attributable to Accommodations Business of Oil States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b w:val="1"/>
                <w:bCs w:val="1"/>
                <w:color w:val="auto"/>
              </w:rPr>
              <w:t>International, Inc.</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Earnings Per Share: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(j)</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65" w:name="page66"/>
    <w:bookmarkEnd w:id="65"/>
    <w:p>
      <w:pPr>
        <w:ind w:left="1888"/>
        <w:spacing w:after="0"/>
        <w:rPr>
          <w:sz w:val="20"/>
          <w:szCs w:val="20"/>
          <w:color w:val="auto"/>
        </w:rPr>
      </w:pPr>
      <w:r>
        <w:rPr>
          <w:rFonts w:ascii="Arial" w:cs="Arial" w:eastAsia="Arial" w:hAnsi="Arial"/>
          <w:sz w:val="18"/>
          <w:szCs w:val="18"/>
          <w:b w:val="1"/>
          <w:bCs w:val="1"/>
          <w:color w:val="auto"/>
        </w:rPr>
        <w:t>NOTES TO THE UNAUDITED PRO FORMA COMBINED FINANCIAL STATEMENTS</w:t>
      </w:r>
    </w:p>
    <w:p>
      <w:pPr>
        <w:spacing w:after="0" w:line="229" w:lineRule="exact"/>
        <w:rPr>
          <w:sz w:val="20"/>
          <w:szCs w:val="20"/>
          <w:color w:val="auto"/>
        </w:rPr>
      </w:pPr>
    </w:p>
    <w:p>
      <w:pPr>
        <w:ind w:left="328" w:right="80" w:hanging="328"/>
        <w:spacing w:after="0" w:line="277" w:lineRule="auto"/>
        <w:tabs>
          <w:tab w:leader="none" w:pos="3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historical combined financial statements reflect the historical financial position and results of operations of the accommodations business of Oil States.</w:t>
      </w:r>
    </w:p>
    <w:p>
      <w:pPr>
        <w:spacing w:after="0" w:line="170" w:lineRule="exact"/>
        <w:rPr>
          <w:rFonts w:ascii="Arial" w:cs="Arial" w:eastAsia="Arial" w:hAnsi="Arial"/>
          <w:sz w:val="18"/>
          <w:szCs w:val="18"/>
          <w:color w:val="auto"/>
        </w:rPr>
      </w:pPr>
    </w:p>
    <w:p>
      <w:pPr>
        <w:ind w:left="328" w:hanging="328"/>
        <w:spacing w:after="0" w:line="286" w:lineRule="auto"/>
        <w:tabs>
          <w:tab w:leader="none" w:pos="328"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incurrence of $771.0 million of indebtedness, which consists of borrowings under our anticipated revolving credit facility. The expected debt balance at the time of the distribution was determined by senior management based on a review of a number of factors including expected credit ratings, forecasted liquidity and capital requirements, expected operating results and general economic conditions.</w:t>
      </w:r>
    </w:p>
    <w:p>
      <w:pPr>
        <w:spacing w:after="0" w:line="180" w:lineRule="exact"/>
        <w:rPr>
          <w:sz w:val="20"/>
          <w:szCs w:val="20"/>
          <w:color w:val="auto"/>
        </w:rPr>
      </w:pPr>
    </w:p>
    <w:tbl>
      <w:tblPr>
        <w:tblLayout w:type="fixed"/>
        <w:tblInd w:w="528"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new indebtedness at December 31, 2013</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Less: Cash payments for debt issuance costs (footnote c)</w:t>
            </w:r>
          </w:p>
        </w:tc>
        <w:tc>
          <w:tcPr>
            <w:tcW w:w="6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5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328" w:right="220" w:hanging="328"/>
        <w:spacing w:after="0" w:line="257" w:lineRule="auto"/>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adjustment assumes the capitalization of debt issuance costs of $21.0 million which will be amortized on a straight-line basis over the term of the credit facility, which approximates the effective interest method. Included in the historical combined balance sheet are historical deferred debt issuance costs related to existing revolving credit facilities in Australia and Canada as of December 31, 2013 totaling $4.2 million which are assumed to be expensed as we expect to replace these existing facilities in connection with the spin-off. The resulting net adjustment is $16.8 million.</w:t>
      </w:r>
    </w:p>
    <w:p>
      <w:pPr>
        <w:spacing w:after="0" w:line="188" w:lineRule="exact"/>
        <w:rPr>
          <w:rFonts w:ascii="Arial" w:cs="Arial" w:eastAsia="Arial" w:hAnsi="Arial"/>
          <w:sz w:val="18"/>
          <w:szCs w:val="18"/>
          <w:color w:val="auto"/>
        </w:rPr>
      </w:pPr>
    </w:p>
    <w:p>
      <w:pPr>
        <w:ind w:left="328" w:hanging="328"/>
        <w:spacing w:after="0" w:line="302" w:lineRule="auto"/>
        <w:tabs>
          <w:tab w:leader="none" w:pos="328"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the incremental interest expense related to the additional debt expected to be incurred upon the spin-off, assuming an annual interest rate of 3.0% on total indebtedness of $771.0 million. The interest rates for pro forma purposes are based on assumptions of the rates to be effective on the completion of the spin-off. A one-eighth percent change in assumed interest rates for our additional debt would have a pro forma impact of $1.0 million annually. The following chart provides the detail for the pro forma adjustment to interest expense for the financing adjustments:</w:t>
      </w:r>
    </w:p>
    <w:p>
      <w:pPr>
        <w:sectPr>
          <w:pgSz w:w="11900" w:h="16838" w:orient="portrait"/>
          <w:cols w:equalWidth="0" w:num="1">
            <w:col w:w="11068"/>
          </w:cols>
          <w:pgMar w:left="572"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88" w:hanging="193"/>
        <w:spacing w:after="0" w:line="258" w:lineRule="auto"/>
        <w:rPr>
          <w:sz w:val="20"/>
          <w:szCs w:val="20"/>
          <w:color w:val="auto"/>
        </w:rPr>
      </w:pPr>
      <w:r>
        <w:rPr>
          <w:rFonts w:ascii="Arial" w:cs="Arial" w:eastAsia="Arial" w:hAnsi="Arial"/>
          <w:sz w:val="18"/>
          <w:szCs w:val="18"/>
          <w:color w:val="auto"/>
        </w:rPr>
        <w:t>Interest expense related to new debt ($771.0 million of indebtedness at an assumed annual interest rate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-273050</wp:posOffset>
            </wp:positionV>
            <wp:extent cx="593471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34710" cy="274320"/>
                    </a:xfrm>
                    <a:prstGeom prst="rect">
                      <a:avLst/>
                    </a:prstGeom>
                    <a:noFill/>
                  </pic:spPr>
                </pic:pic>
              </a:graphicData>
            </a:graphic>
          </wp:anchor>
        </w:drawing>
      </w:r>
    </w:p>
    <w:p>
      <w:pPr>
        <w:ind w:left="708" w:right="120"/>
        <w:spacing w:after="0" w:line="307" w:lineRule="auto"/>
        <w:rPr>
          <w:sz w:val="20"/>
          <w:szCs w:val="20"/>
          <w:color w:val="auto"/>
        </w:rPr>
      </w:pPr>
      <w:r>
        <w:rPr>
          <w:rFonts w:ascii="Arial" w:cs="Arial" w:eastAsia="Arial" w:hAnsi="Arial"/>
          <w:sz w:val="16"/>
          <w:szCs w:val="16"/>
          <w:color w:val="auto"/>
        </w:rPr>
        <w:t>Non-cash interest expense related to amortization of pro forma deferred debt issuance costs (footnote c) Eliminate non-cash interest expense related to pre spin-off 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-161290</wp:posOffset>
            </wp:positionV>
            <wp:extent cx="593471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34710" cy="146050"/>
                    </a:xfrm>
                    <a:prstGeom prst="rect">
                      <a:avLst/>
                    </a:prstGeom>
                    <a:noFill/>
                  </pic:spPr>
                </pic:pic>
              </a:graphicData>
            </a:graphic>
          </wp:anchor>
        </w:drawing>
      </w:r>
    </w:p>
    <w:p>
      <w:pPr>
        <w:ind w:left="888"/>
        <w:spacing w:after="0"/>
        <w:rPr>
          <w:sz w:val="20"/>
          <w:szCs w:val="20"/>
          <w:color w:val="auto"/>
        </w:rPr>
      </w:pPr>
      <w:r>
        <w:rPr>
          <w:rFonts w:ascii="Arial" w:cs="Arial" w:eastAsia="Arial" w:hAnsi="Arial"/>
          <w:sz w:val="18"/>
          <w:szCs w:val="18"/>
          <w:color w:val="auto"/>
        </w:rPr>
        <w:t>Total adjustment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095"/>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1095"/>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jc w:val="center"/>
        <w:ind w:right="1095"/>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921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25" w:hanging="1025"/>
        <w:spacing w:after="0"/>
        <w:tabs>
          <w:tab w:leader="none" w:pos="10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(23.1)</w:t>
      </w:r>
    </w:p>
    <w:p>
      <w:pPr>
        <w:spacing w:after="0" w:line="46" w:lineRule="exact"/>
        <w:rPr>
          <w:rFonts w:ascii="Arial" w:cs="Arial" w:eastAsia="Arial" w:hAnsi="Arial"/>
          <w:sz w:val="16"/>
          <w:szCs w:val="16"/>
          <w:color w:val="auto"/>
        </w:rPr>
      </w:pPr>
    </w:p>
    <w:p>
      <w:pPr>
        <w:ind w:left="1125"/>
        <w:spacing w:after="0"/>
        <w:rPr>
          <w:rFonts w:ascii="Arial" w:cs="Arial" w:eastAsia="Arial" w:hAnsi="Arial"/>
          <w:sz w:val="16"/>
          <w:szCs w:val="16"/>
          <w:color w:val="auto"/>
        </w:rPr>
      </w:pPr>
      <w:r>
        <w:rPr>
          <w:rFonts w:ascii="Arial" w:cs="Arial" w:eastAsia="Arial" w:hAnsi="Arial"/>
          <w:sz w:val="16"/>
          <w:szCs w:val="16"/>
          <w:color w:val="auto"/>
        </w:rPr>
        <w:t>(4.2)</w:t>
      </w:r>
    </w:p>
    <w:p>
      <w:pPr>
        <w:spacing w:after="0" w:line="32" w:lineRule="exact"/>
        <w:rPr>
          <w:rFonts w:ascii="Arial" w:cs="Arial" w:eastAsia="Arial" w:hAnsi="Arial"/>
          <w:sz w:val="16"/>
          <w:szCs w:val="16"/>
          <w:color w:val="auto"/>
        </w:rPr>
      </w:pPr>
    </w:p>
    <w:p>
      <w:pPr>
        <w:ind w:left="1185"/>
        <w:spacing w:after="0"/>
        <w:rPr>
          <w:rFonts w:ascii="Arial" w:cs="Arial" w:eastAsia="Arial" w:hAnsi="Arial"/>
          <w:sz w:val="16"/>
          <w:szCs w:val="16"/>
          <w:color w:val="auto"/>
        </w:rPr>
      </w:pPr>
      <w:r>
        <w:rPr>
          <w:rFonts w:ascii="Arial" w:cs="Arial" w:eastAsia="Arial" w:hAnsi="Arial"/>
          <w:sz w:val="18"/>
          <w:szCs w:val="18"/>
          <w:color w:val="auto"/>
        </w:rPr>
        <w:t>3.7</w:t>
      </w:r>
    </w:p>
    <w:p>
      <w:pPr>
        <w:spacing w:after="0" w:line="9" w:lineRule="exact"/>
        <w:rPr>
          <w:sz w:val="20"/>
          <w:szCs w:val="20"/>
          <w:color w:val="auto"/>
        </w:rPr>
      </w:pPr>
    </w:p>
    <w:p>
      <w:pPr>
        <w:ind w:left="1025" w:hanging="1025"/>
        <w:spacing w:after="0"/>
        <w:tabs>
          <w:tab w:leader="none" w:pos="1025" w:val="left"/>
        </w:tabs>
        <w:numPr>
          <w:ilvl w:val="0"/>
          <w:numId w:val="83"/>
        </w:numPr>
        <w:rPr>
          <w:rFonts w:ascii="Arial" w:cs="Arial" w:eastAsia="Arial" w:hAnsi="Arial"/>
          <w:sz w:val="16"/>
          <w:szCs w:val="16"/>
          <w:color w:val="auto"/>
        </w:rPr>
      </w:pPr>
      <w:r>
        <w:rPr>
          <w:rFonts w:ascii="Arial" w:cs="Arial" w:eastAsia="Arial" w:hAnsi="Arial"/>
          <w:sz w:val="16"/>
          <w:szCs w:val="16"/>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92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92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8288" w:space="275"/>
            <w:col w:w="2505"/>
          </w:cols>
          <w:pgMar w:left="572" w:top="580" w:right="259" w:bottom="1440" w:gutter="0" w:footer="0" w:header="0"/>
          <w:type w:val="continuous"/>
        </w:sectPr>
      </w:pPr>
    </w:p>
    <w:p>
      <w:pPr>
        <w:spacing w:after="0" w:line="241" w:lineRule="exact"/>
        <w:rPr>
          <w:sz w:val="20"/>
          <w:szCs w:val="20"/>
          <w:color w:val="auto"/>
        </w:rPr>
      </w:pPr>
    </w:p>
    <w:p>
      <w:pPr>
        <w:ind w:left="328" w:right="40" w:hanging="328"/>
        <w:spacing w:after="0" w:line="264" w:lineRule="auto"/>
        <w:tabs>
          <w:tab w:leader="none" w:pos="3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the estimated cash distribution to Oil States of $750.0 million. We anticipate that the cash distribution to Oil States will be within a range of $650.0 million to $850.0 million and have used the mid-point of that range for the purposes of the pro forma adjustment. The final distribution amount has not yet been determined.</w:t>
      </w:r>
    </w:p>
    <w:p>
      <w:pPr>
        <w:spacing w:after="0" w:line="181" w:lineRule="exact"/>
        <w:rPr>
          <w:rFonts w:ascii="Arial" w:cs="Arial" w:eastAsia="Arial" w:hAnsi="Arial"/>
          <w:sz w:val="18"/>
          <w:szCs w:val="18"/>
          <w:color w:val="auto"/>
        </w:rPr>
      </w:pPr>
    </w:p>
    <w:p>
      <w:pPr>
        <w:ind w:left="328" w:right="280" w:hanging="328"/>
        <w:spacing w:after="0" w:line="264" w:lineRule="auto"/>
        <w:tabs>
          <w:tab w:leader="none" w:pos="3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the contribution of debt to affiliates in connection with the spin-off. The associated net interest expense to affiliates of $18.3 million is eliminated in the pro forma combined statements of income as a distribution adjustment. The elimination of interest expense to affiliates does not have an impact on the pro forma consolidated tax provision.</w:t>
      </w:r>
    </w:p>
    <w:p>
      <w:pPr>
        <w:spacing w:after="0" w:line="181" w:lineRule="exact"/>
        <w:rPr>
          <w:rFonts w:ascii="Arial" w:cs="Arial" w:eastAsia="Arial" w:hAnsi="Arial"/>
          <w:sz w:val="18"/>
          <w:szCs w:val="18"/>
          <w:color w:val="auto"/>
        </w:rPr>
      </w:pPr>
    </w:p>
    <w:p>
      <w:pPr>
        <w:ind w:left="328" w:right="280" w:hanging="328"/>
        <w:spacing w:after="0" w:line="255" w:lineRule="auto"/>
        <w:tabs>
          <w:tab w:leader="none" w:pos="3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Adjustment reflects the pro forma recapitalization of our equity. As of the Distribution Date, Oil States’ net investment in our business will be exchanged to reflect the spin-off of our common stock to Oil States’ shareholders and to reflect the par value of approximately [●] million outstanding shares of common stock having a par value of $0.01 per share. We have assumed the number of outstanding shares of common stock based on the number of Oil States common shares outstanding at [●], which would result in approximately [●] million shares being distributed to holders of Oil States common shares, at an assumed distribution ratio of [●] shares of SpinCo common stock for every one share of Oil States common stock held on the record date.</w:t>
      </w:r>
    </w:p>
    <w:p>
      <w:pPr>
        <w:spacing w:after="0" w:line="200" w:lineRule="exact"/>
        <w:rPr>
          <w:sz w:val="20"/>
          <w:szCs w:val="20"/>
          <w:color w:val="auto"/>
        </w:rPr>
      </w:pPr>
    </w:p>
    <w:p>
      <w:pPr>
        <w:spacing w:after="0" w:line="23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0" w:right="259" w:bottom="1440" w:gutter="0" w:footer="0" w:header="0"/>
          <w:type w:val="continuous"/>
        </w:sectPr>
      </w:pPr>
    </w:p>
    <w:bookmarkStart w:id="66" w:name="page67"/>
    <w:bookmarkEnd w:id="66"/>
    <w:p>
      <w:pPr>
        <w:ind w:left="528"/>
        <w:spacing w:after="0"/>
        <w:rPr>
          <w:sz w:val="20"/>
          <w:szCs w:val="20"/>
          <w:color w:val="auto"/>
        </w:rPr>
      </w:pPr>
      <w:r>
        <w:rPr>
          <w:rFonts w:ascii="Arial" w:cs="Arial" w:eastAsia="Arial" w:hAnsi="Arial"/>
          <w:sz w:val="18"/>
          <w:szCs w:val="18"/>
          <w:color w:val="auto"/>
        </w:rPr>
        <w:t>Parent company investment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-121920</wp:posOffset>
            </wp:positionV>
            <wp:extent cx="615759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528"/>
        <w:spacing w:after="0"/>
        <w:rPr>
          <w:sz w:val="20"/>
          <w:szCs w:val="20"/>
          <w:color w:val="auto"/>
        </w:rPr>
      </w:pPr>
      <w:r>
        <w:rPr>
          <w:rFonts w:ascii="Arial" w:cs="Arial" w:eastAsia="Arial" w:hAnsi="Arial"/>
          <w:sz w:val="18"/>
          <w:szCs w:val="18"/>
          <w:color w:val="auto"/>
        </w:rPr>
        <w:t>Write off of historical debt issuance costs (footnote c)</w:t>
      </w:r>
    </w:p>
    <w:p>
      <w:pPr>
        <w:spacing w:after="0" w:line="23" w:lineRule="exact"/>
        <w:rPr>
          <w:sz w:val="20"/>
          <w:szCs w:val="20"/>
          <w:color w:val="auto"/>
        </w:rPr>
      </w:pPr>
    </w:p>
    <w:p>
      <w:pPr>
        <w:ind w:left="528"/>
        <w:spacing w:after="0"/>
        <w:rPr>
          <w:sz w:val="20"/>
          <w:szCs w:val="20"/>
          <w:color w:val="auto"/>
        </w:rPr>
      </w:pPr>
      <w:r>
        <w:rPr>
          <w:rFonts w:ascii="Arial" w:cs="Arial" w:eastAsia="Arial" w:hAnsi="Arial"/>
          <w:sz w:val="16"/>
          <w:szCs w:val="16"/>
          <w:color w:val="auto"/>
        </w:rPr>
        <w:t>Net adjustment to “Parent company investment” associated with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-116205</wp:posOffset>
            </wp:positionV>
            <wp:extent cx="615759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12" w:lineRule="exact"/>
        <w:rPr>
          <w:sz w:val="20"/>
          <w:szCs w:val="20"/>
          <w:color w:val="auto"/>
        </w:rPr>
      </w:pPr>
    </w:p>
    <w:p>
      <w:pPr>
        <w:ind w:left="528"/>
        <w:spacing w:after="0"/>
        <w:rPr>
          <w:sz w:val="20"/>
          <w:szCs w:val="20"/>
          <w:color w:val="auto"/>
        </w:rPr>
      </w:pPr>
      <w:r>
        <w:rPr>
          <w:rFonts w:ascii="Arial" w:cs="Arial" w:eastAsia="Arial" w:hAnsi="Arial"/>
          <w:sz w:val="18"/>
          <w:szCs w:val="18"/>
          <w:color w:val="auto"/>
        </w:rPr>
        <w:t>Contribution by Oil States of affiliated debt (footnote f)</w:t>
      </w:r>
    </w:p>
    <w:p>
      <w:pPr>
        <w:spacing w:after="0" w:line="9" w:lineRule="exact"/>
        <w:rPr>
          <w:sz w:val="20"/>
          <w:szCs w:val="20"/>
          <w:color w:val="auto"/>
        </w:rPr>
      </w:pPr>
    </w:p>
    <w:p>
      <w:pPr>
        <w:ind w:left="528"/>
        <w:spacing w:after="0"/>
        <w:rPr>
          <w:sz w:val="20"/>
          <w:szCs w:val="20"/>
          <w:color w:val="auto"/>
        </w:rPr>
      </w:pPr>
      <w:r>
        <w:rPr>
          <w:rFonts w:ascii="Arial" w:cs="Arial" w:eastAsia="Arial" w:hAnsi="Arial"/>
          <w:sz w:val="18"/>
          <w:szCs w:val="18"/>
          <w:color w:val="auto"/>
        </w:rPr>
        <w:t>Distribution to Oil States (footnote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-130810</wp:posOffset>
            </wp:positionV>
            <wp:extent cx="615759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528"/>
        <w:spacing w:after="0"/>
        <w:rPr>
          <w:sz w:val="20"/>
          <w:szCs w:val="20"/>
          <w:color w:val="auto"/>
        </w:rPr>
      </w:pPr>
      <w:r>
        <w:rPr>
          <w:rFonts w:ascii="Arial" w:cs="Arial" w:eastAsia="Arial" w:hAnsi="Arial"/>
          <w:sz w:val="18"/>
          <w:szCs w:val="18"/>
          <w:color w:val="auto"/>
        </w:rPr>
        <w:t>Adjustment for par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14605</wp:posOffset>
            </wp:positionV>
            <wp:extent cx="615759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9" w:lineRule="exact"/>
        <w:rPr>
          <w:sz w:val="20"/>
          <w:szCs w:val="20"/>
          <w:color w:val="auto"/>
        </w:rPr>
      </w:pPr>
    </w:p>
    <w:p>
      <w:pPr>
        <w:ind w:left="528"/>
        <w:spacing w:after="0"/>
        <w:rPr>
          <w:sz w:val="20"/>
          <w:szCs w:val="20"/>
          <w:color w:val="auto"/>
        </w:rPr>
      </w:pPr>
      <w:r>
        <w:rPr>
          <w:rFonts w:ascii="Arial" w:cs="Arial" w:eastAsia="Arial" w:hAnsi="Arial"/>
          <w:sz w:val="18"/>
          <w:szCs w:val="18"/>
          <w:color w:val="auto"/>
        </w:rPr>
        <w:t>Adjustment to additional paid-in capital</w:t>
      </w:r>
    </w:p>
    <w:p>
      <w:pPr>
        <w:spacing w:after="0" w:line="20" w:lineRule="exact"/>
        <w:rPr>
          <w:sz w:val="20"/>
          <w:szCs w:val="20"/>
          <w:color w:val="auto"/>
        </w:rPr>
      </w:pPr>
      <w:r>
        <w:rPr>
          <w:sz w:val="20"/>
          <w:szCs w:val="20"/>
          <w:color w:val="auto"/>
        </w:rPr>
        <w:br w:type="column"/>
      </w:r>
    </w:p>
    <w:p>
      <w:pPr>
        <w:ind w:left="1000" w:hanging="993"/>
        <w:spacing w:after="0"/>
        <w:tabs>
          <w:tab w:leader="none" w:pos="10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1,651.0</w:t>
      </w:r>
    </w:p>
    <w:p>
      <w:pPr>
        <w:spacing w:after="0" w:line="3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6"/>
          <w:szCs w:val="16"/>
          <w:color w:val="auto"/>
        </w:rPr>
        <w:t>(4.2)</w:t>
      </w:r>
    </w:p>
    <w:p>
      <w:pPr>
        <w:spacing w:after="0" w:line="32"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1,646.8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9779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335.2</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(750.0)</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00" w:hanging="993"/>
        <w:spacing w:after="0"/>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1,232.0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9779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7868" w:space="720"/>
            <w:col w:w="2480"/>
          </w:cols>
          <w:pgMar w:left="572" w:top="584" w:right="259" w:bottom="1440" w:gutter="0" w:footer="0" w:header="0"/>
        </w:sectPr>
      </w:pPr>
    </w:p>
    <w:p>
      <w:pPr>
        <w:spacing w:after="0" w:line="241" w:lineRule="exact"/>
        <w:rPr>
          <w:sz w:val="20"/>
          <w:szCs w:val="20"/>
          <w:color w:val="auto"/>
        </w:rPr>
      </w:pPr>
    </w:p>
    <w:p>
      <w:pPr>
        <w:ind w:left="328" w:right="760" w:hanging="328"/>
        <w:spacing w:after="0" w:line="277"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portion of the distribution adjustment to additional paid-in capital will be allocated to common stock once the distribution ratio has been determined.</w:t>
      </w:r>
    </w:p>
    <w:p>
      <w:pPr>
        <w:spacing w:after="0" w:line="170" w:lineRule="exact"/>
        <w:rPr>
          <w:sz w:val="20"/>
          <w:szCs w:val="20"/>
          <w:color w:val="auto"/>
        </w:rPr>
      </w:pPr>
    </w:p>
    <w:p>
      <w:pPr>
        <w:ind w:left="328" w:right="20" w:hanging="328"/>
        <w:spacing w:after="0" w:line="302" w:lineRule="auto"/>
        <w:tabs>
          <w:tab w:leader="none" w:pos="3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provision for income taxes reflected in our historical combined financial statements was determined as if the accommodations business filed separate, stand-alone income tax returns in each relevant jurisdiction. Our effective tax rate reflects the historical assumption that we do not intend to repatriate non-United States earnings. The statutory rates in Canada and Australia are 25% and 30%, respectively. The pro forma adjustments were determined assuming U.S. borrowings and using the statutory rate for the U.S. of 35% in the respective tax periods presented.</w:t>
      </w:r>
    </w:p>
    <w:p>
      <w:pPr>
        <w:spacing w:after="0" w:line="154" w:lineRule="exact"/>
        <w:rPr>
          <w:rFonts w:ascii="Arial" w:cs="Arial" w:eastAsia="Arial" w:hAnsi="Arial"/>
          <w:sz w:val="16"/>
          <w:szCs w:val="16"/>
          <w:color w:val="auto"/>
        </w:rPr>
      </w:pPr>
    </w:p>
    <w:p>
      <w:pPr>
        <w:jc w:val="both"/>
        <w:ind w:left="328" w:hanging="328"/>
        <w:spacing w:after="0" w:line="264" w:lineRule="auto"/>
        <w:tabs>
          <w:tab w:leader="none" w:pos="3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 forma basic earnings per share and pro forma weighted-average basic shares outstanding are based on the weighted average number of Oil States common shares outstanding for the year ended December 31, 2013, adjusted for an assumed distribution ratio of [●] shares of SpinCo common stock for every one share of Oil States common stock held on the record date.</w:t>
      </w:r>
    </w:p>
    <w:p>
      <w:pPr>
        <w:spacing w:after="0" w:line="181" w:lineRule="exact"/>
        <w:rPr>
          <w:rFonts w:ascii="Arial" w:cs="Arial" w:eastAsia="Arial" w:hAnsi="Arial"/>
          <w:sz w:val="18"/>
          <w:szCs w:val="18"/>
          <w:color w:val="auto"/>
        </w:rPr>
      </w:pPr>
    </w:p>
    <w:p>
      <w:pPr>
        <w:ind w:left="328" w:right="240" w:hanging="328"/>
        <w:spacing w:after="0" w:line="312" w:lineRule="auto"/>
        <w:tabs>
          <w:tab w:leader="none" w:pos="3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Pro forma diluted earnings per share and pro forma weighted-average diluted shares outstanding reflect potential common shares from Oil States equity participation plan in which our employees participate based on the distribution ratio. While the actual future impact will depend on various factors, we believe the estimate yields a reasonable approximation of the future diluted impact of the accommodations business equity plans.</w:t>
      </w:r>
    </w:p>
    <w:p>
      <w:pPr>
        <w:spacing w:after="0" w:line="39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4" w:right="259" w:bottom="1440" w:gutter="0" w:footer="0" w:header="0"/>
          <w:type w:val="continuous"/>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following tables present the selected historical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2013 and 2012 and the statement of income data for each of the years ended December 31, 2013, 2012 and 2011 are derived from our audited financial statements included elsewhere in this information statement. The balance sheet data as of December 31, 2011 and statement of income data for the year ended December 31, 2010 are derived from our audited combined financial statements not included in this information statement. The balance sheet data as of December 31, 2010 and 2009 and the statement of income data for the year ended December 31, 2009 are derived from our accounting records.</w:t>
      </w:r>
    </w:p>
    <w:p>
      <w:pPr>
        <w:spacing w:after="0" w:line="178"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selected historical combined financial information presented below should be read in conjunction with our combined financial statements and accompanying notes, the “Unaudited Pro Forma Combined Financial Statements” and “Management’s Discussion and Analysis of Financial Condition and Results of Operations” included elsewhere in this information statement. The financial information may not be indicative of our future performance and does not necessarily reflect what the financial position and results of operations would have been had we operated as a separate, stand-alone entity during the periods presented, including changes that will occur in our operations as a result of our spin-off from Oil States.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b w:val="1"/>
                <w:bCs w:val="1"/>
                <w:color w:val="auto"/>
                <w:w w:val="89"/>
              </w:rPr>
              <w:t>For the year ended December 31,</w:t>
            </w: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2010</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1,041,104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1,108,875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864,701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537,690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481,402</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259,456</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352,929</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242,159</w:t>
            </w:r>
          </w:p>
        </w:tc>
        <w:tc>
          <w:tcPr>
            <w:tcW w:w="4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141,459</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138,106</w:t>
            </w: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Accommodations Business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Oil States International,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181,876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244,721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168,505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98,047</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4"/>
              </w:rPr>
              <w:t>As of December 31,</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2,127,050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2,132,925</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1,799,894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1,487,462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573,699</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335,171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358,316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350,530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230,944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123,497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126,972</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183,822</w:t>
            </w: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r>
      <w:tr>
        <w:trPr>
          <w:trHeight w:val="661"/>
        </w:trPr>
        <w:tc>
          <w:tcPr>
            <w:tcW w:w="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3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34" w:right="19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40" w:firstLine="243"/>
        <w:spacing w:after="0" w:line="302" w:lineRule="auto"/>
        <w:rPr>
          <w:sz w:val="20"/>
          <w:szCs w:val="20"/>
          <w:color w:val="auto"/>
        </w:rPr>
      </w:pPr>
      <w:r>
        <w:rPr>
          <w:rFonts w:ascii="Arial" w:cs="Arial" w:eastAsia="Arial" w:hAnsi="Arial"/>
          <w:sz w:val="16"/>
          <w:szCs w:val="16"/>
          <w:color w:val="auto"/>
        </w:rPr>
        <w:t>Management’s Discussion and Analysis contains “forward-looking statements” that are based on management’s current expectations, estimates and projections about our business operations. Our actual results may differ materially from those currently anticipated and expressed in such forward-looking statements as a result of numerous factors, including the known material factors set forth in “Risk Factors.” You should read the following discussion and analysis together with our Combined Financial Statements and the notes to those statements included elsewhere in this information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Spin-Off</w:t>
      </w:r>
    </w:p>
    <w:p>
      <w:pPr>
        <w:spacing w:after="0" w:line="229" w:lineRule="exact"/>
        <w:rPr>
          <w:sz w:val="20"/>
          <w:szCs w:val="20"/>
          <w:color w:val="auto"/>
        </w:rPr>
      </w:pPr>
    </w:p>
    <w:p>
      <w:pPr>
        <w:ind w:right="20" w:firstLine="243"/>
        <w:spacing w:after="0" w:line="273" w:lineRule="auto"/>
        <w:rPr>
          <w:sz w:val="20"/>
          <w:szCs w:val="20"/>
          <w:color w:val="auto"/>
        </w:rPr>
      </w:pPr>
      <w:r>
        <w:rPr>
          <w:rFonts w:ascii="Arial" w:cs="Arial" w:eastAsia="Arial" w:hAnsi="Arial"/>
          <w:sz w:val="17"/>
          <w:szCs w:val="17"/>
          <w:color w:val="auto"/>
        </w:rPr>
        <w:t>On July 30, 2013, Oil States announced that its board of directors had authorized management to pursue the spin-off of its Accommodations business into a standalone, publicly traded company. The proposed spin-off is expected to be executed through a tax free distribution to Oil States shareholders. Oil States intends to distribute, on a pro rata basis, shares of SpinCo common stock to the Oil States shareholders as of the record date of the spin-off. Upon completion of the spin-off, Oil States and SpinCo will each be independent, publicly traded companies and will have separate public ownership, boards of directors and management. The completion of the spin-off will be subject to, among other things, final approval of the Oil States board of directors and the receipt of a private letter ruling from the IRS which affirms the tax free nature of the spin-off.</w:t>
      </w:r>
    </w:p>
    <w:p>
      <w:pPr>
        <w:spacing w:after="0" w:line="178" w:lineRule="exact"/>
        <w:rPr>
          <w:sz w:val="20"/>
          <w:szCs w:val="20"/>
          <w:color w:val="auto"/>
        </w:rPr>
      </w:pPr>
    </w:p>
    <w:p>
      <w:pPr>
        <w:ind w:right="280" w:firstLine="243"/>
        <w:spacing w:after="0" w:line="255" w:lineRule="auto"/>
        <w:rPr>
          <w:sz w:val="20"/>
          <w:szCs w:val="20"/>
          <w:color w:val="auto"/>
        </w:rPr>
      </w:pPr>
      <w:r>
        <w:rPr>
          <w:rFonts w:ascii="Arial" w:cs="Arial" w:eastAsia="Arial" w:hAnsi="Arial"/>
          <w:sz w:val="18"/>
          <w:szCs w:val="18"/>
          <w:color w:val="auto"/>
        </w:rPr>
        <w:t>The combined financial statements included in this information statement have been prepared in connection with the spin-off and reflect the combined results of operations, financial position and cash flows of the Accommodations Business of Oil States as if it had operated on a stand-alone basis for all periods presented. All material intercompany accounts within SpinCo have been eliminated. Historically, Oil States has provided services to and funded certain expenses for SpinCo. The combined statements of income reflect expense allocations for these functions, which include: (1) finance, legal, risk management, tax, treasury, information technology, human resources and certain other shared services; (2) certain employee benefits; and (3) share-based compensation. The combined statements do not include all of the actual expenses that would have been incurred had SpinCo been an independent, stand-alone company during the periods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firstLine="243"/>
        <w:spacing w:after="0" w:line="272" w:lineRule="auto"/>
        <w:rPr>
          <w:sz w:val="20"/>
          <w:szCs w:val="20"/>
          <w:color w:val="auto"/>
        </w:rPr>
      </w:pPr>
      <w:r>
        <w:rPr>
          <w:rFonts w:ascii="Arial" w:cs="Arial" w:eastAsia="Arial" w:hAnsi="Arial"/>
          <w:sz w:val="17"/>
          <w:szCs w:val="17"/>
          <w:color w:val="auto"/>
        </w:rPr>
        <w:t>We provide workforce accommodation to the natural resource industry in Canada, Australia and the U.S.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 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 coal and, to a lesser extent, natural gas.</w:t>
      </w:r>
    </w:p>
    <w:p>
      <w:pPr>
        <w:spacing w:after="0" w:line="232" w:lineRule="exact"/>
        <w:rPr>
          <w:sz w:val="20"/>
          <w:szCs w:val="20"/>
          <w:color w:val="auto"/>
        </w:rPr>
      </w:pPr>
    </w:p>
    <w:p>
      <w:pPr>
        <w:ind w:right="40" w:firstLine="243"/>
        <w:spacing w:after="0" w:line="287"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A significant factor affecting WCS pricing is the underlying price for WTI. As WTI prices have improved over the past few years with the global economic recovery, WCS prices have also improved. Another significant factor affecting WCS pricing has been transportation. Historically, WCS has traded at a discount to WTI, or “WCS Basis Differential,” due to transportation costs and limited capacity to move growing Canadian crude oil production to U.S. refineries. Depending on the extent of pipeline capacity availability, the WCS Basis Differential has varied. With the increase in global oil prices and increased transportation capacity from the oil sands region due to rail and barge alternatives, the absolute price of WCS has increased and the WCS Basis Differential has decreased. WCS prices in 2013 averaged $73.58 per barrel compared to $71.80 per barrel in 2012. However, the WCS Basis Differential widened substantially from below $15 per barrel to $22 per barrel as of March 14, 2014, as production increased and demand from U.S. refineries declined due to maintenance requirements. Should the price of WTI decline or the WCS Basis Differential widen further, our oil sands customers’ may delay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additional investments or reduce their spending in the oil sands region.</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34" w:right="299" w:bottom="1440" w:gutter="0" w:footer="0" w:header="0"/>
        </w:sectPr>
      </w:pPr>
    </w:p>
    <w:bookmarkStart w:id="69" w:name="page70"/>
    <w:bookmarkEnd w:id="69"/>
    <w:p>
      <w:pPr>
        <w:ind w:firstLine="243"/>
        <w:spacing w:after="0" w:line="290" w:lineRule="auto"/>
        <w:rPr>
          <w:sz w:val="20"/>
          <w:szCs w:val="20"/>
          <w:color w:val="auto"/>
        </w:rPr>
      </w:pPr>
      <w:r>
        <w:rPr>
          <w:rFonts w:ascii="Arial" w:cs="Arial" w:eastAsia="Arial" w:hAnsi="Arial"/>
          <w:sz w:val="16"/>
          <w:szCs w:val="16"/>
          <w:color w:val="auto"/>
        </w:rPr>
        <w:t>Given the historical volatility of WTI crude prices and the WCS Basis Differential, there remains a risk that prices in the oil sands could deteriorate going forward due to slowing growth rates in China, fiscal and financial uncertainty in the U.S. and various European countries, potentially negative effects on economic growth in the U.S. due to automatic government spending cuts and a prolonged level of relatively high unemployment in the U.S. and other advanced economies. However, if the global supply of oil and global inventory levels were to decrease due to government instability in a major oil-producing nation and energy demand continues to increase in countries such as China, India and the U.S., we could see continued and/or additional increases in WTI crude prices which coupled with an improvement in takeaway capacity from the oil sands could improve WCS pricing. This, in turn, could lead to our oil sands customers increasing their investments in oil sands production. Conversely, if WCS crude prices continue to experience a significant discount to WTI crude, our oil sands customers’ may have an incentive to delay additional investments in their oil sands assets.</w:t>
      </w:r>
    </w:p>
    <w:p>
      <w:pPr>
        <w:spacing w:after="0" w:line="16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Natural gas prices and WTI crude oil pricing, discussed above, have an impact on the demand for our U.S. accommodations. Prices for natural gas in the United States improved during 2013 and early 2014, largely due to above average storage withdrawals in response to colder than normal weather, continued elevated demand for natural gas for electric power generation, lower net imports from Canada and higher industrial demand. However, natural gas prices continue to be weak relative to prices experienced in 2006 through 2008 due to the rise in production from unconventional natural gas resources in North America, specifically onshore shale production, resulting from the broad application of horizontal drilling and hydraulic fracturing techniques. Any increases in the supply of natural gas, whether the supply comes from conventional or unconventional production or associated gas production from oil wells, could constrain prices for natural gas for an extended period and result in fewer rigs drilling for gas in the near-term. Lower rig counts typically impact our mobile fleet in the United States. However, SAGD development utilizes natural gas and lower natural gas prices could have a positive impact on this activity in Canada. Natural gas prices traded at approximately $4.39 per Mcf as of March 14, 2014.</w:t>
      </w:r>
    </w:p>
    <w:p>
      <w:pPr>
        <w:spacing w:after="0" w:line="209" w:lineRule="exact"/>
        <w:rPr>
          <w:sz w:val="20"/>
          <w:szCs w:val="20"/>
          <w:color w:val="auto"/>
        </w:rPr>
      </w:pPr>
    </w:p>
    <w:p>
      <w:pPr>
        <w:ind w:right="80" w:firstLine="324"/>
        <w:spacing w:after="0" w:line="292" w:lineRule="auto"/>
        <w:rPr>
          <w:sz w:val="20"/>
          <w:szCs w:val="20"/>
          <w:color w:val="auto"/>
        </w:rPr>
      </w:pPr>
      <w:r>
        <w:rPr>
          <w:rFonts w:ascii="Arial" w:cs="Arial" w:eastAsia="Arial" w:hAnsi="Arial"/>
          <w:sz w:val="16"/>
          <w:szCs w:val="16"/>
          <w:color w:val="auto"/>
        </w:rPr>
        <w:t>Our Australian villages in the Bowen Basin primarily serve coal mines in that region. Met coal pricing and growth in production in the region is influenced by levels of steel production. Because Chinese steel production has been growing at a slower pace than that experienced in 2010 and early 2011, Chinese demand for imported steel inputs such as met coal and iron ore decreased during 2013 compared to 2012. Met coal prices have decreased materially from over $200/metric ton at the beginning of 2012 to approximately $150/metric ton at the end of 2013. Depressed met coal prices have led to the implementation of cost control measures by our customers, some coal mine closures and delays in the start-up of new coal mining projects in Australia.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continued depressed met coal price will impact our customers’ future capital spending programs.</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0" w:name="page71"/>
    <w:bookmarkEnd w:id="70"/>
    <w:p>
      <w:pPr>
        <w:ind w:left="260"/>
        <w:spacing w:after="0"/>
        <w:rPr>
          <w:sz w:val="20"/>
          <w:szCs w:val="20"/>
          <w:color w:val="auto"/>
        </w:rPr>
      </w:pPr>
      <w:r>
        <w:rPr>
          <w:rFonts w:ascii="Arial" w:cs="Arial" w:eastAsia="Arial" w:hAnsi="Arial"/>
          <w:sz w:val="18"/>
          <w:szCs w:val="18"/>
          <w:color w:val="auto"/>
        </w:rPr>
        <w:t>Recent WTI crude, WCS crude, Queensland hard coking coal and natural gas pricing trends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9"/>
              </w:rPr>
              <w:t>WTI Crude</w:t>
            </w:r>
          </w:p>
        </w:tc>
        <w:tc>
          <w:tcPr>
            <w:tcW w:w="100" w:type="dxa"/>
            <w:vAlign w:val="bottom"/>
          </w:tcPr>
          <w:p>
            <w:pPr>
              <w:spacing w:after="0"/>
              <w:rPr>
                <w:sz w:val="16"/>
                <w:szCs w:val="16"/>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WCS Crude</w:t>
            </w:r>
          </w:p>
        </w:tc>
        <w:tc>
          <w:tcPr>
            <w:tcW w:w="100" w:type="dxa"/>
            <w:vAlign w:val="bottom"/>
          </w:tcPr>
          <w:p>
            <w:pPr>
              <w:spacing w:after="0"/>
              <w:rPr>
                <w:sz w:val="16"/>
                <w:szCs w:val="16"/>
                <w:color w:val="auto"/>
              </w:rPr>
            </w:pPr>
          </w:p>
        </w:tc>
        <w:tc>
          <w:tcPr>
            <w:tcW w:w="13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7"/>
              </w:rPr>
              <w:t>Hard</w:t>
            </w:r>
          </w:p>
        </w:tc>
        <w:tc>
          <w:tcPr>
            <w:tcW w:w="120" w:type="dxa"/>
            <w:vAlign w:val="bottom"/>
          </w:tcPr>
          <w:p>
            <w:pPr>
              <w:spacing w:after="0"/>
              <w:rPr>
                <w:sz w:val="16"/>
                <w:szCs w:val="16"/>
                <w:color w:val="auto"/>
              </w:rPr>
            </w:pPr>
          </w:p>
        </w:tc>
        <w:tc>
          <w:tcPr>
            <w:tcW w:w="10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6"/>
              </w:rPr>
              <w:t>Henry Hub</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700" w:type="dxa"/>
            <w:vAlign w:val="bottom"/>
            <w:gridSpan w:val="2"/>
            <w:vMerge w:val="restart"/>
          </w:tcPr>
          <w:p>
            <w:pPr>
              <w:ind w:left="140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Coking Coal</w:t>
            </w: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4"/>
              </w:rPr>
              <w:t>Natural Gas</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(per bbl)</w:t>
            </w:r>
          </w:p>
        </w:tc>
        <w:tc>
          <w:tcPr>
            <w:tcW w:w="100" w:type="dxa"/>
            <w:vAlign w:val="bottom"/>
          </w:tcPr>
          <w:p>
            <w:pPr>
              <w:spacing w:after="0"/>
              <w:rPr>
                <w:sz w:val="9"/>
                <w:szCs w:val="9"/>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(per bbl)</w:t>
            </w: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(per ton)</w:t>
            </w:r>
          </w:p>
        </w:tc>
        <w:tc>
          <w:tcPr>
            <w:tcW w:w="120" w:type="dxa"/>
            <w:vAlign w:val="bottom"/>
          </w:tcPr>
          <w:p>
            <w:pPr>
              <w:spacing w:after="0"/>
              <w:rPr>
                <w:sz w:val="10"/>
                <w:szCs w:val="10"/>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(per mcf)</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2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4"/>
              </w:rPr>
              <w:t>66.34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tcPr>
          <w:p>
            <w:pPr>
              <w:jc w:val="center"/>
              <w:spacing w:after="0"/>
              <w:rPr>
                <w:sz w:val="20"/>
                <w:szCs w:val="20"/>
                <w:color w:val="auto"/>
              </w:rPr>
            </w:pPr>
            <w:r>
              <w:rPr>
                <w:rFonts w:ascii="Arial" w:cs="Arial" w:eastAsia="Arial" w:hAnsi="Arial"/>
                <w:sz w:val="18"/>
                <w:szCs w:val="18"/>
                <w:color w:val="auto"/>
                <w:w w:val="92"/>
              </w:rPr>
              <w:t>9/30/2013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105.83</w:t>
            </w:r>
          </w:p>
        </w:tc>
        <w:tc>
          <w:tcPr>
            <w:tcW w:w="10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142.21</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6/30/2013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77.48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149.94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tcPr>
          <w:p>
            <w:pPr>
              <w:jc w:val="center"/>
              <w:spacing w:after="0"/>
              <w:rPr>
                <w:sz w:val="20"/>
                <w:szCs w:val="20"/>
                <w:color w:val="auto"/>
              </w:rPr>
            </w:pPr>
            <w:r>
              <w:rPr>
                <w:rFonts w:ascii="Arial" w:cs="Arial" w:eastAsia="Arial" w:hAnsi="Arial"/>
                <w:sz w:val="18"/>
                <w:szCs w:val="18"/>
                <w:color w:val="auto"/>
                <w:w w:val="92"/>
              </w:rPr>
              <w:t>3/31/2013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66.86</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167.71</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61.34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tcPr>
          <w:p>
            <w:pPr>
              <w:jc w:val="center"/>
              <w:spacing w:after="0"/>
              <w:rPr>
                <w:sz w:val="20"/>
                <w:szCs w:val="20"/>
                <w:color w:val="auto"/>
              </w:rPr>
            </w:pPr>
            <w:r>
              <w:rPr>
                <w:rFonts w:ascii="Arial" w:cs="Arial" w:eastAsia="Arial" w:hAnsi="Arial"/>
                <w:sz w:val="18"/>
                <w:szCs w:val="18"/>
                <w:color w:val="auto"/>
                <w:w w:val="92"/>
              </w:rPr>
              <w:t>9/30/2012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92.17</w:t>
            </w:r>
          </w:p>
        </w:tc>
        <w:tc>
          <w:tcPr>
            <w:tcW w:w="10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187.88</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6/30/2012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73.53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216.49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tcPr>
          <w:p>
            <w:pPr>
              <w:jc w:val="center"/>
              <w:spacing w:after="0"/>
              <w:rPr>
                <w:sz w:val="20"/>
                <w:szCs w:val="20"/>
                <w:color w:val="auto"/>
              </w:rPr>
            </w:pPr>
            <w:r>
              <w:rPr>
                <w:rFonts w:ascii="Arial" w:cs="Arial" w:eastAsia="Arial" w:hAnsi="Arial"/>
                <w:sz w:val="18"/>
                <w:szCs w:val="18"/>
                <w:color w:val="auto"/>
                <w:w w:val="92"/>
              </w:rPr>
              <w:t>3/31/2012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212.20</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81.56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236.69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tcPr>
          <w:p>
            <w:pPr>
              <w:jc w:val="center"/>
              <w:spacing w:after="0"/>
              <w:rPr>
                <w:sz w:val="20"/>
                <w:szCs w:val="20"/>
                <w:color w:val="auto"/>
              </w:rPr>
            </w:pPr>
            <w:r>
              <w:rPr>
                <w:rFonts w:ascii="Arial" w:cs="Arial" w:eastAsia="Arial" w:hAnsi="Arial"/>
                <w:sz w:val="18"/>
                <w:szCs w:val="18"/>
                <w:color w:val="auto"/>
                <w:w w:val="89"/>
              </w:rPr>
              <w:t>9/30/2011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75.05</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296.24</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6/30/2011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84.72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315.74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378"/>
        </w:trPr>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60" w:firstLine="98"/>
        <w:spacing w:after="0" w:line="277" w:lineRule="auto"/>
        <w:tabs>
          <w:tab w:leader="none" w:pos="525" w:val="left"/>
        </w:tabs>
        <w:numPr>
          <w:ilvl w:val="0"/>
          <w:numId w:val="89"/>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Queensland hard coking coal index from Bloomberg.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243"/>
        <w:spacing w:after="0" w:line="308" w:lineRule="auto"/>
        <w:rPr>
          <w:sz w:val="20"/>
          <w:szCs w:val="20"/>
          <w:color w:val="auto"/>
        </w:rPr>
      </w:pPr>
      <w:r>
        <w:rPr>
          <w:rFonts w:ascii="Arial" w:cs="Arial" w:eastAsia="Arial" w:hAnsi="Arial"/>
          <w:sz w:val="17"/>
          <w:szCs w:val="17"/>
          <w:color w:val="auto"/>
        </w:rPr>
        <w:t>Demand for our services is primarily tied to the long-term outlook for crude oil and met coal prices. Other factors that can affect our business and financial results include the general global economic environment and regulatory changes in the U.S., Canada, Australia and in other markets.</w:t>
      </w:r>
    </w:p>
    <w:p>
      <w:pPr>
        <w:spacing w:after="0" w:line="147" w:lineRule="exact"/>
        <w:rPr>
          <w:sz w:val="20"/>
          <w:szCs w:val="20"/>
          <w:color w:val="auto"/>
        </w:rPr>
      </w:pPr>
    </w:p>
    <w:p>
      <w:pPr>
        <w:ind w:firstLine="243"/>
        <w:spacing w:after="0" w:line="289"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Oil sands development and production activity has increased over the past several years and has had a positive impact on our Canadian business. Recent announcements of new and expanded oil sands projects can create the opportunity to extend existing accommodations contracts and incremental contracts for us in Canada. For example, in the third quarter of 2012, we were awarded a ten-year contract in support of future operations personnel working on the Kearl Project, one of the Canadian oil sands potentially largest mining operations. In addition, several major and national oil companies have announced acquisitions and joint ventures to develop oil sands leases or other acquisitions of oil sands exposure that should bode well for future oil sands investment and, as a result, demand for oil sands accommodations. However, given the WCS discount to WTI, several oil sands customers have announced the deferral of new oil sands projects, which could negatively affect our ability to expand our oil sands room count or our occupancy levels in the near term.</w:t>
      </w:r>
    </w:p>
    <w:p>
      <w:pPr>
        <w:spacing w:after="0" w:line="167"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customers and several years of cost inflation caused several of our customers to delay or reduce their growth plans. This has negatively affected our ability to expand our room count and to maintain or increase occupancy levels. It has also caused one of our customers to renegotiate contracts to reduce their forward room commitments beginning in March 2014 in return for termination compensation beginning in March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ind w:firstLine="243"/>
        <w:spacing w:after="0" w:line="272" w:lineRule="auto"/>
        <w:rPr>
          <w:sz w:val="20"/>
          <w:szCs w:val="20"/>
          <w:color w:val="auto"/>
        </w:rPr>
      </w:pPr>
      <w:r>
        <w:rPr>
          <w:rFonts w:ascii="Arial" w:cs="Arial" w:eastAsia="Arial" w:hAnsi="Arial"/>
          <w:sz w:val="17"/>
          <w:szCs w:val="17"/>
          <w:color w:val="auto"/>
        </w:rPr>
        <w:t>Exchange rates between the U.S. dollar and the Canadian dollar and between the U.S. dollar and the Australian dollar influence our U.S. reported financial results. Our business has historically derived a vast majority of its revenues and operating income in Canada and Australia. These revenues and profits are translated into U.S. dollars for U.S. GAAP financial reporting purposes. For the year ended December 31, 2012, average U.S. dollar and Canadian and Australian dollar exchange rates were comparable with a less than 1% change over average exchange rates in 2011. However during 2013, particularly at year end, we saw a strengthening U.S. dollar compared to both the Canadian and Australian dollars. During 2013, the Canadian and Australian dollars weakened 7% and 15%, respectively, relative to the U.S. dollar. A strong U.S. dollar is generally viewed positively for our Australian customers as they typically receive U.S. dollar denominated payment for their commodities with expenses denominated in Australian dollars.</w:t>
      </w:r>
    </w:p>
    <w:p>
      <w:pPr>
        <w:spacing w:after="0" w:line="178"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While global demand for oil and natural gas are significant factors influencing our business generally, certain other factors also influence our business, such as the pace of worldwide economic growth.</w:t>
      </w:r>
    </w:p>
    <w:p>
      <w:pPr>
        <w:spacing w:after="0" w:line="170" w:lineRule="exact"/>
        <w:rPr>
          <w:sz w:val="20"/>
          <w:szCs w:val="20"/>
          <w:color w:val="auto"/>
        </w:rPr>
      </w:pPr>
    </w:p>
    <w:p>
      <w:pPr>
        <w:ind w:right="100" w:firstLine="243"/>
        <w:spacing w:after="0" w:line="342" w:lineRule="auto"/>
        <w:rPr>
          <w:sz w:val="20"/>
          <w:szCs w:val="20"/>
          <w:color w:val="auto"/>
        </w:rPr>
      </w:pPr>
      <w:r>
        <w:rPr>
          <w:rFonts w:ascii="Arial" w:cs="Arial" w:eastAsia="Arial" w:hAnsi="Arial"/>
          <w:sz w:val="16"/>
          <w:szCs w:val="16"/>
          <w:color w:val="auto"/>
        </w:rPr>
        <w:t>We continue to monitor the global economy, the demand for crude oil, met coal and natural gas and the resultant impact on the capital spending plans and operations of our customers in order to plan our business. Our capital expenditures in 2013 totaled $292 million compared to $314 million in 2012.</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Consolidated Results of Operations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7"/>
          </w:tcPr>
          <w:p>
            <w:pPr>
              <w:ind w:left="380"/>
              <w:spacing w:after="0"/>
              <w:rPr>
                <w:sz w:val="20"/>
                <w:szCs w:val="20"/>
                <w:color w:val="auto"/>
              </w:rPr>
            </w:pPr>
            <w:r>
              <w:rPr>
                <w:rFonts w:ascii="Arial" w:cs="Arial" w:eastAsia="Arial" w:hAnsi="Arial"/>
                <w:sz w:val="18"/>
                <w:szCs w:val="18"/>
                <w:b w:val="1"/>
                <w:bCs w:val="1"/>
                <w:color w:val="auto"/>
              </w:rPr>
              <w:t>Twelve Months Ended</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4"/>
          </w:tcPr>
          <w:p>
            <w:pPr>
              <w:ind w:left="360"/>
              <w:spacing w:after="0"/>
              <w:rPr>
                <w:sz w:val="20"/>
                <w:szCs w:val="20"/>
                <w:color w:val="auto"/>
              </w:rPr>
            </w:pPr>
            <w:r>
              <w:rPr>
                <w:rFonts w:ascii="Arial" w:cs="Arial" w:eastAsia="Arial" w:hAnsi="Arial"/>
                <w:sz w:val="18"/>
                <w:szCs w:val="18"/>
                <w:b w:val="1"/>
                <w:bCs w:val="1"/>
                <w:color w:val="auto"/>
              </w:rPr>
              <w:t>Variance</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0"/>
              </w:rPr>
              <w:t>Variance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2013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2012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4"/>
          </w:tcPr>
          <w:p>
            <w:pPr>
              <w:ind w:left="180"/>
              <w:spacing w:after="0"/>
              <w:rPr>
                <w:sz w:val="20"/>
                <w:szCs w:val="20"/>
                <w:color w:val="auto"/>
              </w:rPr>
            </w:pPr>
            <w:r>
              <w:rPr>
                <w:rFonts w:ascii="Arial" w:cs="Arial" w:eastAsia="Arial" w:hAnsi="Arial"/>
                <w:sz w:val="18"/>
                <w:szCs w:val="18"/>
                <w:b w:val="1"/>
                <w:bCs w:val="1"/>
                <w:color w:val="auto"/>
              </w:rPr>
              <w:t>2013 vs. 2012</w:t>
            </w:r>
          </w:p>
        </w:tc>
        <w:tc>
          <w:tcPr>
            <w:tcW w:w="140" w:type="dxa"/>
            <w:vAlign w:val="bottom"/>
          </w:tcPr>
          <w:p>
            <w:pPr>
              <w:spacing w:after="0"/>
              <w:rPr>
                <w:sz w:val="20"/>
                <w:szCs w:val="20"/>
                <w:color w:val="auto"/>
              </w:rPr>
            </w:pPr>
          </w:p>
        </w:tc>
        <w:tc>
          <w:tcPr>
            <w:tcW w:w="5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2011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6"/>
              </w:rPr>
              <w:t>2012 vs. 2011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9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137.3</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Australia</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276.2</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197.1</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79.1</w:t>
            </w:r>
          </w:p>
        </w:tc>
        <w:tc>
          <w:tcPr>
            <w:tcW w:w="3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9"/>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1,041.1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1,108.9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(67.8)</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864.7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244.2</w:t>
            </w:r>
          </w:p>
        </w:tc>
        <w:tc>
          <w:tcPr>
            <w:tcW w:w="3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9"/>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Cost of sales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Australia</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104.6</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9"/>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549.6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552.4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456.4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c>
          <w:tcPr>
            <w:tcW w:w="3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9"/>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Australia</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171.6</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c>
          <w:tcPr>
            <w:tcW w:w="3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9"/>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491.5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556.5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408.3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148.2</w:t>
            </w:r>
          </w:p>
        </w:tc>
        <w:tc>
          <w:tcPr>
            <w:tcW w:w="3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9"/>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Australia</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3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9"/>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99"/>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7"/>
              </w:rPr>
              <w:t>46 %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283"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We reported net income attributable to the Accommodations business for the year ended December 31, 2013 of $181.9 million. This result compares to net income attributable to the Accommodations business of $244.7 million reported for the year ended December 31, 2012, which included a gain of $17.9 million from a favorable contract settlement reported in our U.S. accommodations segment.</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decreased $67.8 million, or 6%, in 2013 compared to 2012.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ind w:right="40" w:firstLine="243"/>
        <w:spacing w:after="0" w:line="302" w:lineRule="auto"/>
        <w:rPr>
          <w:sz w:val="20"/>
          <w:szCs w:val="20"/>
          <w:color w:val="auto"/>
        </w:rPr>
      </w:pPr>
      <w:r>
        <w:rPr>
          <w:rFonts w:ascii="Arial" w:cs="Arial" w:eastAsia="Arial" w:hAnsi="Arial"/>
          <w:sz w:val="16"/>
          <w:szCs w:val="16"/>
          <w:color w:val="auto"/>
        </w:rPr>
        <w:t>Our Canadian segment reported revenues in 2013 that were $6.7 million, or 1%, lower than those in 2012. The decrease in Canadian accommodations revenue primarily resulted from a 9% reduction in Revenue per Available Room (RevPAR) in our lodges. The RevPAR reduction was due to a 3% weakening of the Canadian dollar relative to the U.S. dollar as well as lower contracted rates at our Wapasu Lodge and modestly reduced occupancy at our Beaver River and Athabasca Lodges. Those declines were partially offset by an 8% increase in the average number of available lodge rooms.</w:t>
      </w:r>
    </w:p>
    <w:p>
      <w:pPr>
        <w:spacing w:after="0" w:line="154"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Our Australian segment reported revenues in 2013 that were $20.7 million, or 7%, below 2012. Increased revenue at our Coppabella and Narrabri villages due to room additions as well as contributions from our new Karratha village were offset by lower occupancy at our Middlemount and Calliope villages. Additionally, the exchange rate between the U.S. dollar and Australian dollar resulted in a 7% year over year reduction in revenue. Within Australia, the average number of available rooms increased by 15%, but unfavorable exchange rate movements and reduced occupancy at Calliope and Middlemount contributed to a decrease in RevPAR of 19%.</w:t>
      </w:r>
    </w:p>
    <w:p>
      <w:pPr>
        <w:spacing w:after="0" w:line="188"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Our U.S. segment reported revenues in 2013 that were $40.4 million, or 35%, below 2012. The decrease in U.S. accommodations revenue primarily due to lower utilization of our rooms due to a reduced rig count and weather related issues in the Bakken as well as reduced pricing due to high levels of competition . Additionally, 2012 results included $18.3 million in revenue from a favorable contract settlement reported during the first quarter of 2012.</w:t>
      </w:r>
    </w:p>
    <w:p>
      <w:pPr>
        <w:spacing w:after="0" w:line="143" w:lineRule="exact"/>
        <w:rPr>
          <w:sz w:val="20"/>
          <w:szCs w:val="20"/>
          <w:color w:val="auto"/>
        </w:rPr>
      </w:pPr>
    </w:p>
    <w:p>
      <w:pPr>
        <w:ind w:right="120" w:firstLine="243"/>
        <w:spacing w:after="0" w:line="256"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combined cost of sales decreased $2.8 million, or 1%, in 2013 compared to 2012 primarily due to weaker Canadian and</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dollars relative to the U.S. dollar and lower manufacturing costs, partially offset by increased room capacity in Canada and Australia. Our gross margin as a percentage of revenues decreased from 50% in 2012 to 47% in 2013 in part due to the favorable contract settlement reported in our U.S. accommodations segment in 2012. Excluding the favorable contract settlement, our gross margin as a percentage of revenues would have been 49% in 2012. The decrease in gross margin as a percentage of revenues from the adjusted 49% in 2012 to 47% in 2013 was primarily due to lower contracted rates in Canada.</w:t>
      </w:r>
    </w:p>
    <w:p>
      <w:pPr>
        <w:spacing w:after="0" w:line="192" w:lineRule="exact"/>
        <w:rPr>
          <w:sz w:val="20"/>
          <w:szCs w:val="20"/>
          <w:color w:val="auto"/>
        </w:rPr>
      </w:pPr>
    </w:p>
    <w:p>
      <w:pPr>
        <w:ind w:right="260" w:firstLine="243"/>
        <w:spacing w:after="0" w:line="264" w:lineRule="auto"/>
        <w:rPr>
          <w:sz w:val="20"/>
          <w:szCs w:val="20"/>
          <w:color w:val="auto"/>
        </w:rPr>
      </w:pPr>
      <w:r>
        <w:rPr>
          <w:rFonts w:ascii="Arial" w:cs="Arial" w:eastAsia="Arial" w:hAnsi="Arial"/>
          <w:sz w:val="18"/>
          <w:szCs w:val="18"/>
          <w:color w:val="auto"/>
        </w:rPr>
        <w:t>Our Canadian segment cost of sales increased $12.1 million, or 3%, in 2013 compared to 2012 due primarily to increased room capacity at Henday and Conklin lodges as well as the start-up of Anzac Lodge. Our Canadian segment gross margin as a percentage of revenues fell from 46% in 2012 to 44% in 2013.</w:t>
      </w:r>
    </w:p>
    <w:p>
      <w:pPr>
        <w:spacing w:after="0" w:line="181" w:lineRule="exact"/>
        <w:rPr>
          <w:sz w:val="20"/>
          <w:szCs w:val="20"/>
          <w:color w:val="auto"/>
        </w:rPr>
      </w:pPr>
    </w:p>
    <w:p>
      <w:pPr>
        <w:ind w:right="160" w:firstLine="243"/>
        <w:spacing w:after="0" w:line="264" w:lineRule="auto"/>
        <w:rPr>
          <w:sz w:val="20"/>
          <w:szCs w:val="20"/>
          <w:color w:val="auto"/>
        </w:rPr>
      </w:pPr>
      <w:r>
        <w:rPr>
          <w:rFonts w:ascii="Arial" w:cs="Arial" w:eastAsia="Arial" w:hAnsi="Arial"/>
          <w:sz w:val="18"/>
          <w:szCs w:val="18"/>
          <w:color w:val="auto"/>
        </w:rPr>
        <w:t>Our Australian segment cost of sales decreased $8.5 million, or 8%, in 2013 compared to 2012 primarily due to a weaker Australian dollar relative to the U.S. dollar and lower occupancy partially offset by an increased room capacity of 15%. Our Australian accommodations segment gross margin as a percentage of revenues was flat at 62% in 2013 compared to 2012.</w:t>
      </w:r>
    </w:p>
    <w:p>
      <w:pPr>
        <w:spacing w:after="0" w:line="181"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Our U.S. segment cost of sales decreased $6.4 million, or 11%, in 2013 compared to 2012 primarily due to lower revenues in the segment. Our U.S. accommodations segment gross margin as a percentage of revenues decreased from 47% in 2012, which was heavily influenced by $17.9 million in gross profit due to a favorable contract settlement, to 27% in 2013. Excluding the contract settlement, gross margin in the U.S. would have been 38%. The year over year negative variance is primarily due to lower utilization of our rooms due to a reduced rig count in our regions of operation and weather related issues in the Bakken as well as reduced pricing due to high levels of competition. U.S. accommodations are driven by shorter-term and spot contracts and, therefore, experience more volatility due to commodity price changes.</w:t>
      </w:r>
    </w:p>
    <w:p>
      <w:pPr>
        <w:spacing w:after="0" w:line="189" w:lineRule="exact"/>
        <w:rPr>
          <w:sz w:val="20"/>
          <w:szCs w:val="20"/>
          <w:color w:val="auto"/>
        </w:rPr>
      </w:pPr>
    </w:p>
    <w:p>
      <w:pPr>
        <w:ind w:firstLine="243"/>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$5.4 million, or 8%, in 2013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2012 primarily due to increased bad debt expense, professional fees, rent and employee-related costs, partially offset by the weakening of the Australian and Canadian dollars relative to the U.S. dollar in 2013 compared to 2012.</w:t>
      </w:r>
    </w:p>
    <w:p>
      <w:pPr>
        <w:spacing w:after="0" w:line="176" w:lineRule="exact"/>
        <w:rPr>
          <w:sz w:val="20"/>
          <w:szCs w:val="20"/>
          <w:color w:val="auto"/>
        </w:rPr>
      </w:pPr>
    </w:p>
    <w:p>
      <w:pPr>
        <w:ind w:right="320" w:firstLine="243"/>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Depreciation and amortization expense increased $28.2 million, or 20%, in 2013 compared to 2012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made in Canadian lodges and Australian villages during 2012 and 2013.</w:t>
      </w:r>
    </w:p>
    <w:p>
      <w:pPr>
        <w:spacing w:after="0" w:line="162" w:lineRule="exact"/>
        <w:rPr>
          <w:sz w:val="20"/>
          <w:szCs w:val="20"/>
          <w:color w:val="auto"/>
        </w:rPr>
      </w:pPr>
    </w:p>
    <w:p>
      <w:pPr>
        <w:ind w:right="120" w:firstLine="243"/>
        <w:spacing w:after="0" w:line="258"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Consolidated operating income decreased $93.4 million, or 26%, in 2013 compared to 2012 primarily due to the favorable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reported in our U.S. accommodations segment in 2012, the lower RevPAR in Canada, lower occupancy levels in Australia, increased depreciation expense on accommodations assets and lower utilization for our U.S. accommodations assets, partially offset by an increase in average available rooms in 2013 compared to 2012 and a gain of $4.0 million from a reduction in the fair value of a liability associated with contingent acquisition consideration in our U.S. accommodations segment.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ind w:right="120" w:firstLine="243"/>
        <w:spacing w:after="0" w:line="277" w:lineRule="auto"/>
        <w:rPr>
          <w:sz w:val="20"/>
          <w:szCs w:val="20"/>
          <w:color w:val="auto"/>
        </w:rPr>
      </w:pPr>
      <w:r>
        <w:rPr>
          <w:rFonts w:ascii="Arial" w:cs="Arial" w:eastAsia="Arial" w:hAnsi="Arial"/>
          <w:sz w:val="17"/>
          <w:szCs w:val="17"/>
          <w:b w:val="1"/>
          <w:bCs w:val="1"/>
          <w:color w:val="auto"/>
        </w:rPr>
        <w:t>Interest Expense and Interest Income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Net interest expense, including interest expense and income to/from affiliates, decreased by $2.3 million, or 9%,</w:t>
      </w:r>
      <w:r>
        <w:rPr>
          <w:rFonts w:ascii="Arial" w:cs="Arial" w:eastAsia="Arial" w:hAnsi="Arial"/>
          <w:sz w:val="17"/>
          <w:szCs w:val="17"/>
          <w:b w:val="1"/>
          <w:bCs w:val="1"/>
          <w:color w:val="auto"/>
        </w:rPr>
        <w:t xml:space="preserve"> </w:t>
      </w:r>
      <w:r>
        <w:rPr>
          <w:rFonts w:ascii="Arial" w:cs="Arial" w:eastAsia="Arial" w:hAnsi="Arial"/>
          <w:sz w:val="17"/>
          <w:szCs w:val="17"/>
          <w:color w:val="auto"/>
        </w:rPr>
        <w:t>in 2013 compared to 2012 primarily due to decreased interest expense on the Canadian dollar-denominated long-term debt with affiliates as a result of the weakening of the Canadian dollar to U.S. dollar exchange rate in 2013 compared to 2012. During the second quarter of 2013, $1.2 million of deferred financing costs, representing the remaining unamortized balance of deferred financing costs associated with our Canadian term loan, was expensed due to its repayment in full. Interest income increased as a result of increased cash balances in interest bearing accounts.</w:t>
      </w:r>
    </w:p>
    <w:p>
      <w:pPr>
        <w:spacing w:after="0" w:line="168" w:lineRule="exact"/>
        <w:rPr>
          <w:sz w:val="20"/>
          <w:szCs w:val="20"/>
          <w:color w:val="auto"/>
        </w:rPr>
      </w:pPr>
    </w:p>
    <w:p>
      <w:pPr>
        <w:ind w:right="60" w:firstLine="243"/>
        <w:spacing w:after="0" w:line="258"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income tax provision in 2013 totaled $56.1 million, or 23% of pretax income, compared to income tax expense of $84.3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26% of pretax income, in 2012. The effective tax rates for the year ended December 31, 2013 and 2012, respectively, are lower than U.S. statutory rates due to a lower proportion of U.S. income which is taxed at higher statutory rates. Statutory corporate, federal tax rates in Canada and Australia were 25% and 30%, respectively, in both 2013 and 2012. The effective tax rate is below the statutory rate due to permanent differences related to the acquisition of our Australian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229" w:lineRule="exact"/>
        <w:rPr>
          <w:sz w:val="20"/>
          <w:szCs w:val="20"/>
          <w:color w:val="auto"/>
        </w:rPr>
      </w:pPr>
    </w:p>
    <w:p>
      <w:pPr>
        <w:ind w:right="420" w:firstLine="243"/>
        <w:spacing w:after="0" w:line="342" w:lineRule="auto"/>
        <w:rPr>
          <w:sz w:val="20"/>
          <w:szCs w:val="20"/>
          <w:color w:val="auto"/>
        </w:rPr>
      </w:pPr>
      <w:r>
        <w:rPr>
          <w:rFonts w:ascii="Arial" w:cs="Arial" w:eastAsia="Arial" w:hAnsi="Arial"/>
          <w:sz w:val="16"/>
          <w:szCs w:val="16"/>
          <w:color w:val="auto"/>
        </w:rPr>
        <w:t>We reported net income for the year ended December 31, 2012 of $244.7 million including a pre-tax gain of $17.9 million from a favorable contract settlement reported in our U.S. accommodations segment. These results compare to net income for the year ended December 31, 2011 of $168.5 million.</w:t>
      </w:r>
    </w:p>
    <w:p>
      <w:pPr>
        <w:spacing w:after="0" w:line="124"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We reported revenues in 2012 that were $244.2 million, or 28%, above 2011. The increase in revenue primarily resulted from expanded room capacity in Canada and Australia along with $17.9 million in revenue from a favorable contract settlement reported in our U.S. accommodations segment during the first quarter of 2012. Revenues, average available rooms and RevPAR for our lodges and villages increased 35%, 23% and 10%, respectively, in 2012 compared to 2011.</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Combined revenues increased $244.2 million, or 28%, in 2012 compared to 2011.</w:t>
      </w:r>
    </w:p>
    <w:p>
      <w:pPr>
        <w:spacing w:after="0" w:line="229" w:lineRule="exact"/>
        <w:rPr>
          <w:sz w:val="20"/>
          <w:szCs w:val="20"/>
          <w:color w:val="auto"/>
        </w:rPr>
      </w:pPr>
    </w:p>
    <w:p>
      <w:pPr>
        <w:ind w:right="280" w:firstLine="243"/>
        <w:spacing w:after="0" w:line="264" w:lineRule="auto"/>
        <w:rPr>
          <w:sz w:val="20"/>
          <w:szCs w:val="20"/>
          <w:color w:val="auto"/>
        </w:rPr>
      </w:pPr>
      <w:r>
        <w:rPr>
          <w:rFonts w:ascii="Arial" w:cs="Arial" w:eastAsia="Arial" w:hAnsi="Arial"/>
          <w:sz w:val="18"/>
          <w:szCs w:val="18"/>
          <w:color w:val="auto"/>
        </w:rPr>
        <w:t>Our Canadian segment reported revenues in 2012 that were $137.3 million, or 24%, above 2011. The increase in revenue primarily resulted from expanded room capacity at our Henday, Wapasu, Beaver River and Athabasca lodges. Average available rooms and RevPAR for our lodges increased 19% and 12%, respectively, in 2012 compared to 2011.</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Our Australian segment reported revenues in 2012 that were $79.1 million, or 40%, above 2011. The increase in revenue primarily resulted from expanded room capacity at our Calliope, Coppabella, Dysart and Moranbah villages. Average available rooms and RevPAR for our villages increased 29% and 8%, respectively, in 2012 compared to 2011.</w:t>
      </w:r>
    </w:p>
    <w:p>
      <w:pPr>
        <w:spacing w:after="0" w:line="181" w:lineRule="exact"/>
        <w:rPr>
          <w:sz w:val="20"/>
          <w:szCs w:val="20"/>
          <w:color w:val="auto"/>
        </w:rPr>
      </w:pPr>
    </w:p>
    <w:p>
      <w:pPr>
        <w:ind w:right="80" w:firstLine="243"/>
        <w:spacing w:after="0" w:line="264" w:lineRule="auto"/>
        <w:rPr>
          <w:sz w:val="20"/>
          <w:szCs w:val="20"/>
          <w:color w:val="auto"/>
        </w:rPr>
      </w:pPr>
      <w:r>
        <w:rPr>
          <w:rFonts w:ascii="Arial" w:cs="Arial" w:eastAsia="Arial" w:hAnsi="Arial"/>
          <w:sz w:val="18"/>
          <w:szCs w:val="18"/>
          <w:color w:val="auto"/>
        </w:rPr>
        <w:t>Our U.S. segment reported revenues in 2012 that were $27.8 million, or 32%, above 2011. The increase in accommodations revenue primarily resulted from stronger utilization of our mobile asset fleet along with $18.3 million in revenue from a favorable contract settlement reported during the first quarter of 2012.</w:t>
      </w:r>
    </w:p>
    <w:p>
      <w:pPr>
        <w:spacing w:after="0" w:line="177" w:lineRule="exact"/>
        <w:rPr>
          <w:sz w:val="20"/>
          <w:szCs w:val="20"/>
          <w:color w:val="auto"/>
        </w:rPr>
      </w:pPr>
    </w:p>
    <w:p>
      <w:pPr>
        <w:ind w:right="280" w:firstLine="243"/>
        <w:spacing w:after="0" w:line="261"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combined cost of sales increased $96.0 million, or 21%, in 2012 compared to 2011. This cost of sales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related to the increase in available rooms. Our combined gross margin as a percentage of revenues increased from 47% in 2011 to 50% in 2012 primarily due to a 10% increase in RevPAR for lodges and villages in 2012 compared to 2011. The increase in the RevPAR in 2012 compared to 2011 was primarily due to increased occupancy levels.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ind w:right="100" w:firstLine="243"/>
        <w:spacing w:after="0" w:line="259" w:lineRule="auto"/>
        <w:rPr>
          <w:sz w:val="20"/>
          <w:szCs w:val="20"/>
          <w:color w:val="auto"/>
        </w:rPr>
      </w:pPr>
      <w:r>
        <w:rPr>
          <w:rFonts w:ascii="Arial" w:cs="Arial" w:eastAsia="Arial" w:hAnsi="Arial"/>
          <w:sz w:val="18"/>
          <w:szCs w:val="18"/>
          <w:color w:val="auto"/>
        </w:rPr>
        <w:t>Our Canadian segment cost of sales increased $52.5 million, or 16%, in 2012 compared to 2011 primarily due to increased revenues and room capacity at our Henday, Wapasu, Beaver River and Athabasca lodges. Our Canadian segment gross margin as a percentage of revenues increased from 42% in 2011 to 46% in 2012 primarily due to a 12% increase in RevPAR for lodges in 2012 compared to 2011. The increase in the RevPAR in 2012 compared to 2011 was primarily due to increased occupancy levels.</w:t>
      </w:r>
    </w:p>
    <w:p>
      <w:pPr>
        <w:spacing w:after="0" w:line="187" w:lineRule="exact"/>
        <w:rPr>
          <w:sz w:val="20"/>
          <w:szCs w:val="20"/>
          <w:color w:val="auto"/>
        </w:rPr>
      </w:pPr>
    </w:p>
    <w:p>
      <w:pPr>
        <w:ind w:right="160" w:firstLine="243"/>
        <w:spacing w:after="0" w:line="264" w:lineRule="auto"/>
        <w:rPr>
          <w:sz w:val="20"/>
          <w:szCs w:val="20"/>
          <w:color w:val="auto"/>
        </w:rPr>
      </w:pPr>
      <w:r>
        <w:rPr>
          <w:rFonts w:ascii="Arial" w:cs="Arial" w:eastAsia="Arial" w:hAnsi="Arial"/>
          <w:sz w:val="18"/>
          <w:szCs w:val="18"/>
          <w:color w:val="auto"/>
        </w:rPr>
        <w:t>Our Australian accommodations segment cost of sales increased $30.6 million, or 41%, in 2012 compared to 2011 primarily due to increased revenues. Our Australian accommodations segment gross margin as a percentage of revenues stayed constant at 62% from 2011 to 2012 as an 8% increase in RevPAR was offset by cost inflation in 2012 compared to 2011.</w:t>
      </w:r>
    </w:p>
    <w:p>
      <w:pPr>
        <w:spacing w:after="0" w:line="181"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Our U.S. accommodations segment cost of sales increased $12.9 million, or 27%, in 2012 compared to 2011 primarily due to increased revenues and increased capacity in our open camp room count. Our U.S. accommodations segment gross margin as a percentage of revenues increased from 45% in 2011 to 47% in 2012 primarily due to a favorable contract settlement in 2012 compared to 2011.</w:t>
      </w:r>
    </w:p>
    <w:p>
      <w:pPr>
        <w:spacing w:after="0" w:line="177" w:lineRule="exact"/>
        <w:rPr>
          <w:sz w:val="20"/>
          <w:szCs w:val="20"/>
          <w:color w:val="auto"/>
        </w:rPr>
      </w:pPr>
    </w:p>
    <w:p>
      <w:pPr>
        <w:ind w:right="100" w:firstLine="243"/>
        <w:spacing w:after="0" w:line="282"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$9.8 million, or 18%, in 2012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2011 primarily due to increased employee-related costs related to higher total headcount.</w:t>
      </w:r>
    </w:p>
    <w:p>
      <w:pPr>
        <w:spacing w:after="0" w:line="162" w:lineRule="exact"/>
        <w:rPr>
          <w:sz w:val="20"/>
          <w:szCs w:val="20"/>
          <w:color w:val="auto"/>
        </w:rPr>
      </w:pPr>
    </w:p>
    <w:p>
      <w:pPr>
        <w:ind w:right="340" w:firstLine="243"/>
        <w:spacing w:after="0" w:line="313"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Depreciation and amortization expense increased $28.3 million, or 26%, in 2012 compared to 2011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expenditures made during 2011 and 2012 largely related to investments in our Canadian and Australian lodges and villages.</w:t>
      </w:r>
    </w:p>
    <w:p>
      <w:pPr>
        <w:spacing w:after="0" w:line="138" w:lineRule="exact"/>
        <w:rPr>
          <w:sz w:val="20"/>
          <w:szCs w:val="20"/>
          <w:color w:val="auto"/>
        </w:rPr>
      </w:pPr>
    </w:p>
    <w:p>
      <w:pPr>
        <w:jc w:val="both"/>
        <w:ind w:right="240" w:firstLine="243"/>
        <w:spacing w:after="0" w:line="289"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increased $110.7 million, or 46%, in 2012 compared to 2011 primarily as a result of an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 from our Canadian operations of $64.1 million, or 39%, due to expanded room capacity and higher Australian operating income of $36.0 million, or 57%, along with the favorable contract settlement reported in our U.S. accommodations segment.</w:t>
      </w:r>
    </w:p>
    <w:p>
      <w:pPr>
        <w:spacing w:after="0" w:line="158" w:lineRule="exact"/>
        <w:rPr>
          <w:sz w:val="20"/>
          <w:szCs w:val="20"/>
          <w:color w:val="auto"/>
        </w:rPr>
      </w:pPr>
    </w:p>
    <w:p>
      <w:pPr>
        <w:jc w:val="both"/>
        <w:ind w:right="20" w:firstLine="243"/>
        <w:spacing w:after="0" w:line="266" w:lineRule="auto"/>
        <w:rPr>
          <w:sz w:val="20"/>
          <w:szCs w:val="20"/>
          <w:color w:val="auto"/>
        </w:rPr>
      </w:pPr>
      <w:r>
        <w:rPr>
          <w:rFonts w:ascii="Arial" w:cs="Arial" w:eastAsia="Arial" w:hAnsi="Arial"/>
          <w:sz w:val="18"/>
          <w:szCs w:val="18"/>
          <w:b w:val="1"/>
          <w:bCs w:val="1"/>
          <w:color w:val="auto"/>
        </w:rPr>
        <w:t>Interest Expense and Interest Income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interest expense, including interest expense and income to/from affiliates, increased $6.1 million, or 31%, in</w:t>
      </w:r>
      <w:r>
        <w:rPr>
          <w:rFonts w:ascii="Arial" w:cs="Arial" w:eastAsia="Arial" w:hAnsi="Arial"/>
          <w:sz w:val="18"/>
          <w:szCs w:val="18"/>
          <w:b w:val="1"/>
          <w:bCs w:val="1"/>
          <w:color w:val="auto"/>
        </w:rPr>
        <w:t xml:space="preserve"> </w:t>
      </w:r>
      <w:r>
        <w:rPr>
          <w:rFonts w:ascii="Arial" w:cs="Arial" w:eastAsia="Arial" w:hAnsi="Arial"/>
          <w:sz w:val="18"/>
          <w:szCs w:val="18"/>
          <w:color w:val="auto"/>
        </w:rPr>
        <w:t>2012 compared to 2011 primarily due to increased outstanding debt levels with affiliates. Interest income decreased as a result of lower interest rates, partially offset by increased cash balances in interest bearing accounts.</w:t>
      </w:r>
    </w:p>
    <w:p>
      <w:pPr>
        <w:spacing w:after="0" w:line="176" w:lineRule="exact"/>
        <w:rPr>
          <w:sz w:val="20"/>
          <w:szCs w:val="20"/>
          <w:color w:val="auto"/>
        </w:rPr>
      </w:pPr>
    </w:p>
    <w:p>
      <w:pPr>
        <w:ind w:right="100" w:firstLine="243"/>
        <w:spacing w:after="0" w:line="261"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income tax provision for 2012 totaled $84.3 million, or 26% of pretax income, compared to income tax expense of $55.1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25% of pretax income, for 2011. The effective tax rates for the years ended December 31, 2012 and 2011, respectively, are comparable and are lower than U.S. statutory rates because of lower foreign tax rates. Statutory corporate, federal tax rates in Canada were 25% and 26%, respectively, in 2012 and 2011. The statutory corporate, federal tax rate in Australia was 30% in both 2012 and 2011.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120" w:firstLine="247"/>
        <w:spacing w:after="0" w:line="279"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repay intercompany borrowings and fund strategic business acquisitions. Historically, our primary sources of funds have been cash flow from operations, credit facilities in Australia and Canada and liquidity provided by Oil States.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Cash totaling $337.4 million was provided by operations during the year ended December 31, 2013 compared to cash totaling $432.7 million provided by operations during the year ended December 31, 2012. The decrease in operating cash flow in 2013 compared to 2012 was primarily due to weaker Canadian and Australian dollars relative to the U.S. dollar and lower occupancy levels in the lodges and villages. During the year ended December 31, 2013, changes in working capital used $26.4 million of cash flow compared to $33.0 million generated from working capital for the year ended December 31, 2012. The primary changes in working capital were related to purchases of inventory and a reduction in taxes payable.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75" w:name="page76"/>
    <w:bookmarkEnd w:id="75"/>
    <w:p>
      <w:pPr>
        <w:ind w:right="420" w:firstLine="243"/>
        <w:spacing w:after="0" w:line="259" w:lineRule="auto"/>
        <w:rPr>
          <w:sz w:val="20"/>
          <w:szCs w:val="20"/>
          <w:color w:val="auto"/>
        </w:rPr>
      </w:pPr>
      <w:r>
        <w:rPr>
          <w:rFonts w:ascii="Arial" w:cs="Arial" w:eastAsia="Arial" w:hAnsi="Arial"/>
          <w:sz w:val="18"/>
          <w:szCs w:val="18"/>
          <w:color w:val="auto"/>
        </w:rPr>
        <w:t>Cash was used in investing activities during the years ended December 31, 2013 and 2012 in the amounts of $284.2 million and $305.7 million, respectively. Capital expenditures totaled $291.7 million and $314.0 million during the years ended December 31, 2013 and 2012, respectively. Capital expenditures in both years consisted principally of construction and installation of assets for our lodges and villages primarily in support of Canadian oil sands projects and Australian mining production and development projects.</w:t>
      </w:r>
    </w:p>
    <w:p>
      <w:pPr>
        <w:spacing w:after="0" w:line="187"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w:t>
      </w:r>
    </w:p>
    <w:p>
      <w:pPr>
        <w:spacing w:after="0" w:line="188"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color w:val="auto"/>
        </w:rPr>
        <w:t>Based on management’s judgment of asset classifications, we believe the following table represents the components of capital expenditures for the years ended December 31, 2013, 2012 and 2011 (in millions):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Land banking</w:t>
            </w:r>
          </w:p>
        </w:tc>
        <w:tc>
          <w:tcPr>
            <w:tcW w:w="10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Mobile/open camp</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243"/>
        <w:spacing w:after="0" w:line="290" w:lineRule="auto"/>
        <w:rPr>
          <w:sz w:val="20"/>
          <w:szCs w:val="20"/>
          <w:color w:val="auto"/>
        </w:rPr>
      </w:pPr>
      <w:r>
        <w:rPr>
          <w:rFonts w:ascii="Arial" w:cs="Arial" w:eastAsia="Arial" w:hAnsi="Arial"/>
          <w:sz w:val="16"/>
          <w:szCs w:val="16"/>
          <w:color w:val="auto"/>
        </w:rPr>
        <w:t>Development spending in 2013 was primarily related to the expansion of the Beaver River and Conklin lodges, and completion of the initial rooms at our Anzac lodge in Canada. In 2013, we also completed the initial phase of construction at Boggabri village in Australia. In addition, we commenced construction of our McClelland Lake lodge in the northern Athabasca oil sands region of Canada. Development capital expenditures in 2012 were primarily related to the expansion of the Athabasca, Henday and Conklin lodges in Canada and the commencement of Anzac lodge, also in Canada. In Australia, we continued the expansion of the Coppabella, Dysart, Moranbah and Narrabri villages, completed construction of the initial stage of the Karratha village and commenced construction on the Boggabri village. Development capital expenditures in 2011 were primarily related to the expansion of Wapasu Creek Lodge and initial construction of the Henday Lodge, both located in Canada. Development spending in Australia, included expansion at the Coppabella, Dysart, Moranbah and Middlemount villages and commencement of the initial construction of the Karratha, Narrabri and Calliope villages.</w:t>
      </w:r>
    </w:p>
    <w:p>
      <w:pPr>
        <w:spacing w:after="0" w:line="166" w:lineRule="exact"/>
        <w:rPr>
          <w:sz w:val="20"/>
          <w:szCs w:val="20"/>
          <w:color w:val="auto"/>
        </w:rPr>
      </w:pPr>
    </w:p>
    <w:p>
      <w:pPr>
        <w:ind w:firstLine="251"/>
        <w:spacing w:after="0" w:line="257" w:lineRule="auto"/>
        <w:tabs>
          <w:tab w:leader="none" w:pos="333" w:val="left"/>
        </w:tabs>
        <w:numPr>
          <w:ilvl w:val="0"/>
          <w:numId w:val="90"/>
        </w:numPr>
        <w:rPr>
          <w:rFonts w:ascii="Arial" w:cs="Arial" w:eastAsia="Arial" w:hAnsi="Arial"/>
          <w:sz w:val="18"/>
          <w:szCs w:val="18"/>
          <w:color w:val="auto"/>
        </w:rPr>
      </w:pPr>
      <w:r>
        <w:rPr>
          <w:rFonts w:ascii="Arial" w:cs="Arial" w:eastAsia="Arial" w:hAnsi="Arial"/>
          <w:sz w:val="18"/>
          <w:szCs w:val="18"/>
          <w:color w:val="auto"/>
        </w:rPr>
        <w:t>Open and mobile camp spending in 2013 was primarily related to additions to our Canadian mobile camp assets as well as spending on our Boundary open camp in Estevan, Saskatchewan and open camp locations in Killdeer, North Dakota and Pecos, Texas . Capital spending on mobile camp units and open camps in 2012 was primarily related to additions to our well site and Canadian mobile camp assets as well as our open camp locations in Three Rivers, Texas; Estevan, Saskatchewan; and Red Earth, Alberta. Mobile and open camp spending in 2011 was primarily related to additions to our Canadian mobile camp assets.</w:t>
      </w:r>
    </w:p>
    <w:p>
      <w:pPr>
        <w:spacing w:after="0" w:line="188" w:lineRule="exact"/>
        <w:rPr>
          <w:sz w:val="20"/>
          <w:szCs w:val="20"/>
          <w:color w:val="auto"/>
        </w:rPr>
      </w:pPr>
    </w:p>
    <w:p>
      <w:pPr>
        <w:ind w:right="140" w:firstLine="243"/>
        <w:spacing w:after="0" w:line="290" w:lineRule="auto"/>
        <w:rPr>
          <w:sz w:val="20"/>
          <w:szCs w:val="20"/>
          <w:color w:val="auto"/>
        </w:rPr>
      </w:pPr>
      <w:r>
        <w:rPr>
          <w:rFonts w:ascii="Arial" w:cs="Arial" w:eastAsia="Arial" w:hAnsi="Arial"/>
          <w:sz w:val="16"/>
          <w:szCs w:val="16"/>
          <w:color w:val="auto"/>
        </w:rPr>
        <w:t>We primarily utilize our internal manufacturing capabilities to construct our accommodations properties. We capitalize direct construction, engineering and installation costs and related overhead costs for these assets. In addition, we capitalize interest expense depending on the size and duration of a construction project. Interest expense on the combined statements of income is net of capitalized interest of $0.8 million, $3.5 million and $5.1 million, respectively, for the years ended December 31, 2013, 2012 and 2011. Capitalized interest varies year-to-year due to the level of development spending and debt levels outstanding. We currently expect to spend a total of approximately $300 million to $350 million for capital expenditures during 2014 primarily to expand existing and develop new accommodation assets. We expect to fund these capital expenditures with cash available, internally generated funds and borrowings under our credit facility.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76" w:name="page77"/>
    <w:bookmarkEnd w:id="76"/>
    <w:p>
      <w:pPr>
        <w:ind w:right="80" w:firstLine="243"/>
        <w:spacing w:after="0" w:line="257" w:lineRule="auto"/>
        <w:rPr>
          <w:sz w:val="20"/>
          <w:szCs w:val="20"/>
          <w:color w:val="auto"/>
        </w:rPr>
      </w:pPr>
      <w:r>
        <w:rPr>
          <w:rFonts w:ascii="Arial" w:cs="Arial" w:eastAsia="Arial" w:hAnsi="Arial"/>
          <w:sz w:val="18"/>
          <w:szCs w:val="18"/>
          <w:color w:val="auto"/>
        </w:rPr>
        <w:t>Net cash of $30.3 million was provided by financing activities during 2013, primarily due to contributions from Oil States and partially offset by the repayment of all amounts outstanding under our Canadian term loan and repayments under our Australian credit facility. Net cash of $1.5 million was provided by financing activities during 2012, primarily as a result of contributions from Oil States , partially offset by repayments on our Canadian term loan and Australian credit facility, payment of financing costs related to the Australian credit facility and the repayment of the remaining outstanding balance of a note with the former owners of Mountain West.</w:t>
      </w:r>
    </w:p>
    <w:p>
      <w:pPr>
        <w:spacing w:after="0" w:line="188" w:lineRule="exact"/>
        <w:rPr>
          <w:sz w:val="20"/>
          <w:szCs w:val="20"/>
          <w:color w:val="auto"/>
        </w:rPr>
      </w:pPr>
    </w:p>
    <w:p>
      <w:pPr>
        <w:ind w:right="20" w:firstLine="243"/>
        <w:spacing w:after="0" w:line="268" w:lineRule="auto"/>
        <w:rPr>
          <w:sz w:val="20"/>
          <w:szCs w:val="20"/>
          <w:color w:val="auto"/>
        </w:rPr>
      </w:pPr>
      <w:r>
        <w:rPr>
          <w:rFonts w:ascii="Arial" w:cs="Arial" w:eastAsia="Arial" w:hAnsi="Arial"/>
          <w:sz w:val="17"/>
          <w:szCs w:val="17"/>
          <w:color w:val="auto"/>
        </w:rPr>
        <w:t>To provide us with additional liquidity following the spin-off, we anticipate that we will enter into a credit facility with availability in Canada, Australia and the U.S, as further described below. Upon the closing of the spin-off, we expect to enter into a $[●] million, [●]-year credit facility. Borrowings under our credit facility are expected to fund the anticipated cash distribution of $650.0 million to $850.0 million to Oil States at closing as well as for general corporate purposes. We believe that cash on hand, cash flow from operations and available borrowings under our new credit facility will be sufficient to meet our liquidity needs in the coming twelve months. If our plans or assumptions change, or are inaccurate, or if we make further acquisitions, we may need to raise additional capital. Acquisitions have been, and our management believes acquisitions will continue to be, a key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w:t>
      </w:r>
    </w:p>
    <w:p>
      <w:pPr>
        <w:spacing w:after="0" w:line="18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Credit Facilities and Long Term Debt. </w:t>
      </w:r>
      <w:r>
        <w:rPr>
          <w:rFonts w:ascii="Arial" w:cs="Arial" w:eastAsia="Arial" w:hAnsi="Arial"/>
          <w:sz w:val="18"/>
          <w:szCs w:val="18"/>
          <w:color w:val="auto"/>
        </w:rPr>
        <w:t>We have historically relied on Oil States for financial support and cash management. Following the spin-off, our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and sources of liquidity will change. Upon the closing of the spin-off, we expect to enter into a $[●] million, [●]-year credit facility. We have not yet obtained a financing commitment for the credit facility. Amounts outstanding under the credit facility are initially expected to bear variable-rate interest at [●]%. We expect to pay certain customary fees with respect to the credit facility.</w:t>
      </w:r>
    </w:p>
    <w:p>
      <w:pPr>
        <w:spacing w:after="0" w:line="184" w:lineRule="exact"/>
        <w:rPr>
          <w:sz w:val="20"/>
          <w:szCs w:val="20"/>
          <w:color w:val="auto"/>
        </w:rPr>
      </w:pPr>
    </w:p>
    <w:p>
      <w:pPr>
        <w:jc w:val="both"/>
        <w:ind w:right="240" w:firstLine="243"/>
        <w:spacing w:after="0" w:line="286" w:lineRule="auto"/>
        <w:rPr>
          <w:sz w:val="20"/>
          <w:szCs w:val="20"/>
          <w:color w:val="auto"/>
        </w:rPr>
      </w:pPr>
      <w:r>
        <w:rPr>
          <w:rFonts w:ascii="Arial" w:cs="Arial" w:eastAsia="Arial" w:hAnsi="Arial"/>
          <w:sz w:val="17"/>
          <w:szCs w:val="17"/>
          <w:color w:val="auto"/>
        </w:rPr>
        <w:t>We expect that the credit facility will contain customary affirmative and negative covenants that, among other things, will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162" w:lineRule="exact"/>
        <w:rPr>
          <w:sz w:val="20"/>
          <w:szCs w:val="20"/>
          <w:color w:val="auto"/>
        </w:rPr>
      </w:pPr>
    </w:p>
    <w:p>
      <w:pPr>
        <w:ind w:right="360" w:firstLine="243"/>
        <w:spacing w:after="0" w:line="277"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Following the spin-off, we intend to commence the payment of cash dividends on our common stock, subject to our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and depending on, among other things, our results of operations, financial condition, level of indebtedness, capital requirements, business prospects and other factors that our board of directors may deem relevant. In addition, our ability to pay dividends may be limited by covenants in our revolving credit facility. Future agreements may also limit our ability to pay dividends, and we may incur incremental taxes in the United States if we repatriate foreign earnings to pay such dividends. Please see “—Tax Matters.”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77" w:name="page78"/>
    <w:bookmarkEnd w:id="77"/>
    <w:p>
      <w:pPr>
        <w:ind w:right="260" w:firstLine="243"/>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summarizes our contractual obligations at December 31, 2013, and the effect such obligations are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on our liquidity and cash flow over the next five years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1 - 3 years</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0"/>
              </w:rPr>
              <w:t>3 - 5 years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cash obligations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debt, including capital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335,171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Non-cancelable operating lease obligations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10,364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 - expected cash payments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445,737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52,108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243"/>
        <w:spacing w:after="0" w:line="277" w:lineRule="auto"/>
        <w:rPr>
          <w:sz w:val="20"/>
          <w:szCs w:val="20"/>
          <w:color w:val="auto"/>
        </w:rPr>
      </w:pPr>
      <w:r>
        <w:rPr>
          <w:rFonts w:ascii="Arial" w:cs="Arial" w:eastAsia="Arial" w:hAnsi="Arial"/>
          <w:sz w:val="18"/>
          <w:szCs w:val="18"/>
          <w:color w:val="auto"/>
        </w:rPr>
        <w:t>Our debt obligations at December 31, 2013 are included in our combined balance sheet, which is a part of our Combined Financial Statements included in this Form 10. We have not entered into any material leases subsequent to December 31, 2013.</w:t>
      </w:r>
    </w:p>
    <w:p>
      <w:pPr>
        <w:spacing w:after="0" w:line="170"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at December 31, 2013, we are unable to make reasonably reliable estimates of the period of cash settlement with the respective taxing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revenues and results of operations have not been materially impacted by inflation in the past three fiscal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2013,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primary deferred tax assets at December 31, 2013, are related to deductible goodwill and other intangibles, and our asset retirement obligation.</w:t>
      </w:r>
    </w:p>
    <w:p>
      <w:pPr>
        <w:spacing w:after="0" w:line="237" w:lineRule="exact"/>
        <w:rPr>
          <w:sz w:val="20"/>
          <w:szCs w:val="20"/>
          <w:color w:val="auto"/>
        </w:rPr>
      </w:pPr>
    </w:p>
    <w:p>
      <w:pPr>
        <w:ind w:right="520" w:firstLine="243"/>
        <w:spacing w:after="0" w:line="277" w:lineRule="auto"/>
        <w:rPr>
          <w:sz w:val="20"/>
          <w:szCs w:val="20"/>
          <w:color w:val="auto"/>
        </w:rPr>
      </w:pPr>
      <w:r>
        <w:rPr>
          <w:rFonts w:ascii="Arial" w:cs="Arial" w:eastAsia="Arial" w:hAnsi="Arial"/>
          <w:sz w:val="18"/>
          <w:szCs w:val="18"/>
          <w:color w:val="auto"/>
        </w:rPr>
        <w:t>In the future, we may determine that it is advisable to repatriate foreign earnings from Canada and Australia. Should we do so, we will be subject to incremental taxes in the U.S., thereby increasing our overall effective tax rate.</w:t>
      </w:r>
    </w:p>
    <w:p>
      <w:pPr>
        <w:spacing w:after="0" w:line="170"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There are a number of legislative proposals to change the United States tax laws related to multinational corporations. In Australia, proposed changes to tax laws could negatively impact the deductibility of the interest expense on our intercompany debt. Should these changes take effect, our effective tax rate in Australia would increase. These proposals are in various stages of discussion. It is not possible at this time to predict how these proposals would impact our business or whether they could result in increased tax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243"/>
        <w:spacing w:after="0" w:line="273" w:lineRule="auto"/>
        <w:rPr>
          <w:sz w:val="20"/>
          <w:szCs w:val="20"/>
          <w:color w:val="auto"/>
        </w:rPr>
      </w:pPr>
      <w:r>
        <w:rPr>
          <w:rFonts w:ascii="Arial" w:cs="Arial" w:eastAsia="Arial" w:hAnsi="Arial"/>
          <w:sz w:val="17"/>
          <w:szCs w:val="17"/>
          <w:color w:val="auto"/>
        </w:rPr>
        <w:t>Our Combined Financial Statements included in this Form 10 have been prepared in accordance with accounting principles generally accepted in the United States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to Audited Combined Financial Statements included in this Form 10.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78" w:name="page79"/>
    <w:bookmarkEnd w:id="78"/>
    <w:p>
      <w:pPr>
        <w:ind w:left="340"/>
        <w:spacing w:after="0"/>
        <w:rPr>
          <w:sz w:val="20"/>
          <w:szCs w:val="20"/>
          <w:color w:val="auto"/>
        </w:rPr>
      </w:pPr>
      <w:r>
        <w:rPr>
          <w:rFonts w:ascii="Arial" w:cs="Arial" w:eastAsia="Arial" w:hAnsi="Arial"/>
          <w:sz w:val="18"/>
          <w:szCs w:val="18"/>
          <w:i w:val="1"/>
          <w:iCs w:val="1"/>
          <w:color w:val="auto"/>
        </w:rPr>
        <w:t>Accounting for Contingencies</w:t>
      </w:r>
    </w:p>
    <w:p>
      <w:pPr>
        <w:spacing w:after="0" w:line="225" w:lineRule="exact"/>
        <w:rPr>
          <w:sz w:val="20"/>
          <w:szCs w:val="20"/>
          <w:color w:val="auto"/>
        </w:rPr>
      </w:pPr>
    </w:p>
    <w:p>
      <w:pPr>
        <w:ind w:firstLine="247"/>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contract claims and obligations and asset retirement obligations.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Tangible and Intangible Assets, including Goodwill</w:t>
      </w:r>
    </w:p>
    <w:p>
      <w:pPr>
        <w:spacing w:after="0" w:line="225" w:lineRule="exact"/>
        <w:rPr>
          <w:sz w:val="20"/>
          <w:szCs w:val="20"/>
          <w:color w:val="auto"/>
        </w:rPr>
      </w:pPr>
    </w:p>
    <w:p>
      <w:pPr>
        <w:ind w:right="40" w:firstLine="243"/>
        <w:spacing w:after="0" w:line="290" w:lineRule="auto"/>
        <w:rPr>
          <w:sz w:val="20"/>
          <w:szCs w:val="20"/>
          <w:color w:val="auto"/>
        </w:rPr>
      </w:pPr>
      <w:r>
        <w:rPr>
          <w:rFonts w:ascii="Arial" w:cs="Arial" w:eastAsia="Arial" w:hAnsi="Arial"/>
          <w:sz w:val="16"/>
          <w:szCs w:val="16"/>
          <w:color w:val="auto"/>
        </w:rPr>
        <w:t>Our goodwill totaled $261.0 million, or 12%, of our total assets, as of December 31, 2013. Our other intangible assets totaled $75.7 million, or 4%, of our total assets, as of December 31, 2013. The assessment of impairment of long-lived assets, including intangibles, is conducted whenever changes in the facts and circumstances indicate a loss in value has occurred. Indicators of impairment might include persistent negative economic trends affecting the markets we serve, recurring losses or lowered expectations of future cash flows expected to be generated by our assets. The determination of the amount of impairment would be based on quoted market prices, if available, or upon our judgments as to the future operating cash flows to be generated from these assets throughout their estimated useful lives. 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w:t>
      </w:r>
    </w:p>
    <w:p>
      <w:pPr>
        <w:spacing w:after="0" w:line="166" w:lineRule="exact"/>
        <w:rPr>
          <w:sz w:val="20"/>
          <w:szCs w:val="20"/>
          <w:color w:val="auto"/>
        </w:rPr>
      </w:pPr>
    </w:p>
    <w:p>
      <w:pPr>
        <w:ind w:right="20" w:firstLine="243"/>
        <w:spacing w:after="0" w:line="285" w:lineRule="auto"/>
        <w:rPr>
          <w:sz w:val="20"/>
          <w:szCs w:val="20"/>
          <w:color w:val="auto"/>
        </w:rPr>
      </w:pPr>
      <w:r>
        <w:rPr>
          <w:rFonts w:ascii="Arial" w:cs="Arial" w:eastAsia="Arial" w:hAnsi="Arial"/>
          <w:sz w:val="16"/>
          <w:szCs w:val="16"/>
          <w:color w:val="auto"/>
        </w:rPr>
        <w:t>We evaluate goodwill for impairment at the reporting unit level. Each segment of the Accommodations business represents a separate reporting unit, and all three of our reporting units have goodwill. We evaluate each reporting unit at least annually or on an interim basis, if an indicator of impairment was determined to occur, as defined in current accounting standards regarding goodwill to assess goodwill for potential impairment. As part of the goodwill impairment analysis, current accounting standards give us the option to first perform a qualitative assessment to determine whether it is more likely than not (that is, a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on its balance sheet is assessed separately and different relevant events and circumstances are evaluated for each unit. If it is determined that it is more likely than not that the fair value of a reporting unit is less than its carrying amount, then the prescribed two-step impairment test is performed. Current accounting standards also give us the option to bypass the qualitative assessment for any reporting unit in any period and proceed directly to performing the first step of the two-step goodwill impairment test. In 2013, we chose to bypass the qualitative assessment for all of its reporting units with goodwill remaining and perform the two-step impairment test. In performing the two-step impairment test, we estimate the implied fair value (“IFV”) of each reporting unit and compare the IFV to the carrying value of such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We utilize, depending on circumstances, trading multiples analyses, discounted projected cash flow calculations with estimated terminal values and acquisition comparables to estimate the IFV. The IFV of our reporting units is affected by future oil, coal and natural gas prices, anticipated spending by our customers, and the cost of capital. If the carrying amount of a reporting unit exceeds its IFV, goodwill is considered to be potentially impaired and additional analysis in accordance with current accounting standards is conducted to determine the amount of impairment, if any. In 2013, our quantitative assessment indicated that the fair value of each of our reporting units is greater than its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i w:val="1"/>
          <w:iCs w:val="1"/>
          <w:color w:val="auto"/>
        </w:rPr>
        <w:t>Revenue and Cost Recognition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Revenues are recognized based on a periodic (usually daily), or room rate or when the services are rendered. Revenues are recognized in the period in which services are provided pursuant to the terms of Accommodations’ contractual relationships with its customers. In some contracts, the rate or committed room numbers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17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Allowances</w:t>
      </w:r>
    </w:p>
    <w:p>
      <w:pPr>
        <w:spacing w:after="0" w:line="225" w:lineRule="exact"/>
        <w:rPr>
          <w:sz w:val="20"/>
          <w:szCs w:val="20"/>
          <w:color w:val="auto"/>
        </w:rPr>
      </w:pPr>
    </w:p>
    <w:p>
      <w:pPr>
        <w:ind w:right="100" w:firstLine="247"/>
        <w:spacing w:after="0" w:line="264" w:lineRule="auto"/>
        <w:rPr>
          <w:sz w:val="20"/>
          <w:szCs w:val="20"/>
          <w:color w:val="auto"/>
        </w:rPr>
      </w:pPr>
      <w:r>
        <w:rPr>
          <w:rFonts w:ascii="Arial" w:cs="Arial" w:eastAsia="Arial" w:hAnsi="Arial"/>
          <w:sz w:val="18"/>
          <w:szCs w:val="18"/>
          <w:color w:val="auto"/>
        </w:rPr>
        <w:t>Our valuation allowances, especially related to potential bad debts in accounts receivable involve reviews of underlying details of these assets and known trends in the marketplace. If market conditions are less favorable than those projected by management, or if our historical experience is materially different from future experience, additional allowances may be required.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Estimation of Useful Lives</w:t>
      </w:r>
    </w:p>
    <w:p>
      <w:pPr>
        <w:spacing w:after="0" w:line="225"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believe our estimates of useful lives are appropriate.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firstLine="243"/>
        <w:spacing w:after="0" w:line="253" w:lineRule="auto"/>
        <w:rPr>
          <w:sz w:val="20"/>
          <w:szCs w:val="20"/>
          <w:color w:val="auto"/>
        </w:rPr>
      </w:pPr>
      <w:r>
        <w:rPr>
          <w:rFonts w:ascii="Arial" w:cs="Arial" w:eastAsia="Arial" w:hAnsi="Arial"/>
          <w:sz w:val="18"/>
          <w:szCs w:val="18"/>
          <w:color w:val="auto"/>
        </w:rPr>
        <w:t>Our historic stock-based compensation is based on participating in the Oil States 2001 Equity Participation Plan (Plan). Our disclosures reflect only our employees’ participation in the Plan. Since the adoption of the accounting standards regarding share-based payments, we are required to estimate the fair value of stock compensation made pursuant to awards under the Plan. An initial estimate of the fair value of each stock option or restricted stock award determines the amount of stock compensation expense we will recognize in the future. To estimate the value of stock option awards under the Plan, we have selected a fair value calculation model. We have chosen the Black Scholes Merton “closed form” model to value stock options awarded under the Plan. We have chosen this model because our option awards have been made under straightforward vesting terms, option prices and option lives. Utilizing the Black Scholes Merton model requires us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stock compensation expense recognition. We will continually monitor our actual experience and change assumptions for future awards as we consider appropriate.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80" w:name="page81"/>
    <w:bookmarkEnd w:id="80"/>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259"/>
        <w:spacing w:after="0" w:line="286" w:lineRule="auto"/>
        <w:rPr>
          <w:sz w:val="20"/>
          <w:szCs w:val="20"/>
          <w:color w:val="auto"/>
        </w:rPr>
      </w:pPr>
      <w:r>
        <w:rPr>
          <w:rFonts w:ascii="Arial" w:cs="Arial" w:eastAsia="Arial" w:hAnsi="Arial"/>
          <w:sz w:val="17"/>
          <w:szCs w:val="17"/>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66"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When our earnings from foreign subsidiaries are considered to be indefinitely reinvested, no provision for U.S. income taxes is made for these earnings. If any of the subsidiaries have a distribution of earnings in the form of dividends or otherwise, the Company would be subject to both U.S. income taxes (subject to an adjustment for foreign tax credits) and withholding taxes payable to the various foreign countries.</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In accordance with current accounting standards, we record a valuation allowance in each reporting period when management believes that it is more likely than not that any deferred tax asset created will not be realized. Management will continue to evaluate the appropriateness of the valuation allowance in the future based upon our operating results.</w:t>
      </w:r>
    </w:p>
    <w:p>
      <w:pPr>
        <w:spacing w:after="0" w:line="181" w:lineRule="exact"/>
        <w:rPr>
          <w:sz w:val="20"/>
          <w:szCs w:val="20"/>
          <w:color w:val="auto"/>
        </w:rPr>
      </w:pPr>
    </w:p>
    <w:p>
      <w:pPr>
        <w:ind w:right="40" w:firstLine="243"/>
        <w:spacing w:after="0" w:line="273" w:lineRule="auto"/>
        <w:rPr>
          <w:sz w:val="20"/>
          <w:szCs w:val="20"/>
          <w:color w:val="auto"/>
        </w:rPr>
      </w:pPr>
      <w:r>
        <w:rPr>
          <w:rFonts w:ascii="Arial" w:cs="Arial" w:eastAsia="Arial" w:hAnsi="Arial"/>
          <w:sz w:val="17"/>
          <w:szCs w:val="17"/>
          <w:color w:val="auto"/>
        </w:rPr>
        <w:t>In accounting for income taxes, we are required by the provisions of current accounting standards regarding the accounting for uncertainty in income taxes, to estimate a liability for future income taxes.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7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Our results have been reported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the Company as of the specified effective date. Unless otherwise discussed, management believes that the impact of recently issued standards, which are not yet effective, will not have a material impact on the Company’s consolidated financial statements upon adoption.</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We are currently a wholly owned subsidiary of Oil States. Following the spin-off, we will be an independent, publicly traded company without any retained ownership by Oil States. Our assets and operations consist of the existing accommodations business of Oil States in its financial statements.</w:t>
      </w:r>
    </w:p>
    <w:p>
      <w:pPr>
        <w:spacing w:after="0" w:line="12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are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118745</wp:posOffset>
            </wp:positionV>
            <wp:extent cx="2564130" cy="2400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413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sufficient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while maintaining employee welfare and satisfaction and focus their investment on their core resource development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In the year ended December 31, 2013, we generated $1.0 billion in revenue and $259.5 million in operating income.</w:t>
      </w:r>
    </w:p>
    <w:p>
      <w:pPr>
        <w:spacing w:after="0" w:line="17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have long-standing relationships with many of our customers, many of whom are large investment grade energy and mining companies. This customer profile provides us with a stable and recurring revenue base.</w:t>
      </w:r>
    </w:p>
    <w:p>
      <w:pPr>
        <w:spacing w:after="0" w:line="17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Demand for our accommodations services generally originates from our customers’ projects which can be segmented into two phases: (1) the development or construction phase and (2) the operations and production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that we think will generate strong returns on our deployed capital.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9" w:right="279" w:bottom="1440" w:gutter="0" w:footer="0" w:header="0"/>
        </w:sectPr>
      </w:pPr>
    </w:p>
    <w:bookmarkStart w:id="82" w:name="page83"/>
    <w:bookmarkEnd w:id="82"/>
    <w:p>
      <w:pPr>
        <w:jc w:val="both"/>
        <w:ind w:firstLine="324"/>
        <w:spacing w:after="0" w:line="255" w:lineRule="auto"/>
        <w:rPr>
          <w:sz w:val="20"/>
          <w:szCs w:val="20"/>
          <w:color w:val="auto"/>
        </w:rPr>
      </w:pPr>
      <w:r>
        <w:rPr>
          <w:rFonts w:ascii="Arial" w:cs="Arial" w:eastAsia="Arial" w:hAnsi="Arial"/>
          <w:sz w:val="18"/>
          <w:szCs w:val="18"/>
          <w:color w:val="auto"/>
        </w:rPr>
        <w:t>For the year ended December 31, 2013, we generated $1.0 billion in revenues and $259.5 million in operating income. For the year ended December 31, 2012, we generated $1.1 billion in revenues and $352.9 million in operating income. The majority of our operations, assets and income are derived from lodge and village facilities which are generally contracted by our customers on a take-or-pay basis over multi-year periods. These facilities are most similar in operation to multi-family real estate assets or lodging properties and generate more than 75% of our revenue. Important performance metrics include average available rooms, revenue related to our major properties and RevPAR. “Other Revenue,” shown below, consists of our revenue related to our open camp facilities and mobile fleet as well as third party sales related to our manufacturing division. The chart below summarizes these key statistics for the periods presented in this information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right"/>
              <w:ind w:right="5"/>
              <w:spacing w:after="0"/>
              <w:rPr>
                <w:sz w:val="20"/>
                <w:szCs w:val="20"/>
                <w:color w:val="auto"/>
              </w:rPr>
            </w:pPr>
            <w:r>
              <w:rPr>
                <w:rFonts w:ascii="Arial" w:cs="Arial" w:eastAsia="Arial" w:hAnsi="Arial"/>
                <w:sz w:val="18"/>
                <w:szCs w:val="18"/>
                <w:b w:val="1"/>
                <w:bCs w:val="1"/>
                <w:color w:val="auto"/>
                <w:w w:val="92"/>
              </w:rPr>
              <w:t>Twelve Months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Lodge/Village Revenue (1)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Canada</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548.7</w:t>
            </w:r>
          </w:p>
        </w:tc>
        <w:tc>
          <w:tcPr>
            <w:tcW w:w="140" w:type="dxa"/>
            <w:vAlign w:val="bottom"/>
          </w:tcPr>
          <w:p>
            <w:pPr>
              <w:spacing w:after="0"/>
              <w:rPr>
                <w:sz w:val="18"/>
                <w:szCs w:val="18"/>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550.2</w:t>
            </w:r>
          </w:p>
        </w:tc>
        <w:tc>
          <w:tcPr>
            <w:tcW w:w="6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Lodge/Village Revenue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804.2</w:t>
            </w:r>
          </w:p>
        </w:tc>
        <w:tc>
          <w:tcPr>
            <w:tcW w:w="140" w:type="dxa"/>
            <w:vAlign w:val="bottom"/>
          </w:tcPr>
          <w:p>
            <w:pPr>
              <w:spacing w:after="0"/>
              <w:rPr>
                <w:sz w:val="18"/>
                <w:szCs w:val="18"/>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823.9</w:t>
            </w:r>
          </w:p>
        </w:tc>
        <w:tc>
          <w:tcPr>
            <w:tcW w:w="6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Mobile and Open Camp Revenue</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w:t>
            </w:r>
          </w:p>
        </w:tc>
        <w:tc>
          <w:tcPr>
            <w:tcW w:w="60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Australia</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Mobile and Open Camp Revenue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236.9</w:t>
            </w:r>
          </w:p>
        </w:tc>
        <w:tc>
          <w:tcPr>
            <w:tcW w:w="140" w:type="dxa"/>
            <w:vAlign w:val="bottom"/>
          </w:tcPr>
          <w:p>
            <w:pPr>
              <w:spacing w:after="0"/>
              <w:rPr>
                <w:sz w:val="18"/>
                <w:szCs w:val="18"/>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285.0</w:t>
            </w:r>
          </w:p>
        </w:tc>
        <w:tc>
          <w:tcPr>
            <w:tcW w:w="6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Lodge/Village Rooms (2)</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Canada</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10,660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Total Lodge/Village Rooms</w:t>
            </w: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20,466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RevPAR for Lodges and Villages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60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Australia</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RevPAR for Lodges and Villages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Occupancy in Lodges and Villages (3)</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Canada</w:t>
            </w: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Total Occupancy in Lodges and Villages</w:t>
            </w: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Average Exchange Rate</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Canadian dollar to US dollar</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0.9711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1.0006</w:t>
            </w:r>
          </w:p>
        </w:tc>
        <w:tc>
          <w:tcPr>
            <w:tcW w:w="60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Australian dollar to US dollar</w:t>
            </w:r>
          </w:p>
        </w:tc>
        <w:tc>
          <w:tcPr>
            <w:tcW w:w="9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0.9650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1.0359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Includes revenue related to rooms as well as the fees associated with catering, laundry and other services including facilities management.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83" w:name="page84"/>
    <w:bookmarkEnd w:id="83"/>
    <w:p>
      <w:pPr>
        <w:ind w:right="160" w:firstLine="324"/>
        <w:spacing w:after="0" w:line="277" w:lineRule="auto"/>
        <w:rPr>
          <w:sz w:val="20"/>
          <w:szCs w:val="20"/>
          <w:color w:val="auto"/>
        </w:rPr>
      </w:pPr>
      <w:r>
        <w:rPr>
          <w:rFonts w:ascii="Arial" w:cs="Arial" w:eastAsia="Arial" w:hAnsi="Arial"/>
          <w:sz w:val="18"/>
          <w:szCs w:val="18"/>
          <w:color w:val="auto"/>
        </w:rPr>
        <w:t>We have grown our average available room count by 196% since 2010 through our acquisition of The MAC as well as a disciplined capital expenditure program. Over the same period, we have more than doubled our revenue related to major villages and lodges.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Own, Operate model with solutions that span the lifecycle of the customers’ projects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we believe is valued by our customers.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and experience</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Through our predecessor, our initial investment in large scale owned and operated accommodations in the oil sands in Canada and Australian mining regions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High quality asset base in areas with long term visibility creates a more stable revenue base</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16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for our industry, longer-term visibility and stability to our operations. We seek a customer base that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enhancing revenue visibility and stability.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banking focus with a pipeline of approved developments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believe that there are benefits created by investing early in land in order to gain the strategic, first-mover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 first-mover advantage as competitors may be less willing to speculatively build large-scale accommodation facilities without firm customer commitments.</w:t>
      </w:r>
    </w:p>
    <w:p>
      <w:pPr>
        <w:spacing w:after="0" w:line="17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currently operate in a total of twenty-eight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six undeveloped sites that have received the necessary permitting and regulatory approvals. We believe this will allow us to respond promptly to future room demand in emerging regions.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operational and financial scale</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four years, we have more than doubled our accommodations revenues to $1.0 billion in 2013. We are one of the largest global providers of accommodations services. We have spent $1.2 billion for capital expenditures in North America since Oil States’ IPO in 2001 and $375.8 million in Australia since Oil States’ acquisition of The MAC in 2010.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 existing markets through existing and undeveloped locations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current 20,857 rooms in operation. For the three years ended December 31, 2013, we have invested $28.2 million on land banking. However, we are under no obligation to develop these sites and cannot provide any assurance that these locations will be developed. See “Risk Factors – Our land banking strategy may not be successful.” With our integrated business model, this pipeline of permitted developments provides us with the ability to respond quickly to customer project approvals and be a first-mover in regions with emerging accommodation demand.</w:t>
      </w:r>
    </w:p>
    <w:p>
      <w:pPr>
        <w:spacing w:after="0" w:line="167"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We will continue to be proactive in securing land access and permits for future locations, so that we are prepared to be the first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some of our base markets as well as properties that extend the reach of our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discipline based on returns focused investment and flexible financial structure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Selectively pursue acquisition opportunities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 since grown the room count by 78% through the addition of 4,052 rooms while adding four villages to that portfolio.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Pursue growth into new segments and sectors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long-tenured projects, with some in remote locations.</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as an expert in remote workforce logistics, we are assessing the opportunity to move into different segments of our guests’ journey from home to our properties to work and back home. We believe that the spin-off will enhance our ability to enter new sectors and expand our logistical services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in building and managing Syncrude’s Mildred Lake Village beginning in 1990, we recognized a need for a premium, and more permanent, solution for workforce accommodations in the oil sands region. Pursuing this strategy, we opened PTI Lodge in 1998, one of the first independent lodging facilities in the region.</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With an integrated business model, we are able to identify, solve and implement solutions and services that enhance the guests’ accommodations experience and reduce the customer’s total cost of remote housing.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premium accommodations in the oil sands region.</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Today, in addition to providing accommodations services, we endeavor to support customers’ logistical efforts in managing the movement of large numbers of personnel efficiently. At our Wapasu Creek location, we have introduced services that improve the customer’s efficiency in transporting personnel to the mine site on a daily basis as well as the efficiency in rotating personnel when crews change. These logistical services have generated material cost efficiencies for our customer.</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Beginning with our acquisition of The MAC Services Group in December 2010, we support the Australian natural resources industry through ten villages located in Queensland, New South Wales and Western Australia. Like Canada, The MAC has a long-history of accommodating customers in remote regions beginning with its initial Moranbah Village in 1996, and has grown to become Australia’s largest integrated, provider of accommodations services for people working in remote locations. The MAC was the first to introduce resort 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178"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We take an active role in minimizing our environmental impact of our operations through a number of sustainable initiatives. Our off-site building manufacturing process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 solar design principles and smart switching systems to reduce the need for electricity related to heating and cooling.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4"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provide services for the oil and gas and mining industries. Our scalable modular facilities provide long-term and temporary work force accommodations where traditional infrastructure is often not accessible, sufficient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are generally based on their view of commodity supply and demand dynamics as well as the outlook for near-term and long-term commodity prices. As a result, the demand for our services is highly sensitive to current and expected commodity prices.</w:t>
      </w:r>
    </w:p>
    <w:p>
      <w:pPr>
        <w:spacing w:after="0" w:line="17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serve multiple projects and multiple customers at most of our sites, which allows those customers to share the costs associated with their peak construction accommodations needs. As projects shift from construction-related activities and into production activities, project headcounts reduce and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7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business is significantly influenced by the level of production of oil sands deposits in Alberta, Canada, activity levels in support of natural resources production in Australia and oil and gas production in Canada and the United States. Our two major drivers are activity related to oil sands production in Western Canada and metallurgical coal production in Australia’s Bowen Basin.</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twenty years and increasingly over the past ten years, customers have moved away from the insourcing business model recognizing that accommodations are non-core investments for their business.</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SpinCo is one of the few accommodations providers that service the entire value chain from site identification to long-term facility management. We believe that our existing industry divides accommodations into three primary types: lodges and villages, open camps and mobile assets. SpinCo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and can be deployed rapidly to scale. They are often used to support conventional and in-situ drilling crews as well as pipeline and seismic crews and are contracted on a well-by-well or short 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18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will design accommodations facilities. Many public and private firms, such as ATCO, Britco and Horizon North, will build the modular accommodations for sale. Horizon North, Black Diamond, ATCO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Sodexo or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or Post, or a developer of lodging properties who is also an owner operator, such as Hyatt or Starwood.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9"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year ended December 31, 2013, we generated approximately 68% of our revenue and 74% of our operating income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Market</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accommodations business has grown in recent years in large part due to the increasing demand for accommodations to support workers in the oil sands region of Canada. Demand for oil sands accommodations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 expansions will largely depend on continued oil sands spending.</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Athabasca oil sands are located in northern Alberta, an area that is very remote with a limited local labor supply. Of Canada’s 33.5 million residents, nearly half of the population lives in ten cities, only 10% of the population lives in Alberta and less than 1% live within 100 km of the oil sands. The local municipalities, of which Fort McMurray is the largest, have grown rapidly over the last decade stressing their infrastructure and are challenged to respond to large-scale changes in demand. As such, the workforce accommodations market provides a cost effective solution to the problem of staffing large oil sands projects by sourcing labor throughout Canada to work on a rotational basis.</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Activity in the Athabasca oil sands region generated over three-fourths of our Canadian revenue in 2013. The oil sands region of northern Alberta continues to represent one of the world’s largest, long term growth areas for oil production. Our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operations and pipeline expansion activity.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methods are used on reserves that are too deep for traditional mining methods.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technology typically injects steam to the deep oil sands in place to separate the bitumen from the sand and pumps it to the surface where it undergoes the same upgrading treatment as the mined bitumen. Reserves requiring in situ techniques of extraction represent 80% of the established recoverable reserves in Alberta.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operations generally require less capital and personnel and produce lower volumes of bitumen per development, with higher ongoing operating expense per barrel of bitumen produced.</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February 2014, Oil States announced that our Canadian segment had begun construction on McClelland Lake Lodge in the northern Athabasca oil sands. The lodge will have an initial capacity of 1,561 rooms and the potential to reach 1,997 rooms. We plan to open the lodge in the summer of 2014 and reach our full initial capacity in the fourth quarter of 2014. McClelland Lake Lodge will initially support a new oil sands mining project in the region under a three-year contract for the majority of the rentable rooms.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Canadian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152400</wp:posOffset>
            </wp:positionV>
            <wp:extent cx="3464560" cy="24701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6456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0" w:type="dxa"/>
            <w:vAlign w:val="bottom"/>
            <w:gridSpan w:val="3"/>
          </w:tcPr>
          <w:p>
            <w:pPr>
              <w:ind w:left="360"/>
              <w:spacing w:after="0"/>
              <w:rPr>
                <w:sz w:val="20"/>
                <w:szCs w:val="20"/>
                <w:color w:val="auto"/>
              </w:rPr>
            </w:pPr>
            <w:r>
              <w:rPr>
                <w:rFonts w:ascii="Arial" w:cs="Arial" w:eastAsia="Arial" w:hAnsi="Arial"/>
                <w:sz w:val="18"/>
                <w:szCs w:val="18"/>
                <w:i w:val="1"/>
                <w:iCs w:val="1"/>
                <w:color w:val="auto"/>
              </w:rPr>
              <w:t>Rooms in our Canadian Lodges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b w:val="1"/>
                <w:bCs w:val="1"/>
                <w:color w:val="auto"/>
              </w:rPr>
              <w:t>Extraction</w:t>
            </w:r>
          </w:p>
        </w:tc>
        <w:tc>
          <w:tcPr>
            <w:tcW w:w="1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98"/>
              </w:rPr>
              <w:t>As of December 31,</w:t>
            </w: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Lodges</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Region</w:t>
            </w:r>
          </w:p>
        </w:tc>
        <w:tc>
          <w:tcPr>
            <w:tcW w:w="220" w:type="dxa"/>
            <w:vAlign w:val="bottom"/>
          </w:tcPr>
          <w:p>
            <w:pPr>
              <w:spacing w:after="0"/>
              <w:rPr>
                <w:sz w:val="18"/>
                <w:szCs w:val="18"/>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Technique</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820" w:type="dxa"/>
            <w:vAlign w:val="bottom"/>
            <w:gridSpan w:val="3"/>
          </w:tcPr>
          <w:p>
            <w:pPr>
              <w:spacing w:after="0"/>
              <w:rPr>
                <w:sz w:val="18"/>
                <w:szCs w:val="18"/>
                <w:color w:val="auto"/>
              </w:rPr>
            </w:pPr>
          </w:p>
        </w:tc>
        <w:tc>
          <w:tcPr>
            <w:tcW w:w="1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Wapasu</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5,174</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Henday</w:t>
            </w:r>
          </w:p>
        </w:tc>
        <w:tc>
          <w:tcPr>
            <w:tcW w:w="1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N. Athabasca</w:t>
            </w:r>
          </w:p>
        </w:tc>
        <w:tc>
          <w:tcPr>
            <w:tcW w:w="2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mining/in situ</w:t>
            </w:r>
          </w:p>
        </w:tc>
        <w:tc>
          <w:tcPr>
            <w:tcW w:w="1440" w:type="dxa"/>
            <w:vAlign w:val="bottom"/>
          </w:tcPr>
          <w:p>
            <w:pPr>
              <w:jc w:val="right"/>
              <w:spacing w:after="0"/>
              <w:rPr>
                <w:sz w:val="20"/>
                <w:szCs w:val="20"/>
                <w:color w:val="auto"/>
              </w:rPr>
            </w:pPr>
            <w:r>
              <w:rPr>
                <w:rFonts w:ascii="Arial" w:cs="Arial" w:eastAsia="Arial" w:hAnsi="Arial"/>
                <w:sz w:val="18"/>
                <w:szCs w:val="18"/>
                <w:color w:val="auto"/>
              </w:rPr>
              <w:t>1,698</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1,698</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Athabasca</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1,877</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Beaver River</w:t>
            </w:r>
          </w:p>
        </w:tc>
        <w:tc>
          <w:tcPr>
            <w:tcW w:w="1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N. Athabasca</w:t>
            </w:r>
          </w:p>
        </w:tc>
        <w:tc>
          <w:tcPr>
            <w:tcW w:w="2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mining</w:t>
            </w:r>
          </w:p>
        </w:tc>
        <w:tc>
          <w:tcPr>
            <w:tcW w:w="1440" w:type="dxa"/>
            <w:vAlign w:val="bottom"/>
          </w:tcPr>
          <w:p>
            <w:pPr>
              <w:jc w:val="right"/>
              <w:spacing w:after="0"/>
              <w:rPr>
                <w:sz w:val="20"/>
                <w:szCs w:val="20"/>
                <w:color w:val="auto"/>
              </w:rPr>
            </w:pPr>
            <w:r>
              <w:rPr>
                <w:rFonts w:ascii="Arial" w:cs="Arial" w:eastAsia="Arial" w:hAnsi="Arial"/>
                <w:sz w:val="18"/>
                <w:szCs w:val="18"/>
                <w:color w:val="auto"/>
              </w:rPr>
              <w:t>1,094</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876</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Conklin</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 Athabasca</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mining/in situ</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948</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Anzac</w:t>
            </w:r>
          </w:p>
        </w:tc>
        <w:tc>
          <w:tcPr>
            <w:tcW w:w="1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 Athabasca</w:t>
            </w:r>
          </w:p>
        </w:tc>
        <w:tc>
          <w:tcPr>
            <w:tcW w:w="2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in situ</w:t>
            </w:r>
          </w:p>
        </w:tc>
        <w:tc>
          <w:tcPr>
            <w:tcW w:w="144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Lakeside</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 Athabasca</w:t>
            </w: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Total Rooms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11,595</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11,083</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Our oil sands lodges support construction and operating personnel for maintenance and expansionary projects as well as ongoing operations associated with surface mining and </w:t>
      </w:r>
      <w:r>
        <w:rPr>
          <w:rFonts w:ascii="Arial" w:cs="Arial" w:eastAsia="Arial" w:hAnsi="Arial"/>
          <w:sz w:val="16"/>
          <w:szCs w:val="16"/>
          <w:i w:val="1"/>
          <w:iCs w:val="1"/>
          <w:color w:val="auto"/>
        </w:rPr>
        <w:t>in situ</w:t>
      </w:r>
      <w:r>
        <w:rPr>
          <w:rFonts w:ascii="Arial" w:cs="Arial" w:eastAsia="Arial" w:hAnsi="Arial"/>
          <w:sz w:val="16"/>
          <w:szCs w:val="16"/>
          <w:color w:val="auto"/>
        </w:rPr>
        <w:t xml:space="preserve"> oil sands projects generally under medium-term contracts (two to three years). All of our lodge properties are located on land with leases obtained from the province of Alberta with initial terms of ten years. Our leases have expiration dates that range from 2015 to 2026. Currently, only 33% of our Canadian lodge rooms are on land with leases expiring prior to December 31, 2017. Thus far, we have successfully renewed or extended all expiring land leases and expect we will be able to in the future. We provide a full service hospitality function at our lodges including reservation management, check in and check out, catering, housekeeping and facilities management. Our lodge guests receive the amenity level of a full-service hotel plus three meals a day. Since mid-year 2006, we have installed over 11,000 rooms in our lodge properties supporting oil sands activities in northern Alberta. Our growth plan for this part of our business includes the expansion of these properties where we believe there is durable long-term demand. During 2013, we added 512 rooms (net of retirements) to our major oil sands lodges. Our Wapasu Creek Lodge is equivalent in size to the largest hotels in North America.</w:t>
      </w:r>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Over 75% of our Canadian revenue in 2013 was generated by our seven major lodges. We provide our lodge services on a day rate or monthly rental basis and our customers typically commit for medium to long term contracts (from 6 months up to 10 years). Customers make a minimum nightly or monthly room commitment for the term of the contract, and the multi-year contracts provide for inflationary escalations in rates for increased food, labor and utilities costs.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90" w:name="page91"/>
    <w:bookmarkEnd w:id="90"/>
    <w:p>
      <w:pPr>
        <w:ind w:left="340"/>
        <w:spacing w:after="0"/>
        <w:rPr>
          <w:sz w:val="20"/>
          <w:szCs w:val="20"/>
          <w:color w:val="auto"/>
        </w:rPr>
      </w:pPr>
      <w:r>
        <w:rPr>
          <w:rFonts w:ascii="Arial" w:cs="Arial" w:eastAsia="Arial" w:hAnsi="Arial"/>
          <w:sz w:val="18"/>
          <w:szCs w:val="18"/>
          <w:i w:val="1"/>
          <w:iCs w:val="1"/>
          <w:color w:val="auto"/>
        </w:rPr>
        <w:t>Open Camps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addition to our oil sands lodges, we have seven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except for Waskada and Redvers, which are on leased land. We are currently working to renew these leases, which expire in 2014. Open camps are typically utilized for exploratory, seasonal or short term projects. Therefore, customer commitments for open camps tend to be shorter in initial duration (six to eighteen months). Open camps may be operational for twelve months or several years or transition into lodges depending on customer demand. Over time, room counts may fluctuate up or down depending on demand in the region. If the demand in a region decreases, open camps can be relocated to areas of greater activity. We provide accommodation services at our open camps on a day rate basis. Open camp revenue comprises a portion of “Other Revenue” in our Canadian segment.</w:t>
      </w:r>
    </w:p>
    <w:p>
      <w:pPr>
        <w:spacing w:after="0" w:line="18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 xml:space="preserve">Our Alberta open camps service the Athabasca and Peace River oil sands as well as conventional and shale play oil and gas developments and infrastructure expansions. Mariana Lake Lodge provides seasonal accommodation to the pipeline construction industry as well as workforces related to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projects in the southern portion of the Athabasca oil sands. Our Redvers Lodge in Saskatchewan and Waskada Lodge in Manitoba service the Canadian area of the Bakken Shale, a prolific shale basin spanning the US and Canadian borders. Geetla Lodge services the Horn River Basin in British Columbia. Our newest open camp, Boundary Lodge, which opened in August 2013, serves customers in the Bakken Shale.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Rooms in our Canadian Open Camps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Open Camps</w:t>
            </w:r>
          </w:p>
        </w:tc>
        <w:tc>
          <w:tcPr>
            <w:tcW w:w="100" w:type="dxa"/>
            <w:vAlign w:val="bottom"/>
          </w:tcPr>
          <w:p>
            <w:pPr>
              <w:spacing w:after="0"/>
              <w:rPr>
                <w:sz w:val="20"/>
                <w:szCs w:val="20"/>
                <w:color w:val="auto"/>
              </w:rPr>
            </w:pPr>
          </w:p>
        </w:tc>
        <w:tc>
          <w:tcPr>
            <w:tcW w:w="3200" w:type="dxa"/>
            <w:vAlign w:val="bottom"/>
            <w:gridSpan w:val="2"/>
            <w:vMerge w:val="restart"/>
          </w:tcPr>
          <w:p>
            <w:pPr>
              <w:ind w:left="1220"/>
              <w:spacing w:after="0"/>
              <w:rPr>
                <w:sz w:val="20"/>
                <w:szCs w:val="20"/>
                <w:color w:val="auto"/>
              </w:rPr>
            </w:pPr>
            <w:r>
              <w:rPr>
                <w:rFonts w:ascii="Arial" w:cs="Arial" w:eastAsia="Arial" w:hAnsi="Arial"/>
                <w:sz w:val="18"/>
                <w:szCs w:val="18"/>
                <w:b w:val="1"/>
                <w:bCs w:val="1"/>
                <w:color w:val="auto"/>
              </w:rPr>
              <w:t>Province</w:t>
            </w: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4"/>
              </w:rPr>
              <w:t>As of December 31,</w:t>
            </w: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vMerge w:val="continue"/>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6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Mariana Lake</w:t>
            </w:r>
          </w:p>
        </w:tc>
        <w:tc>
          <w:tcPr>
            <w:tcW w:w="100" w:type="dxa"/>
            <w:vAlign w:val="bottom"/>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Alberta</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Boundary</w:t>
            </w:r>
          </w:p>
        </w:tc>
        <w:tc>
          <w:tcPr>
            <w:tcW w:w="3300" w:type="dxa"/>
            <w:vAlign w:val="bottom"/>
            <w:gridSpan w:val="3"/>
          </w:tcPr>
          <w:p>
            <w:pPr>
              <w:ind w:left="100"/>
              <w:spacing w:after="0"/>
              <w:rPr>
                <w:sz w:val="20"/>
                <w:szCs w:val="20"/>
                <w:color w:val="auto"/>
              </w:rPr>
            </w:pPr>
            <w:r>
              <w:rPr>
                <w:rFonts w:ascii="Arial" w:cs="Arial" w:eastAsia="Arial" w:hAnsi="Arial"/>
                <w:sz w:val="18"/>
                <w:szCs w:val="18"/>
                <w:color w:val="auto"/>
              </w:rPr>
              <w:t>Saskatchewan</w:t>
            </w:r>
          </w:p>
        </w:tc>
        <w:tc>
          <w:tcPr>
            <w:tcW w:w="15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Waskada</w:t>
            </w:r>
          </w:p>
        </w:tc>
        <w:tc>
          <w:tcPr>
            <w:tcW w:w="33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Manitoba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Red Earth</w:t>
            </w:r>
          </w:p>
        </w:tc>
        <w:tc>
          <w:tcPr>
            <w:tcW w:w="3300" w:type="dxa"/>
            <w:vAlign w:val="bottom"/>
            <w:gridSpan w:val="3"/>
          </w:tcPr>
          <w:p>
            <w:pPr>
              <w:ind w:left="100"/>
              <w:spacing w:after="0"/>
              <w:rPr>
                <w:sz w:val="20"/>
                <w:szCs w:val="20"/>
                <w:color w:val="auto"/>
              </w:rPr>
            </w:pPr>
            <w:r>
              <w:rPr>
                <w:rFonts w:ascii="Arial" w:cs="Arial" w:eastAsia="Arial" w:hAnsi="Arial"/>
                <w:sz w:val="18"/>
                <w:szCs w:val="18"/>
                <w:color w:val="auto"/>
              </w:rPr>
              <w:t>Alberta</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92</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Redvers</w:t>
            </w:r>
          </w:p>
        </w:tc>
        <w:tc>
          <w:tcPr>
            <w:tcW w:w="33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Saskatchewan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Geetla</w:t>
            </w:r>
          </w:p>
        </w:tc>
        <w:tc>
          <w:tcPr>
            <w:tcW w:w="3300" w:type="dxa"/>
            <w:vAlign w:val="bottom"/>
            <w:gridSpan w:val="3"/>
          </w:tcPr>
          <w:p>
            <w:pPr>
              <w:ind w:left="100"/>
              <w:spacing w:after="0"/>
              <w:rPr>
                <w:sz w:val="20"/>
                <w:szCs w:val="20"/>
                <w:color w:val="auto"/>
              </w:rPr>
            </w:pPr>
            <w:r>
              <w:rPr>
                <w:rFonts w:ascii="Arial" w:cs="Arial" w:eastAsia="Arial" w:hAnsi="Arial"/>
                <w:sz w:val="18"/>
                <w:szCs w:val="18"/>
                <w:color w:val="auto"/>
              </w:rPr>
              <w:t>British Columbia</w:t>
            </w:r>
          </w:p>
        </w:tc>
        <w:tc>
          <w:tcPr>
            <w:tcW w:w="15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135</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Christina Lake</w:t>
            </w:r>
          </w:p>
        </w:tc>
        <w:tc>
          <w:tcPr>
            <w:tcW w:w="33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Alberta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Pr>
          <w:p>
            <w:pPr>
              <w:ind w:left="180"/>
              <w:spacing w:after="0"/>
              <w:rPr>
                <w:sz w:val="20"/>
                <w:szCs w:val="20"/>
                <w:color w:val="auto"/>
              </w:rPr>
            </w:pPr>
            <w:r>
              <w:rPr>
                <w:rFonts w:ascii="Arial" w:cs="Arial" w:eastAsia="Arial" w:hAnsi="Arial"/>
                <w:sz w:val="18"/>
                <w:szCs w:val="18"/>
                <w:color w:val="auto"/>
              </w:rPr>
              <w:t>Total Rooms</w:t>
            </w: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1,013</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Mobile Fleet</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mobile fleet consists of modular, skid-mounted accommodations and central facilities that can be configured to quickly serve a multitude of short to medium term accommodation needs. The dormitory, kitchen and ancillary assets can be rapidly mobilized and demobilized and are scalable to support 200 to 800 people in a single location. In addition to the asset rental we provide catering, cleaning and housekeeping as well as camp management services, including fresh water and sewage hauling services. Our mobile fleet services the traditional oil and gas sector in Alberta and British Columbia and in situ oil sands drilling and development operations in Alberta as well as pipeline construction crews throughout Canada. The assets have also been used in the past in disaster relief efforts, the Vancouver Olympic Games and a variety of other non-energy related projects.</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mobile fleet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Mobile fleet revenue comprises a portion of “Other Revenue” in our Canadian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During the year ended December 31, 2013, we generated 25% of our revenue and 29% of our operating income from our Australian operations. As of December 31, 2013, we had 9,262 rooms across ten villages of which 7,506 rooms service the Bowen Basin region of Queensland, one of the premier metallurgical coal basins in the world. We provide accommodation services on a day rate basis to mining and related service companies (including construction contractors) under medium-term contracts (three to five years) with minimum nightly room commitments. During 2013, we added 644 rooms to our Australian villages. In the third quarter of 2013, we opened our new Boggabri Village, consisting of 508 rooms, to serve the Gunnedah Basin.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Australian Market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Australian natural resources sector plays a vital role in the Australian economy. The Australian natural resources sector is Australia’s largest contributor to exports and a major contributor to the country’s gross domestic product, employment and government revenue. Australia has broad natural resources including metallurgical and thermal coal, conventional and coal seam gas, base metals, iron ore and precious metals such as gold. The growth of Australian natural resource commodity exports over the last decade has been largely driven by strong Asian demand for coal, iron ore and liquefied natural gas (LNG). Australia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often requiring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18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Since 1996, our Australian accommodations business, The MAC, has sought to change the insourcing business model through its integrated service offering, allowing customers to outsource their accommodations needs and focus their investment on their core resource production operations. Our Australian accommodations villages are strategically located in proximity to long-lived, low-cost mines operated by large mining companies. The current activities of our Australian accommodations segment are primarily related to supplying accommodations in support of metallurgical (met) coal mining in the Bowen Basin region of Queensland.</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five villages in the Bowen Basin of central Queensland generated 83% of our Australian revenue in 2013. The Bowen Basin contains one of the largest coal deposits in Australia and is renowned for its premium metallurgical coal. Metallurgical coal is used in the steel making process and demand has largely been driven by growth in global demand for steel finished goods and steel construction materials. More recently, growth in construction demand for steel products in emerging economies, particularly China and India, has also increased demand for the commodity. Australia is the largest exporter of met coal in the world in addition to being close to the largest growth markets. Our villages are focused on the mines in the central portion of the basin and are well positioned for the announced expansion projects in the region.</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Beyond the Bowen Basin, we serve several emerging markets with our five additional villages. At the end of 2013, we had two villages with over 1,000 combined rooms in the Gunnedah Basin, an emerging thermal, met coal and coal seam gas region of New South Wales. We also service infrastructure projects related to the LNG facilities under construction on Curtis Island in Queensland through our Calliope Village. In Western Australia we serve workforces related to gold mining, iron ore port expansions and LNG facilities operations on the Northwest Shelf through our Kambalda and Karratha villages.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Australian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152400</wp:posOffset>
            </wp:positionV>
            <wp:extent cx="3464560" cy="24701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6456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4"/>
          </w:tcPr>
          <w:p>
            <w:pPr>
              <w:spacing w:after="0"/>
              <w:rPr>
                <w:sz w:val="20"/>
                <w:szCs w:val="20"/>
                <w:color w:val="auto"/>
              </w:rPr>
            </w:pPr>
            <w:r>
              <w:rPr>
                <w:rFonts w:ascii="Arial" w:cs="Arial" w:eastAsia="Arial" w:hAnsi="Arial"/>
                <w:sz w:val="18"/>
                <w:szCs w:val="18"/>
                <w:color w:val="auto"/>
              </w:rPr>
              <w:t>Rooms in our Australian Villages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6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Villages</w:t>
            </w:r>
          </w:p>
        </w:tc>
        <w:tc>
          <w:tcPr>
            <w:tcW w:w="100" w:type="dxa"/>
            <w:vAlign w:val="bottom"/>
          </w:tcPr>
          <w:p>
            <w:pPr>
              <w:spacing w:after="0"/>
              <w:rPr>
                <w:sz w:val="24"/>
                <w:szCs w:val="24"/>
                <w:color w:val="auto"/>
              </w:rPr>
            </w:pPr>
          </w:p>
        </w:tc>
        <w:tc>
          <w:tcPr>
            <w:tcW w:w="144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4"/>
              </w:rPr>
              <w:t>Resource Basin</w:t>
            </w:r>
          </w:p>
        </w:tc>
        <w:tc>
          <w:tcPr>
            <w:tcW w:w="220" w:type="dxa"/>
            <w:vAlign w:val="bottom"/>
          </w:tcPr>
          <w:p>
            <w:pPr>
              <w:spacing w:after="0"/>
              <w:rPr>
                <w:sz w:val="24"/>
                <w:szCs w:val="24"/>
                <w:color w:val="auto"/>
              </w:rPr>
            </w:pPr>
          </w:p>
        </w:tc>
        <w:tc>
          <w:tcPr>
            <w:tcW w:w="16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Commodity</w:t>
            </w:r>
          </w:p>
        </w:tc>
        <w:tc>
          <w:tcPr>
            <w:tcW w:w="1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98"/>
              </w:rPr>
              <w:t>As of December 31,</w:t>
            </w: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6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Coppabella</w:t>
            </w:r>
          </w:p>
        </w:tc>
        <w:tc>
          <w:tcPr>
            <w:tcW w:w="1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Bowen</w:t>
            </w: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met coal</w:t>
            </w: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2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8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Dysart</w:t>
            </w:r>
          </w:p>
        </w:tc>
        <w:tc>
          <w:tcPr>
            <w:tcW w:w="1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Bowen</w:t>
            </w:r>
          </w:p>
        </w:tc>
        <w:tc>
          <w:tcPr>
            <w:tcW w:w="2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met coal</w:t>
            </w:r>
          </w:p>
        </w:tc>
        <w:tc>
          <w:tcPr>
            <w:tcW w:w="1440" w:type="dxa"/>
            <w:vAlign w:val="bottom"/>
          </w:tcPr>
          <w:p>
            <w:pPr>
              <w:jc w:val="right"/>
              <w:spacing w:after="0"/>
              <w:rPr>
                <w:sz w:val="20"/>
                <w:szCs w:val="20"/>
                <w:color w:val="auto"/>
              </w:rPr>
            </w:pPr>
            <w:r>
              <w:rPr>
                <w:rFonts w:ascii="Arial" w:cs="Arial" w:eastAsia="Arial" w:hAnsi="Arial"/>
                <w:sz w:val="18"/>
                <w:szCs w:val="18"/>
                <w:color w:val="auto"/>
              </w:rPr>
              <w:t>1,912</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1,912</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Moranbah</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Bowen</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 coal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Middlemount</w:t>
            </w:r>
          </w:p>
        </w:tc>
        <w:tc>
          <w:tcPr>
            <w:tcW w:w="1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Bowen</w:t>
            </w:r>
          </w:p>
        </w:tc>
        <w:tc>
          <w:tcPr>
            <w:tcW w:w="2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met coal</w:t>
            </w:r>
          </w:p>
        </w:tc>
        <w:tc>
          <w:tcPr>
            <w:tcW w:w="1440" w:type="dxa"/>
            <w:vAlign w:val="bottom"/>
          </w:tcPr>
          <w:p>
            <w:pPr>
              <w:jc w:val="right"/>
              <w:spacing w:after="0"/>
              <w:rPr>
                <w:sz w:val="20"/>
                <w:szCs w:val="20"/>
                <w:color w:val="auto"/>
              </w:rPr>
            </w:pPr>
            <w:r>
              <w:rPr>
                <w:rFonts w:ascii="Arial" w:cs="Arial" w:eastAsia="Arial" w:hAnsi="Arial"/>
                <w:sz w:val="18"/>
                <w:szCs w:val="18"/>
                <w:color w:val="auto"/>
              </w:rPr>
              <w:t>816</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816</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Boggabri</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Gunnedah</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met/thermal coal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Narrabri</w:t>
            </w:r>
          </w:p>
        </w:tc>
        <w:tc>
          <w:tcPr>
            <w:tcW w:w="1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Gunnedah</w:t>
            </w:r>
          </w:p>
        </w:tc>
        <w:tc>
          <w:tcPr>
            <w:tcW w:w="2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met/thermal coal</w:t>
            </w:r>
          </w:p>
        </w:tc>
        <w:tc>
          <w:tcPr>
            <w:tcW w:w="1440" w:type="dxa"/>
            <w:vAlign w:val="bottom"/>
          </w:tcPr>
          <w:p>
            <w:pPr>
              <w:jc w:val="right"/>
              <w:spacing w:after="0"/>
              <w:rPr>
                <w:sz w:val="20"/>
                <w:szCs w:val="20"/>
                <w:color w:val="auto"/>
              </w:rPr>
            </w:pPr>
            <w:r>
              <w:rPr>
                <w:rFonts w:ascii="Arial" w:cs="Arial" w:eastAsia="Arial" w:hAnsi="Arial"/>
                <w:sz w:val="18"/>
                <w:szCs w:val="18"/>
                <w:color w:val="auto"/>
              </w:rPr>
              <w:t>502</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502</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Nebo</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Bowen</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 coal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Calliope</w:t>
            </w:r>
          </w:p>
        </w:tc>
        <w:tc>
          <w:tcPr>
            <w:tcW w:w="1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LNG</w:t>
            </w:r>
          </w:p>
        </w:tc>
        <w:tc>
          <w:tcPr>
            <w:tcW w:w="1440" w:type="dxa"/>
            <w:vAlign w:val="bottom"/>
          </w:tcPr>
          <w:p>
            <w:pPr>
              <w:jc w:val="right"/>
              <w:spacing w:after="0"/>
              <w:rPr>
                <w:sz w:val="20"/>
                <w:szCs w:val="20"/>
                <w:color w:val="auto"/>
              </w:rPr>
            </w:pPr>
            <w:r>
              <w:rPr>
                <w:rFonts w:ascii="Arial" w:cs="Arial" w:eastAsia="Arial" w:hAnsi="Arial"/>
                <w:sz w:val="18"/>
                <w:szCs w:val="18"/>
                <w:color w:val="auto"/>
              </w:rPr>
              <w:t>300</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300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Kambalda</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Karratha</w:t>
            </w:r>
          </w:p>
        </w:tc>
        <w:tc>
          <w:tcPr>
            <w:tcW w:w="1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Pilbara</w:t>
            </w:r>
          </w:p>
        </w:tc>
        <w:tc>
          <w:tcPr>
            <w:tcW w:w="2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LNG, iron ore</w:t>
            </w:r>
          </w:p>
        </w:tc>
        <w:tc>
          <w:tcPr>
            <w:tcW w:w="1440" w:type="dxa"/>
            <w:vAlign w:val="bottom"/>
          </w:tcPr>
          <w:p>
            <w:pPr>
              <w:jc w:val="right"/>
              <w:spacing w:after="0"/>
              <w:rPr>
                <w:sz w:val="20"/>
                <w:szCs w:val="20"/>
                <w:color w:val="auto"/>
              </w:rPr>
            </w:pPr>
            <w:r>
              <w:rPr>
                <w:rFonts w:ascii="Arial" w:cs="Arial" w:eastAsia="Arial" w:hAnsi="Arial"/>
                <w:sz w:val="18"/>
                <w:szCs w:val="18"/>
                <w:color w:val="auto"/>
              </w:rPr>
              <w:t>208</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208</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Rooms</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Australian accommodations segment operated ten villages with 9,262 rooms as of December 31, 2013 and has a significant development portfolio in Australia. The MAC provides accommodation services to mining and related service companies under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long-term demand.</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Coppabella, Dysart, Moranbah, Middlemount and Nebo villages are located in the Bowen Basin. Coppabella, at over 3,000 rooms, is our largest village and provides accommodation to a variety of customers. The village supports both operational workforce needs as well as contractor needs with resort style amenities, including swimming pools, gyms, a walking track and a tavern. Our Nebo, Dysart, Moranbah and Middlemount villages have a long history of providing premium service in the region.</w:t>
      </w:r>
    </w:p>
    <w:p>
      <w:pPr>
        <w:spacing w:after="0" w:line="18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2011, we opened Narrabri village, the first village of its kind in New South Wales to service met coal mines and coal seam gas in the Gunnedah Basin. Our newest village, Boggabri, opened in the third quarter of 2013. Boggabri Village, whose first stage of 508 rooms opened in 2013, will be servicing the construction and operating workforce of two customers with approved mines in the Gunnedah Basin. Our Calliope Village services the workforce for the three major LNG facilities under construction on Curtis Island in Queensland. Karratha, in Western Australia, services workforces related to iron ore port expansions and LNG facilities operations on the Northwest Shelf. Our Kambalda village services several gold mines in Western Australia.</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773" w:right="2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During the year ended December 31, 2013, our U.S. business generated 7% of our revenue at an operating loss. Our U.S. business is focused primarily on the Rocky Mountain corridor, the Bakken Shale region, the Eagle Ford Shale and Permian Basin regions of Texas and offshore locations in the Gulf of Mexico.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Market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Onshore oil and natural gas development has historically been supported by local workforces traveling short to moderate distances to the worksites. With the development of substantial resources in regions such as the Bakken, Rockies, South Texas and Permian Basin, labor demand has exceeded the local labor supply and infrastructure to support the demand. Consequently, demand for remote, scalable accommodations has developed in the United States over the past five years. Demand for accommodations in the United States has historically been tied to the level of oil and natural gas exploration and production activity which is primary driven by oil and natural gas prices. Activity levels have been, and we expect will continue to be, highly correlated with hydrocarbon commodity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498850" cy="24701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9885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Mobile Fleet</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business in the United States consists primarily of mobile fleet assets.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181"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94" w:name="page95"/>
    <w:bookmarkEnd w:id="94"/>
    <w:tbl>
      <w:tblPr>
        <w:tblLayout w:type="fixed"/>
        <w:tblInd w:w="300" w:type="dxa"/>
        <w:tblCellMar>
          <w:top w:w="0" w:type="dxa"/>
          <w:left w:w="0" w:type="dxa"/>
          <w:bottom w:w="0" w:type="dxa"/>
          <w:right w:w="0" w:type="dxa"/>
        </w:tblCellMar>
      </w:tblPr>
      <w:tr>
        <w:trPr>
          <w:trHeight w:val="230"/>
        </w:trPr>
        <w:tc>
          <w:tcPr>
            <w:tcW w:w="5200" w:type="dxa"/>
            <w:vAlign w:val="bottom"/>
          </w:tcPr>
          <w:p>
            <w:pPr>
              <w:ind w:left="40"/>
              <w:spacing w:after="0"/>
              <w:rPr>
                <w:sz w:val="20"/>
                <w:szCs w:val="20"/>
                <w:color w:val="auto"/>
              </w:rPr>
            </w:pPr>
            <w:r>
              <w:rPr>
                <w:rFonts w:ascii="Arial" w:cs="Arial" w:eastAsia="Arial" w:hAnsi="Arial"/>
                <w:sz w:val="18"/>
                <w:szCs w:val="18"/>
                <w:i w:val="1"/>
                <w:iCs w:val="1"/>
                <w:color w:val="auto"/>
              </w:rPr>
              <w:t>Open Camps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United States Open Camp Rooms</w:t>
            </w:r>
          </w:p>
        </w:tc>
        <w:tc>
          <w:tcPr>
            <w:tcW w:w="120" w:type="dxa"/>
            <w:vAlign w:val="bottom"/>
          </w:tcPr>
          <w:p>
            <w:pPr>
              <w:spacing w:after="0"/>
              <w:rPr>
                <w:sz w:val="24"/>
                <w:szCs w:val="24"/>
                <w:color w:val="auto"/>
              </w:rPr>
            </w:pPr>
          </w:p>
        </w:tc>
        <w:tc>
          <w:tcPr>
            <w:tcW w:w="140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State</w:t>
            </w:r>
          </w:p>
        </w:tc>
        <w:tc>
          <w:tcPr>
            <w:tcW w:w="1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0"/>
              </w:rPr>
              <w:t>As of December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Three Rivers Lodge</w:t>
            </w: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TX</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Stanley House</w:t>
            </w:r>
          </w:p>
        </w:tc>
        <w:tc>
          <w:tcPr>
            <w:tcW w:w="120" w:type="dxa"/>
            <w:vAlign w:val="bottom"/>
          </w:tcPr>
          <w:p>
            <w:pPr>
              <w:spacing w:after="0"/>
              <w:rPr>
                <w:sz w:val="18"/>
                <w:szCs w:val="18"/>
                <w:color w:val="auto"/>
              </w:rPr>
            </w:pP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ND</w:t>
            </w: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199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West Permian Lodge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TX</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Killdeer Lodge</w:t>
            </w:r>
          </w:p>
        </w:tc>
        <w:tc>
          <w:tcPr>
            <w:tcW w:w="120" w:type="dxa"/>
            <w:vAlign w:val="bottom"/>
          </w:tcPr>
          <w:p>
            <w:pPr>
              <w:spacing w:after="0"/>
              <w:rPr>
                <w:sz w:val="18"/>
                <w:szCs w:val="18"/>
                <w:color w:val="auto"/>
              </w:rPr>
            </w:pP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ND</w:t>
            </w: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 Open Camp Rooms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have four open camps in the U.S. comprised of 765 rooms. Our Stanley House and Killdeer Lodge, which we opened in October 2013, provide accommodations support to the Bakken Shale region in North Dakota. Our Three Rivers Lodge supports the Eagle Ford Shale in South Texas, and our West Permian Lodge supports the Permian Basin in West Texas.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part of our integrated business model, we utilize a flexible manufacturing strategy that combines internal manufacturing capabilities and outsourced manufacturing partners to allow us to respond quickly to changing customer needs and timing. We own two accommodations manufacturing plants near Edmonton, Alberta, Canada and one facility in Johnstown, Colorado. Additionally, we lease manufacturing plants in Ormeau, Queensland and Belle Chase, Louisiana. Each of our facilities specializes in the design, engineering, production, transportation and installation of a variety of portable modular buildings, predominately for our own use. In Canada and Australia we have a staff of engineers and architects that have designed and delivered large and small projects. Our Australian operations are generally near small, regional towns and we have a long history of integrating our design with the community.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manufacture accommodations facilities to suit the climate, terrain and population of a specific project site.</w:t>
      </w:r>
    </w:p>
    <w:p>
      <w:pPr>
        <w:spacing w:after="0" w:line="18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While we have traditionally focused our manufacturing efforts on our internal needs, we from time to time sell units to third parties. Revenues from the sale of accommodation units to third parties has been a small portion of our revenue and is included in “Other Revenue” in our Canadian and United States segments. We have not historically sold units to third-parties in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Relations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Partnering with regional communities and aboriginal groups is part of our long term strategy. In our Canadian operations, we have worked proactively with local aboriginal communities to develop sustainable recruitment partnerships. In 2004, our Canadian operations entered into two joint ventures, Buffalo Metis Catering and Metis Catering JV, with five Aboriginal communities in the Regional Municipality of Wood Buffalo to provide catering and housekeeping services at our lodges. Our efforts in this area were recognized in 2011 and 2012 through Alberta Chamber of Commerce industry awards of recognition for excellence in aboriginal relations business practices. This success is also recognized by our customers, community and government leaders and is an important component of the social license in which to do business.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Australia, our community relations program also aims to build and maintain a social license to operate in regional host communities by delivering consultation and engagement from project inception, through development, construction and on into operations. This is a major advantage for our business model as it ensures consistent communication, gains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Customers and Competitors</w:t>
      </w:r>
    </w:p>
    <w:p>
      <w:pPr>
        <w:spacing w:after="0" w:line="22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2013 were Imperial Oil Limited (a company controlled by ExxonMobil Corporation) and Fluor Canada Ltd and BM Alliance Coal Operations Pty Ltd (an alliance between BHP Billiton and Mitsubishi) in Australia.</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primary competitors in Canada in the open and mobile camp accommodations include ATCO Structures &amp; Logistics Ltd., Black Diamond Group Limited, Horizon North Logistics Inc. and Clean Harbors, Inc. Some of these competitors have one or two locations similar to our oil sands lodges; however, based on our estimates, these competitors do not have the breadth or scale of our lodge operations. In Canada, we also compete against Aramark Corporation and Compass Group for facility management services.</w:t>
      </w:r>
    </w:p>
    <w:p>
      <w:pPr>
        <w:spacing w:after="0" w:line="187" w:lineRule="exact"/>
        <w:rPr>
          <w:sz w:val="20"/>
          <w:szCs w:val="20"/>
          <w:color w:val="auto"/>
        </w:rPr>
      </w:pPr>
    </w:p>
    <w:p>
      <w:pPr>
        <w:ind w:right="1000" w:firstLine="324"/>
        <w:spacing w:after="0" w:line="342" w:lineRule="auto"/>
        <w:rPr>
          <w:sz w:val="20"/>
          <w:szCs w:val="20"/>
          <w:color w:val="auto"/>
        </w:rPr>
      </w:pPr>
      <w:r>
        <w:rPr>
          <w:rFonts w:ascii="Arial" w:cs="Arial" w:eastAsia="Arial" w:hAnsi="Arial"/>
          <w:sz w:val="16"/>
          <w:szCs w:val="16"/>
          <w:color w:val="auto"/>
        </w:rPr>
        <w:t>Our primary competitors in Australia to our village accommodations are Ausco Modular (a subsidiary of Algeco Scotsman) and Fleetwood Corporation. We also compete against Aramark Corporation, Sodexo and Compass Group PLC for facility management services.</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the United States, we primarily offer our open camp and mobile camps accommodations and compete against Stallion Oilfield Holdings, Inc., Target Logistics Management LLC (a subsidiary of Algeco Scotsman Global S.a.r.l.) and Black Diamond Group Limited.</w:t>
      </w:r>
    </w:p>
    <w:p>
      <w:pPr>
        <w:spacing w:after="0" w:line="170"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Historically, many customers have invested in their own accommodations. Management estimates that our existing and potential customers own approximately 50% of the rooms available in the Canadian oil sands and 60% of the rooms in the Australian coal mining regions. This represents a growth opportunity for us as customers increasingly outsource accommodations to more efficiently deploy capital for core resource development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Lodge and Village Contracts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Revenues from our lodges and villages represented over 75% of our consolidated revenues in 2013. Our customers typically contract for accommodations services under take-or-pay contracts with terms that most often range from two to five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 termination fee. As of December 31, 2013, we had 69% of our rooms committed for 2014 and 42% of our rooms committed for 2015.</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2013, we had 17,618 rooms under contract or 84% of our available rooms. The table below details the expiration of those contracts: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Contracted Room</w:t>
            </w:r>
          </w:p>
        </w:tc>
      </w:tr>
      <w:tr>
        <w:trPr>
          <w:trHeight w:val="234"/>
        </w:trPr>
        <w:tc>
          <w:tcPr>
            <w:tcW w:w="806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Expiration</w:t>
            </w: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2015</w:t>
            </w:r>
          </w:p>
        </w:tc>
        <w:tc>
          <w:tcPr>
            <w:tcW w:w="1540" w:type="dxa"/>
            <w:vAlign w:val="bottom"/>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2017</w:t>
            </w:r>
          </w:p>
        </w:tc>
        <w:tc>
          <w:tcPr>
            <w:tcW w:w="154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8"/>
                <w:szCs w:val="18"/>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contracts expire throughout the year and for many of the near term expirations, we are in the process of negotiating extensions or new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can renew existing contracts or obtain new business on the same or better terms.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769" w:right="2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Seasonality of Operations</w:t>
      </w:r>
    </w:p>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operations are directly affected by seasonal weather. A portion of our Canadian operations is conducted during the winter months when the winter freeze in remote regions is required for exploration and production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United States, winter weather in the first quarter and the resulting spring break up in the second quarter have historically negatively impacted our Bakken and Rocky Mountain operations. Our U.S. offshore operations have historically impacted by the Gulf of Mexico hurricane season from July through November.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of December 31, 2013, we had 4,068 full-time employees on a consolidated basis, 69% of whom are in Canada, 15% of whom are in Australia and 16% of whom are in the U.S. We were party to collective bargaining agreements covering 1,823 employees located in Canada and 543 employees located in Australia as of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business is significantly affected by foreign and domestic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could significantly affect our business. Moreover, to the extent that these laws and regulations impose more stringent requirements or increased costs or delays upon our customers in the performance of their operations, the resulting demand for our products and services by those customers may be adversely affected, which impact could be significant and long-lasting. We cannot predict changes in the level of enforcement of existing laws and regulations or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operations and the operations of our customers upon whom we provide our products and services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Consolidated Financial Statements. However, there can be no assurance that substantial costs for compliance or penalties for non-compliance with these existing requirements will not be incurred in the future by us or our customers with whom we conduct business.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example, in Canada, the Federal Government in September 2010 appointed an Oil Sands Advisory Panel to review and comment upon existing scientific studies and literature regarding water monitoring in the Lower Athabasca region and provide recommendations for improving such monitoring. The Oil Sands Advisory Panel presented its final report to the Minister of the Environment in December 2010. In response to this report, Environment Canada, with input from the government of Alberta through Alberta Environment, developed an environmental monitoring plan specific to the oil sands with respect to water, air quality and biodiversity. Further, in January 2011, the Province of Alberta established a Provincial Environmental Monitoring Panel with a mandate to recommend a world class environmental evaluation, monitoring and reporting system, generally for the Province and specifically for the lower Athabasca Region where oil sands are produced. This panel issued its recommendations to the Alberta Minister of the Environment in July 2011. In February 2012, the governments of Canada and Alberta released the Joint Canada-Alberta Implementation Plan for Oil Sands Monitoring that will be phased in between 2012 and 2015. The costs of implementing this plan are to be funded by industry members, some of whom are our customers. As this new monitoring regime is implemented the increased levels of monitoring and enforcement may increase costs for us and our customers and could reduce activity and demand for our services.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97" w:name="page98"/>
    <w:bookmarkEnd w:id="97"/>
    <w:p>
      <w:pPr>
        <w:ind w:firstLine="324"/>
        <w:spacing w:after="0" w:line="264" w:lineRule="auto"/>
        <w:rPr>
          <w:sz w:val="20"/>
          <w:szCs w:val="20"/>
          <w:color w:val="auto"/>
        </w:rPr>
      </w:pPr>
      <w:r>
        <w:rPr>
          <w:rFonts w:ascii="Arial" w:cs="Arial" w:eastAsia="Arial" w:hAnsi="Arial"/>
          <w:sz w:val="18"/>
          <w:szCs w:val="18"/>
          <w:color w:val="auto"/>
        </w:rPr>
        <w:t>Further, the Province of Alberta released its new Clean Air Strategy in October 2012 which it proposes to implement for, at a minimum, a 10-year period, beginning in 2013. The implementation of this strategy along with Alberta’s continued implementation of its regulatory changes to oil and oil sands regulation may result in additional costs or liabilities for our customers’ operations.</w:t>
      </w:r>
    </w:p>
    <w:p>
      <w:pPr>
        <w:spacing w:after="0" w:line="18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Federal Water Pollution Control Act, as amended, and analogous state laws impose restrictions and strict controls regarding the discharge of pollutants into state waters or waters of the United States. The discharge of pollutants into jurisdictional waters is prohibited unless the discharge is permitted by the EPA or applicable state agencies. Many of our domestic properties and operations require permits for discharges of wastewater and/or storm water, and we have developed a system for securing and maintaining these permits. In addition, the Oil Pollution Act of 1990, as amended, or OPA, imposes a variety of requirements on responsible parties related to the prevention of oil spills and liability for damages, including natural resource damages, resulting from such spills in waters of the United States. A responsible party under OPA includes the owner or operator of an onshore facility or vessel, or the lessee or permittee of the area in which an offshore facility is located. The Federal Water Pollution Control Act and analogous state laws provide for administrative, civil and criminal penalties for unauthorized discharges and, together with the OPA, require the development and implementation of spill prevention and response plans and impose potential liability for the remedial costs and associated damages arising out of any unauthorized discharges.</w:t>
      </w:r>
    </w:p>
    <w:p>
      <w:pPr>
        <w:spacing w:after="0" w:line="167"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Past scientific studies have suggested that emissions of certain gases, commonly referred to as greenhouse gases, or GHG, and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is currently uncertain. Pursuant to the Copenhagen Accord process, Canada has indicated an economy-wide GHG emissions target that equates to a 17 per cent reduction from 2005 levels by 2020, and the Canadian federal government has also indicated an objective of reducing overall Canadian GHG emissions by 60% to 70% from 2006 levels by 2050. Additionally, in 2009, the Canadian federal government announced its commitment to work with the provincial governments to implement a North America-wide cap and trade system for GHG emissions, in cooperation with the United States. Under the system, Canada would have a cap-and-trade market for Canadian-specific industrial sectors that could be integrated into a North American market for carbon permits. It is uncertain whether either federal GHG regulations or an integrated North American cap-and-trade system will be implemented, or what obligations might be imposed under any such systems.</w:t>
      </w:r>
    </w:p>
    <w:p>
      <w:pPr>
        <w:spacing w:after="0" w:line="17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Additionally, GHG regulation can take place at the provincial and municipal level. For example, Alberta introduced the Climate Change and Emissions Management Act, which provides a framework for managing GHG emissions by reducing specified gas emissions, relative to gross domestic product, to an amount that is equal to or less than 50% of 1990 levels by December 31, 2020. The accompanying regulation, the Specified Gas Emitters Regulation, effective July 1, 2007, requires mandatory emissions reductions through the use of emissions intensity targets, and a company can meet the applicable emissions limits by making emissions intensity improvements at facilities, offsetting GHG emissions by purchasing offset credits or emission performance credits in the open market, or acquiring “fund credits” by making payments of $15 per ton of GHG emissions to the Alberta Climate Change and Management Fund. The Specified Gas Reporting Regulation imposes GHG emissions reporting requirements if a company has GHG emissions of 100,000 tons or more of carbon dioxide equivalent from a facility in a calendar year. In addition, Alberta facilities must currently report emissions of industrial air pollutants and comply with obligations in permits and under other environmental regulations. The Canadian federal government currently proposes to enter into equivalency agreements with provinces to establish a consistent regulatory regime for GHGs, but the success of any such plan is uncertain, possibly leaving overlapping levels of regulation. The direct and indirect costs of these regulations may adversely affect our operations and financial results as well as those of our customers with whom we conduct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98" w:name="page99"/>
    <w:bookmarkEnd w:id="98"/>
    <w:p>
      <w:pPr>
        <w:ind w:left="340"/>
        <w:spacing w:after="0"/>
        <w:rPr>
          <w:sz w:val="20"/>
          <w:szCs w:val="20"/>
          <w:color w:val="auto"/>
        </w:rPr>
      </w:pPr>
      <w:r>
        <w:rPr>
          <w:rFonts w:ascii="Arial" w:cs="Arial" w:eastAsia="Arial" w:hAnsi="Arial"/>
          <w:sz w:val="16"/>
          <w:szCs w:val="16"/>
          <w:color w:val="auto"/>
        </w:rPr>
        <w:t>Our Australian accommodations segment is regulated by general statutory environmental controls at both the state and federal level which may result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land use approval and compliance risk. These controls include: land use and urban design controls;  the regulation of hard and liquid waste,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 for tradewaste and/or wastewater permits or licenses; the regulation of water, noise, heat, and atmospheric gases emissions; the regulation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production, transport and storage of dangerous and hazardous materials (including asbestos); and the regulation of pollution and site contamination. Some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specified activities, for example, sewage treatment works, may require regulation at a state level by way of environmental protection licenses which also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impose monitoring and reporting obligations on the holder. There is an increasing emphasis from state and federal regulators on sustainability and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efficiency in business operations. Federal requirements are now in place for the mandatory disclosure of energy performance under building rating schemes.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schemes require the tracking of specific environmental performance factors. Carbon reporting requirements currently exist for corporations which meet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reporting threshold for greenhouse gases or energy use or production for a reporting (financial) year under national legislation. In addition, the Australian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Commonwealth Government’s carbon pricing mechanism (“CPM”) commenced on July 1, 2012. Under the CPM, entities that are responsible for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meet specified emissions thresholds will be required to purchase and surrender permits representing their carbon emissions. The CPM is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operate as a carbon trading scheme, commencing with a three year fixed price period, followed by a flexible price cap-and-trade emissions trading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scheme. Although our Australian accommodations facilities are currently below the emissions thresholds specified by the CPM and are, thus, not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CPM, this could change in the future and the resultant change could have an adverse effect on our Australian operations and financial results.</w:t>
      </w:r>
    </w:p>
    <w:p>
      <w:pPr>
        <w:spacing w:after="0" w:line="22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EPA determined in December 2009 that emissions of GHGs present an endangerment to public health and the environment and, based on those findings, adopted regulations to restrict emissions of greenhouse gases under existing provisions of the CAA, including one that requires a reduction in emissions of greenhouse gases from motor vehicles and another that regulates emissions of greenhouse gases from certain large stationary sources. The EPA has also adopted rules requiring the monitoring and reporting of greenhouse gas emissions from specified large greenhouse gas emission sources in the United States, including, among others, offshore and onshore oil and natural gas production facilities, on an annual basis.</w:t>
      </w:r>
    </w:p>
    <w:p>
      <w:pPr>
        <w:spacing w:after="0" w:line="15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If Congress undertakes comprehensive tax reform in the coming year, it is possible that such reform may include a carbon tax, which could impose additional direct costs on operations and reduce demand for refined products. Although it is not possible at this time to predict how legislation or new regulations that may be adopted to address GHG emissions would impact our business, any such future laws and regulations could require us to incur increased operating costs, such as costs to purchase and operate emissions control systems, to acquire emission allowances or comply with new regulatory or reporting requirements including the imposition of a carbon tax. Any such legislation or regulatory programs could also increase the cost of consuming, and thereby reduce demand for oil and natural gas, which could reduce our customers’ demand for our products and services. The adoption of legislation or regulatory programs to reduce emissions of greenhouse gases could require us or our customers to incur increased operating costs, such as costs to purchase and operate emissions control systems, to acquire emissions allowances or comply with new regulatory or reporting requirements. Any such legislation or regulatory programs could also increase the cost of consuming, and thereby reduce demand for, the oil and natural gas, which could reduce the demand for our products and</w:t>
      </w:r>
    </w:p>
    <w:p>
      <w:pPr>
        <w:spacing w:after="0" w:line="3"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services. Consequently, legislation and regulatory programs to reduce emissions of greenhouse gases could have an adverse effect on our business, financial condition and results of operations. Finally, it should be noted that some scientists have concluded that increasing concentrations of greenhouse gases in the Earth’s atmosphere may produce climate changes that have significant physical effects, such as increased frequency and severity of storms, droughts, floods and other climatic events. If any such effects were to occur, they could have an adverse effect on our financial condition and results of operations.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9" w:name="page100"/>
    <w:bookmarkEnd w:id="99"/>
    <w:p>
      <w:pPr>
        <w:ind w:right="20" w:firstLine="324"/>
        <w:spacing w:after="0" w:line="285" w:lineRule="auto"/>
        <w:rPr>
          <w:sz w:val="20"/>
          <w:szCs w:val="20"/>
          <w:color w:val="auto"/>
        </w:rPr>
      </w:pPr>
      <w:r>
        <w:rPr>
          <w:rFonts w:ascii="Arial" w:cs="Arial" w:eastAsia="Arial" w:hAnsi="Arial"/>
          <w:sz w:val="16"/>
          <w:szCs w:val="16"/>
          <w:color w:val="auto"/>
        </w:rPr>
        <w:t>Our operations as well as the operations of our customers are also subject to various laws and regulations addressing the management, disposal and releases of regulated substances. For example, in the United States,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CERCLA, RCRA and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7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federal Endangered Species Act, as amended, or the ESA, restricts activities in the United States that may affect endangered or threatened species or their habitats. If endangered species are located in areas of the United States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 of more than 250 species as endangered or threatened under the ESA before the end of the agency’s 2017 fiscal year. The designation of previously unprotected species as threatened or endangered in areas of the United States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products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presents information about our principal properties and facilities. Except as indicated below, we own all of the properties or facilities listed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Approximate</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Square</w:t>
            </w:r>
          </w:p>
        </w:tc>
        <w:tc>
          <w:tcPr>
            <w:tcW w:w="45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Footage/Acreage</w:t>
            </w:r>
          </w:p>
        </w:tc>
        <w:tc>
          <w:tcPr>
            <w:tcW w:w="4560" w:type="dxa"/>
            <w:vAlign w:val="bottom"/>
          </w:tcPr>
          <w:p>
            <w:pPr>
              <w:ind w:left="18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560" w:type="dxa"/>
            <w:vAlign w:val="bottom"/>
            <w:tcBorders>
              <w:top w:val="single" w:sz="8" w:color="auto"/>
            </w:tcBorders>
            <w:shd w:val="clear" w:color="auto" w:fill="CCEEFF"/>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Houston, Texas (lease)</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8,900</w:t>
            </w: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offices</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Johnstown, Colorado</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facility and yard</w:t>
            </w:r>
          </w:p>
        </w:tc>
      </w:tr>
      <w:tr>
        <w:trPr>
          <w:trHeight w:val="216"/>
        </w:trPr>
        <w:tc>
          <w:tcPr>
            <w:tcW w:w="20" w:type="dxa"/>
            <w:vAlign w:val="bottom"/>
          </w:tcPr>
          <w:p>
            <w:pPr>
              <w:spacing w:after="0"/>
              <w:rPr>
                <w:sz w:val="18"/>
                <w:szCs w:val="18"/>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Killdeer, North Dakota</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42 acres</w:t>
            </w:r>
          </w:p>
        </w:tc>
        <w:tc>
          <w:tcPr>
            <w:tcW w:w="4560" w:type="dxa"/>
            <w:vAlign w:val="bottom"/>
          </w:tcPr>
          <w:p>
            <w:pPr>
              <w:spacing w:after="0"/>
              <w:rPr>
                <w:sz w:val="20"/>
                <w:szCs w:val="20"/>
                <w:color w:val="auto"/>
              </w:rPr>
            </w:pPr>
            <w:r>
              <w:rPr>
                <w:rFonts w:ascii="Arial" w:cs="Arial" w:eastAsia="Arial" w:hAnsi="Arial"/>
                <w:sz w:val="18"/>
                <w:szCs w:val="18"/>
                <w:color w:val="auto"/>
              </w:rPr>
              <w:t>Open camp</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Pecos, Texas</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Open camp</w:t>
            </w:r>
          </w:p>
        </w:tc>
      </w:tr>
      <w:tr>
        <w:trPr>
          <w:trHeight w:val="216"/>
        </w:trPr>
        <w:tc>
          <w:tcPr>
            <w:tcW w:w="20" w:type="dxa"/>
            <w:vAlign w:val="bottom"/>
          </w:tcPr>
          <w:p>
            <w:pPr>
              <w:spacing w:after="0"/>
              <w:rPr>
                <w:sz w:val="18"/>
                <w:szCs w:val="18"/>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Dickinson, North Dakota (lease)</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26 acres</w:t>
            </w:r>
          </w:p>
        </w:tc>
        <w:tc>
          <w:tcPr>
            <w:tcW w:w="4560" w:type="dxa"/>
            <w:vAlign w:val="bottom"/>
          </w:tcPr>
          <w:p>
            <w:pPr>
              <w:spacing w:after="0"/>
              <w:rPr>
                <w:sz w:val="20"/>
                <w:szCs w:val="20"/>
                <w:color w:val="auto"/>
              </w:rPr>
            </w:pPr>
            <w:r>
              <w:rPr>
                <w:rFonts w:ascii="Arial" w:cs="Arial" w:eastAsia="Arial" w:hAnsi="Arial"/>
                <w:sz w:val="18"/>
                <w:szCs w:val="18"/>
                <w:color w:val="auto"/>
              </w:rPr>
              <w:t>Mobile asset facility and yard</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Vernal, Utah (lease)</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Mobile asset facility and yard</w:t>
            </w:r>
          </w:p>
        </w:tc>
      </w:tr>
      <w:tr>
        <w:trPr>
          <w:trHeight w:val="216"/>
        </w:trPr>
        <w:tc>
          <w:tcPr>
            <w:tcW w:w="20" w:type="dxa"/>
            <w:vAlign w:val="bottom"/>
          </w:tcPr>
          <w:p>
            <w:pPr>
              <w:spacing w:after="0"/>
              <w:rPr>
                <w:sz w:val="18"/>
                <w:szCs w:val="18"/>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Carrizo Springs, Texas (leased land)</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20 acres</w:t>
            </w:r>
          </w:p>
        </w:tc>
        <w:tc>
          <w:tcPr>
            <w:tcW w:w="4560" w:type="dxa"/>
            <w:vAlign w:val="bottom"/>
          </w:tcPr>
          <w:p>
            <w:pPr>
              <w:spacing w:after="0"/>
              <w:rPr>
                <w:sz w:val="20"/>
                <w:szCs w:val="20"/>
                <w:color w:val="auto"/>
              </w:rPr>
            </w:pPr>
            <w:r>
              <w:rPr>
                <w:rFonts w:ascii="Arial" w:cs="Arial" w:eastAsia="Arial" w:hAnsi="Arial"/>
                <w:sz w:val="18"/>
                <w:szCs w:val="18"/>
                <w:color w:val="auto"/>
              </w:rPr>
              <w:t>Open camp (closed)</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Casper, Wyoming (lease)</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 and yard</w:t>
            </w:r>
          </w:p>
        </w:tc>
      </w:tr>
      <w:tr>
        <w:trPr>
          <w:trHeight w:val="216"/>
        </w:trPr>
        <w:tc>
          <w:tcPr>
            <w:tcW w:w="20" w:type="dxa"/>
            <w:vAlign w:val="bottom"/>
          </w:tcPr>
          <w:p>
            <w:pPr>
              <w:spacing w:after="0"/>
              <w:rPr>
                <w:sz w:val="18"/>
                <w:szCs w:val="18"/>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Belle Chasse, Louisiana</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10 acres</w:t>
            </w:r>
          </w:p>
        </w:tc>
        <w:tc>
          <w:tcPr>
            <w:tcW w:w="4560" w:type="dxa"/>
            <w:vAlign w:val="bottom"/>
          </w:tcPr>
          <w:p>
            <w:pPr>
              <w:spacing w:after="0"/>
              <w:rPr>
                <w:sz w:val="20"/>
                <w:szCs w:val="20"/>
                <w:color w:val="auto"/>
              </w:rPr>
            </w:pPr>
            <w:r>
              <w:rPr>
                <w:rFonts w:ascii="Arial" w:cs="Arial" w:eastAsia="Arial" w:hAnsi="Arial"/>
                <w:sz w:val="18"/>
                <w:szCs w:val="18"/>
                <w:color w:val="auto"/>
              </w:rPr>
              <w:t>Manufacturing facility and yard</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Three Rivers, Texas (lease)</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Open camp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Approximate</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Square</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ind w:left="130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Footage/Acreage</w:t>
            </w:r>
          </w:p>
        </w:tc>
        <w:tc>
          <w:tcPr>
            <w:tcW w:w="4560" w:type="dxa"/>
            <w:vAlign w:val="bottom"/>
          </w:tcPr>
          <w:p>
            <w:pPr>
              <w:ind w:left="18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Big Piney, Wyoming (lease)</w:t>
            </w:r>
          </w:p>
        </w:tc>
        <w:tc>
          <w:tcPr>
            <w:tcW w:w="12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w w:val="81"/>
              </w:rPr>
              <w:t>7 acres</w:t>
            </w:r>
          </w:p>
        </w:tc>
        <w:tc>
          <w:tcPr>
            <w:tcW w:w="120" w:type="dxa"/>
            <w:vAlign w:val="bottom"/>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Mobile asset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Stanley, North Dakota (lease)</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7 acres</w:t>
            </w:r>
          </w:p>
        </w:tc>
        <w:tc>
          <w:tcPr>
            <w:tcW w:w="4560" w:type="dxa"/>
            <w:vAlign w:val="bottom"/>
          </w:tcPr>
          <w:p>
            <w:pPr>
              <w:spacing w:after="0"/>
              <w:rPr>
                <w:sz w:val="20"/>
                <w:szCs w:val="20"/>
                <w:color w:val="auto"/>
              </w:rPr>
            </w:pPr>
            <w:r>
              <w:rPr>
                <w:rFonts w:ascii="Arial" w:cs="Arial" w:eastAsia="Arial" w:hAnsi="Arial"/>
                <w:sz w:val="18"/>
                <w:szCs w:val="18"/>
                <w:color w:val="auto"/>
              </w:rPr>
              <w:t>Open camp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Englewood, Colorado (lease)</w:t>
            </w:r>
          </w:p>
        </w:tc>
        <w:tc>
          <w:tcPr>
            <w:tcW w:w="2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5,480</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Sales office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Windsor, Colorado (lease)</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4,933</w:t>
            </w:r>
          </w:p>
        </w:tc>
        <w:tc>
          <w:tcPr>
            <w:tcW w:w="4560" w:type="dxa"/>
            <w:vAlign w:val="bottom"/>
          </w:tcPr>
          <w:p>
            <w:pPr>
              <w:spacing w:after="0"/>
              <w:rPr>
                <w:sz w:val="20"/>
                <w:szCs w:val="20"/>
                <w:color w:val="auto"/>
              </w:rPr>
            </w:pPr>
            <w:r>
              <w:rPr>
                <w:rFonts w:ascii="Arial" w:cs="Arial" w:eastAsia="Arial" w:hAnsi="Arial"/>
                <w:sz w:val="18"/>
                <w:szCs w:val="18"/>
                <w:color w:val="auto"/>
              </w:rPr>
              <w:t>Sales office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3"/>
          </w:tcPr>
          <w:p>
            <w:pPr>
              <w:spacing w:after="0" w:line="176" w:lineRule="exact"/>
              <w:rPr>
                <w:sz w:val="20"/>
                <w:szCs w:val="20"/>
                <w:color w:val="auto"/>
              </w:rPr>
            </w:pPr>
            <w:r>
              <w:rPr>
                <w:rFonts w:ascii="Arial" w:cs="Arial" w:eastAsia="Arial" w:hAnsi="Arial"/>
                <w:sz w:val="18"/>
                <w:szCs w:val="18"/>
                <w:color w:val="auto"/>
              </w:rPr>
              <w:t>Canada:</w:t>
            </w: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Fort McMurray, Alberta (leased land)</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Wapasu Creek and Henday Lodges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Fort McMurray, Alberta (leased land)</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140 acres</w:t>
            </w:r>
          </w:p>
        </w:tc>
        <w:tc>
          <w:tcPr>
            <w:tcW w:w="4560" w:type="dxa"/>
            <w:vAlign w:val="bottom"/>
          </w:tcPr>
          <w:p>
            <w:pPr>
              <w:spacing w:after="0"/>
              <w:rPr>
                <w:sz w:val="20"/>
                <w:szCs w:val="20"/>
                <w:color w:val="auto"/>
              </w:rPr>
            </w:pPr>
            <w:r>
              <w:rPr>
                <w:rFonts w:ascii="Arial" w:cs="Arial" w:eastAsia="Arial" w:hAnsi="Arial"/>
                <w:sz w:val="18"/>
                <w:szCs w:val="18"/>
                <w:color w:val="auto"/>
              </w:rPr>
              <w:t>Pebble Beach open camp (closed)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Fort McMurray, Alberta (leased land)</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Conklin Lodge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Fort McMurray, Alberta (leased land)</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128 acres</w:t>
            </w:r>
          </w:p>
        </w:tc>
        <w:tc>
          <w:tcPr>
            <w:tcW w:w="4560" w:type="dxa"/>
            <w:vAlign w:val="bottom"/>
          </w:tcPr>
          <w:p>
            <w:pPr>
              <w:spacing w:after="0"/>
              <w:rPr>
                <w:sz w:val="20"/>
                <w:szCs w:val="20"/>
                <w:color w:val="auto"/>
              </w:rPr>
            </w:pPr>
            <w:r>
              <w:rPr>
                <w:rFonts w:ascii="Arial" w:cs="Arial" w:eastAsia="Arial" w:hAnsi="Arial"/>
                <w:sz w:val="18"/>
                <w:szCs w:val="18"/>
                <w:color w:val="auto"/>
              </w:rPr>
              <w:t>Beaver River and Athabasca Lodges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Fort McMurray, Alberta</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Christina Lake Lodge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Acheson, Alberta</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40 acres</w:t>
            </w:r>
          </w:p>
        </w:tc>
        <w:tc>
          <w:tcPr>
            <w:tcW w:w="4560" w:type="dxa"/>
            <w:vAlign w:val="bottom"/>
          </w:tcPr>
          <w:p>
            <w:pPr>
              <w:spacing w:after="0"/>
              <w:rPr>
                <w:sz w:val="20"/>
                <w:szCs w:val="20"/>
                <w:color w:val="auto"/>
              </w:rPr>
            </w:pPr>
            <w:r>
              <w:rPr>
                <w:rFonts w:ascii="Arial" w:cs="Arial" w:eastAsia="Arial" w:hAnsi="Arial"/>
                <w:sz w:val="18"/>
                <w:szCs w:val="18"/>
                <w:color w:val="auto"/>
              </w:rPr>
              <w:t>Office and warehouse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Edmonton, Alberta</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Grimshaw, Alberta (lease)</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20 acres</w:t>
            </w:r>
          </w:p>
        </w:tc>
        <w:tc>
          <w:tcPr>
            <w:tcW w:w="4560" w:type="dxa"/>
            <w:vAlign w:val="bottom"/>
          </w:tcPr>
          <w:p>
            <w:pPr>
              <w:spacing w:after="0"/>
              <w:rPr>
                <w:sz w:val="20"/>
                <w:szCs w:val="20"/>
                <w:color w:val="auto"/>
              </w:rPr>
            </w:pPr>
            <w:r>
              <w:rPr>
                <w:rFonts w:ascii="Arial" w:cs="Arial" w:eastAsia="Arial" w:hAnsi="Arial"/>
                <w:sz w:val="18"/>
                <w:szCs w:val="18"/>
                <w:color w:val="auto"/>
              </w:rPr>
              <w:t>Equipment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Fort McMurray, Alberta (leased land)</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Anzac Lodge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Nisku, Alberta</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9 acres</w:t>
            </w:r>
          </w:p>
        </w:tc>
        <w:tc>
          <w:tcPr>
            <w:tcW w:w="4560" w:type="dxa"/>
            <w:vAlign w:val="bottom"/>
          </w:tcPr>
          <w:p>
            <w:pPr>
              <w:spacing w:after="0"/>
              <w:rPr>
                <w:sz w:val="20"/>
                <w:szCs w:val="20"/>
                <w:color w:val="auto"/>
              </w:rPr>
            </w:pPr>
            <w:r>
              <w:rPr>
                <w:rFonts w:ascii="Arial" w:cs="Arial" w:eastAsia="Arial" w:hAnsi="Arial"/>
                <w:sz w:val="18"/>
                <w:szCs w:val="18"/>
                <w:color w:val="auto"/>
              </w:rPr>
              <w:t>Manufacturing facility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2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86,376</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Office and warehouse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Edmonton, Alberta (lease)</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71,654</w:t>
            </w:r>
          </w:p>
        </w:tc>
        <w:tc>
          <w:tcPr>
            <w:tcW w:w="4560" w:type="dxa"/>
            <w:vAlign w:val="bottom"/>
          </w:tcPr>
          <w:p>
            <w:pPr>
              <w:spacing w:after="0"/>
              <w:rPr>
                <w:sz w:val="20"/>
                <w:szCs w:val="20"/>
                <w:color w:val="auto"/>
              </w:rPr>
            </w:pPr>
            <w:r>
              <w:rPr>
                <w:rFonts w:ascii="Arial" w:cs="Arial" w:eastAsia="Arial" w:hAnsi="Arial"/>
                <w:sz w:val="18"/>
                <w:szCs w:val="18"/>
                <w:color w:val="auto"/>
              </w:rPr>
              <w:t>Manufacturing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2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28,253</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Edmonton, Alberta (lease)</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16,130</w:t>
            </w:r>
          </w:p>
        </w:tc>
        <w:tc>
          <w:tcPr>
            <w:tcW w:w="4560" w:type="dxa"/>
            <w:vAlign w:val="bottom"/>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3"/>
          </w:tcPr>
          <w:p>
            <w:pPr>
              <w:spacing w:after="0" w:line="176" w:lineRule="exact"/>
              <w:rPr>
                <w:sz w:val="20"/>
                <w:szCs w:val="20"/>
                <w:color w:val="auto"/>
              </w:rPr>
            </w:pPr>
            <w:r>
              <w:rPr>
                <w:rFonts w:ascii="Arial" w:cs="Arial" w:eastAsia="Arial" w:hAnsi="Arial"/>
                <w:sz w:val="18"/>
                <w:szCs w:val="18"/>
                <w:color w:val="auto"/>
              </w:rPr>
              <w:t>Australia:</w:t>
            </w: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Coppabella, Queensland, Australia</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Coppabella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Calliope, Queensland, Australia</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124 acres</w:t>
            </w:r>
          </w:p>
        </w:tc>
        <w:tc>
          <w:tcPr>
            <w:tcW w:w="4560" w:type="dxa"/>
            <w:vAlign w:val="bottom"/>
          </w:tcPr>
          <w:p>
            <w:pPr>
              <w:spacing w:after="0"/>
              <w:rPr>
                <w:sz w:val="20"/>
                <w:szCs w:val="20"/>
                <w:color w:val="auto"/>
              </w:rPr>
            </w:pPr>
            <w:r>
              <w:rPr>
                <w:rFonts w:ascii="Arial" w:cs="Arial" w:eastAsia="Arial" w:hAnsi="Arial"/>
                <w:sz w:val="18"/>
                <w:szCs w:val="18"/>
                <w:color w:val="auto"/>
              </w:rPr>
              <w:t>Calliope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Narrabri, New South Wales, Australia</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Narrabri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Boggabri, New South Wales, Australia</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52 acres</w:t>
            </w:r>
          </w:p>
        </w:tc>
        <w:tc>
          <w:tcPr>
            <w:tcW w:w="4560" w:type="dxa"/>
            <w:vAlign w:val="bottom"/>
          </w:tcPr>
          <w:p>
            <w:pPr>
              <w:spacing w:after="0"/>
              <w:rPr>
                <w:sz w:val="20"/>
                <w:szCs w:val="20"/>
                <w:color w:val="auto"/>
              </w:rPr>
            </w:pPr>
            <w:r>
              <w:rPr>
                <w:rFonts w:ascii="Arial" w:cs="Arial" w:eastAsia="Arial" w:hAnsi="Arial"/>
                <w:sz w:val="18"/>
                <w:szCs w:val="18"/>
                <w:color w:val="auto"/>
              </w:rPr>
              <w:t>Boggabri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Dysart, Queensland, Australia</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Dysart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Middlemount, Queensland, Australia</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37 acres</w:t>
            </w:r>
          </w:p>
        </w:tc>
        <w:tc>
          <w:tcPr>
            <w:tcW w:w="4560" w:type="dxa"/>
            <w:vAlign w:val="bottom"/>
          </w:tcPr>
          <w:p>
            <w:pPr>
              <w:spacing w:after="0"/>
              <w:rPr>
                <w:sz w:val="20"/>
                <w:szCs w:val="20"/>
                <w:color w:val="auto"/>
              </w:rPr>
            </w:pPr>
            <w:r>
              <w:rPr>
                <w:rFonts w:ascii="Arial" w:cs="Arial" w:eastAsia="Arial" w:hAnsi="Arial"/>
                <w:sz w:val="18"/>
                <w:szCs w:val="18"/>
                <w:color w:val="auto"/>
              </w:rPr>
              <w:t>Middlemount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Karratha, Western Australia, Australia (own and lease)</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Karratha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Kambalda, Western Australia, Australia</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27 acres</w:t>
            </w:r>
          </w:p>
        </w:tc>
        <w:tc>
          <w:tcPr>
            <w:tcW w:w="4560" w:type="dxa"/>
            <w:vAlign w:val="bottom"/>
          </w:tcPr>
          <w:p>
            <w:pPr>
              <w:spacing w:after="0"/>
              <w:rPr>
                <w:sz w:val="20"/>
                <w:szCs w:val="20"/>
                <w:color w:val="auto"/>
              </w:rPr>
            </w:pPr>
            <w:r>
              <w:rPr>
                <w:rFonts w:ascii="Arial" w:cs="Arial" w:eastAsia="Arial" w:hAnsi="Arial"/>
                <w:sz w:val="18"/>
                <w:szCs w:val="18"/>
                <w:color w:val="auto"/>
              </w:rPr>
              <w:t>Kambalda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Nebo, Queensland, Australia</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Nebo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Moranbah, Queensland, Australia</w:t>
            </w:r>
          </w:p>
        </w:tc>
        <w:tc>
          <w:tcPr>
            <w:tcW w:w="1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17 acres</w:t>
            </w:r>
          </w:p>
        </w:tc>
        <w:tc>
          <w:tcPr>
            <w:tcW w:w="4560" w:type="dxa"/>
            <w:vAlign w:val="bottom"/>
          </w:tcPr>
          <w:p>
            <w:pPr>
              <w:spacing w:after="0"/>
              <w:rPr>
                <w:sz w:val="20"/>
                <w:szCs w:val="20"/>
                <w:color w:val="auto"/>
              </w:rPr>
            </w:pPr>
            <w:r>
              <w:rPr>
                <w:rFonts w:ascii="Arial" w:cs="Arial" w:eastAsia="Arial" w:hAnsi="Arial"/>
                <w:sz w:val="18"/>
                <w:szCs w:val="18"/>
                <w:color w:val="auto"/>
              </w:rPr>
              <w:t>Moranbah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Ormeau, Queensland, Australia (lease)</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acres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Sydney, New South Wales, Australia (lease)</w:t>
            </w:r>
          </w:p>
        </w:tc>
        <w:tc>
          <w:tcPr>
            <w:tcW w:w="2280" w:type="dxa"/>
            <w:vAlign w:val="bottom"/>
            <w:gridSpan w:val="3"/>
          </w:tcPr>
          <w:p>
            <w:pPr>
              <w:jc w:val="right"/>
              <w:ind w:right="120"/>
              <w:spacing w:after="0"/>
              <w:rPr>
                <w:sz w:val="20"/>
                <w:szCs w:val="20"/>
                <w:color w:val="auto"/>
              </w:rPr>
            </w:pPr>
            <w:r>
              <w:rPr>
                <w:rFonts w:ascii="Arial" w:cs="Arial" w:eastAsia="Arial" w:hAnsi="Arial"/>
                <w:sz w:val="18"/>
                <w:szCs w:val="18"/>
                <w:color w:val="auto"/>
              </w:rPr>
              <w:t>17,276</w:t>
            </w:r>
          </w:p>
        </w:tc>
        <w:tc>
          <w:tcPr>
            <w:tcW w:w="4560" w:type="dxa"/>
            <w:vAlign w:val="bottom"/>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Brisbane, Queensland, Australia (lease)</w:t>
            </w:r>
          </w:p>
        </w:tc>
        <w:tc>
          <w:tcPr>
            <w:tcW w:w="2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7,115</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70"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Leased land for our lodge properties in Canada refers to land leased from the Alberta government. We also lease land for our Karratha village from the provincial government in Australia. Generally, our leases have an initial term of ten years and will expire between 2015 and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a party to various pending or threatened claims, lawsuits and administrative proceedings seeking damages or other remedies concerning our commercial operations, products, employees and other matters as a result of our products or operations.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combined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sets forth information as of March 18, 2014, regarding the individuals who are expected to serve as our executive officers following the spin-off. After the spin-off, none of these individuals will continue to be employees of Oil States.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Position(s)</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80" w:type="dxa"/>
            <w:vAlign w:val="bottom"/>
            <w:shd w:val="clear" w:color="auto" w:fill="CCEEFF"/>
          </w:tcPr>
          <w:p>
            <w:pPr>
              <w:spacing w:after="0"/>
              <w:rPr>
                <w:sz w:val="18"/>
                <w:szCs w:val="18"/>
                <w:color w:val="auto"/>
              </w:rPr>
            </w:pPr>
          </w:p>
        </w:tc>
        <w:tc>
          <w:tcPr>
            <w:tcW w:w="5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Frank C. Steininger</w:t>
            </w:r>
          </w:p>
        </w:tc>
        <w:tc>
          <w:tcPr>
            <w:tcW w:w="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Ron R. Green</w:t>
            </w:r>
          </w:p>
        </w:tc>
        <w:tc>
          <w:tcPr>
            <w:tcW w:w="80" w:type="dxa"/>
            <w:vAlign w:val="bottom"/>
            <w:shd w:val="clear" w:color="auto" w:fill="CCEEFF"/>
          </w:tcPr>
          <w:p>
            <w:pPr>
              <w:spacing w:after="0"/>
              <w:rPr>
                <w:sz w:val="18"/>
                <w:szCs w:val="18"/>
                <w:color w:val="auto"/>
              </w:rPr>
            </w:pPr>
          </w:p>
        </w:tc>
        <w:tc>
          <w:tcPr>
            <w:tcW w:w="5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Senior Vice President, North America</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64</w:t>
            </w: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Peter McCann</w:t>
            </w:r>
          </w:p>
        </w:tc>
        <w:tc>
          <w:tcPr>
            <w:tcW w:w="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0"/>
              </w:rPr>
              <w:t>Senior Vice President, Australia</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r>
    </w:tbl>
    <w:p>
      <w:pPr>
        <w:spacing w:after="0" w:line="200" w:lineRule="exact"/>
        <w:rPr>
          <w:sz w:val="20"/>
          <w:szCs w:val="20"/>
          <w:color w:val="auto"/>
        </w:rPr>
      </w:pPr>
    </w:p>
    <w:p>
      <w:pPr>
        <w:spacing w:after="0" w:line="20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Bradley J. Dodson </w:t>
      </w:r>
      <w:r>
        <w:rPr>
          <w:rFonts w:ascii="Arial" w:cs="Arial" w:eastAsia="Arial" w:hAnsi="Arial"/>
          <w:sz w:val="17"/>
          <w:szCs w:val="17"/>
          <w:color w:val="auto"/>
        </w:rPr>
        <w:t>is currently Executive Vice President, Accommodations of Oil States and President and Chief Executive Officer of SpinCo; positions</w:t>
      </w:r>
      <w:r>
        <w:rPr>
          <w:rFonts w:ascii="Arial" w:cs="Arial" w:eastAsia="Arial" w:hAnsi="Arial"/>
          <w:sz w:val="17"/>
          <w:szCs w:val="17"/>
          <w:i w:val="1"/>
          <w:iCs w:val="1"/>
          <w:color w:val="auto"/>
        </w:rPr>
        <w:t xml:space="preserve"> </w:t>
      </w:r>
      <w:r>
        <w:rPr>
          <w:rFonts w:ascii="Arial" w:cs="Arial" w:eastAsia="Arial" w:hAnsi="Arial"/>
          <w:sz w:val="17"/>
          <w:szCs w:val="17"/>
          <w:color w:val="auto"/>
        </w:rPr>
        <w:t>held since December 2013. Mr. Dodson has held several executive positions with Oil States since joining in March 2001, including serving as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Frank C. Steininger, </w:t>
      </w:r>
      <w:r>
        <w:rPr>
          <w:rFonts w:ascii="Arial" w:cs="Arial" w:eastAsia="Arial" w:hAnsi="Arial"/>
          <w:sz w:val="17"/>
          <w:szCs w:val="17"/>
          <w:color w:val="auto"/>
        </w:rPr>
        <w:t>upon the spin-off, will serve as Senior Vice President, Chief Financial Officer and Treasurer of SpinCo. From August 1980 to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2014, Mr. Steininger worked for PricewaterhouseCoopers LLP, where he was admitted to the partnership in 1991. From 1997 to 2014, Mr. Steininger was an Assurance Partner in PwC’s Global Energy practice. He holds a B.S. degree in accounting from the University of Akron.</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Ron R. Green, </w:t>
      </w:r>
      <w:r>
        <w:rPr>
          <w:rFonts w:ascii="Arial" w:cs="Arial" w:eastAsia="Arial" w:hAnsi="Arial"/>
          <w:sz w:val="16"/>
          <w:szCs w:val="16"/>
          <w:color w:val="auto"/>
        </w:rPr>
        <w:t>upon the spin-off, will serve as Senior Vice President, North America of SpinCo. Mr. Green is the Senior Vice President, Accommodations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Oil States and President and Chief Executive Officer—PTI Group Inc. (“PTI”), a wholly owned subsidiary of SpinCo. He has held this position since April 2006. From December 2005 to March 2006 he was Senior Vice President and Chief Operating Officer of PTI. From November 2004 to November 2005, Mr.</w:t>
      </w:r>
    </w:p>
    <w:p>
      <w:pPr>
        <w:ind w:right="240"/>
        <w:spacing w:after="0" w:line="255" w:lineRule="auto"/>
        <w:rPr>
          <w:sz w:val="20"/>
          <w:szCs w:val="20"/>
          <w:color w:val="auto"/>
        </w:rPr>
      </w:pPr>
      <w:r>
        <w:rPr>
          <w:rFonts w:ascii="Arial" w:cs="Arial" w:eastAsia="Arial" w:hAnsi="Arial"/>
          <w:sz w:val="18"/>
          <w:szCs w:val="18"/>
          <w:color w:val="auto"/>
        </w:rPr>
        <w:t>Green served as Vice President, Premium Camp Services for PTI. Prior to joining PTI, Mr. Green served as Vice President and General Manager of ESS Remote Site Services, a division of Compass Group PLC from October 1995 to August 2003. From 1975 to 1995, Mr. Green held various senior executive positions in the accommodations industry.</w:t>
      </w:r>
    </w:p>
    <w:p>
      <w:pPr>
        <w:spacing w:after="0" w:line="19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 xml:space="preserve">Peter McCann, </w:t>
      </w:r>
      <w:r>
        <w:rPr>
          <w:rFonts w:ascii="Arial" w:cs="Arial" w:eastAsia="Arial" w:hAnsi="Arial"/>
          <w:sz w:val="16"/>
          <w:szCs w:val="16"/>
          <w:color w:val="auto"/>
        </w:rPr>
        <w:t>upon the spin-off, will serve as Senior Vice President, Australia. Mr. McCann has been Managing Director of The MAC, a wholly 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SpinCo since June 2012. From January 2010 through June 2012, Mr. McCann was the Executive General Manager, Finance for The</w:t>
      </w:r>
    </w:p>
    <w:p>
      <w:pPr>
        <w:ind w:right="380"/>
        <w:spacing w:after="0" w:line="261" w:lineRule="auto"/>
        <w:rPr>
          <w:sz w:val="20"/>
          <w:szCs w:val="20"/>
          <w:color w:val="auto"/>
        </w:rPr>
      </w:pPr>
      <w:r>
        <w:rPr>
          <w:rFonts w:ascii="Arial" w:cs="Arial" w:eastAsia="Arial" w:hAnsi="Arial"/>
          <w:sz w:val="18"/>
          <w:szCs w:val="18"/>
          <w:color w:val="auto"/>
        </w:rPr>
        <w:t>MAC. From 2004 to 2010, Mr. McCann served as Chief Financial Officer of Royal Wolf Trading. Mr. McCann holds a Bachelor of Commerce degree in accountancy from the University of New South Wales.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are in the process of finalizing the composition of our board of directors following the spin-off, and as such we will provide information regarding our directors in an amendment to this Information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225" w:lineRule="exact"/>
        <w:rPr>
          <w:sz w:val="20"/>
          <w:szCs w:val="20"/>
          <w:color w:val="auto"/>
        </w:rPr>
      </w:pPr>
    </w:p>
    <w:p>
      <w:pPr>
        <w:ind w:right="340" w:firstLine="324"/>
        <w:spacing w:after="0" w:line="313" w:lineRule="auto"/>
        <w:rPr>
          <w:sz w:val="20"/>
          <w:szCs w:val="20"/>
          <w:color w:val="auto"/>
        </w:rPr>
      </w:pPr>
      <w:r>
        <w:rPr>
          <w:rFonts w:ascii="Arial" w:cs="Arial" w:eastAsia="Arial" w:hAnsi="Arial"/>
          <w:sz w:val="17"/>
          <w:szCs w:val="17"/>
          <w:color w:val="auto"/>
        </w:rPr>
        <w:t xml:space="preserve">We currently expect that, upon the completion of the separation, our board of directors will consist of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members, a majority of whom we expect to satisfy the independence standards established by the Sarbanes-Oxley Act of 2002 and the applicable rules of the SEC and the NYSE.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board of directors will establish several standing committees in connection with the discharge of its responsibilities. Upon completion of the spin-off, our board of directors will have the following committees: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completion of the spin-off, our board of directors will establish an audit committee, composed of at least one director and a majority of independent directors.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Audit Committee will meet separately with representatives of our independent auditors, the Company’s internal audit personnel and representatives of senior management in performing its functions. The Audit Committee will review the general scope of audit coverage, the fees charged by the independent auditors, matters relating to internal control systems and other matters related to accounting and reporting functions. The board of directors is expected to determine that all of the members of the Audit Committee are financially literate and have accounting or related financial management expertise, each as required by the applicable NYSE listing standards. The board of directors is also expected to determine that at least one member of the Audit Committee will qualify as audit committee financial experts under the applicable rules of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Upon completion of the spin-off, our board of directors will establish a compensation committee, composed of at least one director and a majority of independent directors.</w:t>
      </w:r>
    </w:p>
    <w:p>
      <w:pPr>
        <w:spacing w:after="0" w:line="16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7"/>
          <w:szCs w:val="17"/>
          <w:color w:val="auto"/>
        </w:rPr>
        <w:t xml:space="preserve">The Compensation Committee will administer the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Plan, and in this capacity make a recommendation to the full board of directors concerning aggregate amount of all option grants or stock awards to employees as well as specific awards to executive officers under the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Plan. In addition, the Compensation Committee will be responsible for (i) making recommendations to the board of directors with respect to the compensation of our chief executive officer and other executive officers, (ii) overseeing and approving compensation and employee benefit policies and (iii) reviewing and discussing with our management the Compensation Discussion and Analysis and related disclosure included in our annual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Upon completion of the spin-off, our board of directors will establish a nominating and governance committee, composed of at least one director and a majority of independent directors.</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Nominating &amp; Corporate Governance Committee will make proposals to the board of directors for candidates to be nominated by the board of directors to fill vacancies or for new directorship positions, if any, which may be created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To qualify as “independent” under the NYSE listing standards, a director must meet objective criteria set forth in the NYSE listing standards, and the board of directors must affirmatively determine that the director has no material relationship with us (either directly or as a stockholder or officer of an organization that has a relationship with us) that would interfere with his or her exercise of independent judgment in carrying out his or her responsibilities as a director.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03" w:name="page104"/>
    <w:bookmarkEnd w:id="103"/>
    <w:p>
      <w:pPr>
        <w:ind w:right="20" w:firstLine="324"/>
        <w:spacing w:after="0" w:line="254" w:lineRule="auto"/>
        <w:rPr>
          <w:sz w:val="20"/>
          <w:szCs w:val="20"/>
          <w:color w:val="auto"/>
        </w:rPr>
      </w:pPr>
      <w:r>
        <w:rPr>
          <w:rFonts w:ascii="Arial" w:cs="Arial" w:eastAsia="Arial" w:hAnsi="Arial"/>
          <w:sz w:val="18"/>
          <w:szCs w:val="18"/>
          <w:color w:val="auto"/>
        </w:rPr>
        <w:t>The board of directors will review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our Company and has not engaged in various types of business dealings with our Company. In addition, as further required by the NYSE, the board of directors will make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will consider the issue not merely from the standpoint of the director, but also from the standpoint of the persons or organizations with which the director has an affiliation.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Upon completion of the spin-off, our board of directors will adopt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Upon completion of the spin-off, we will adopt a Corporate Code of Business Conduct and Ethics, which will require that all directors, officers and employees of SpinCo act ethically at all times.</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Substantially all of our employees will be required to complete online training on a regular basis which includes a review of the Corporate Business Conduct &amp; Ethics Code policy and an acknowledgement that the employee has read and understands the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completion of the spin-off, we will adopt a Financial Code of Ethics for Senior Officers that will apply to the chief executive officer, chief financial officer, principal accounting officer and other senior officers (“Senior Officers”).</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Senior Officers must also comply with the Company’s Business Conduct and Ethics Code. Ethical principles set forth in this policy include, among other principals, matters such as:</w:t>
      </w:r>
    </w:p>
    <w:p>
      <w:pPr>
        <w:spacing w:after="0" w:line="170"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Promoting honest and ethical behavior by others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Respecting confidentiality of information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Responsibly using and maintain assets and resources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Director Resignation Policy</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Upon completion of the spin-off, we will adopt a director resignation policy. The director resignation policy will provide that if a director fails to receive a majority vote in an uncontested director election, that director is required by our Corporate Governance Guidelines to inform the Chairman of the Nominating &amp; Corporate Governance Committee of the failure and tender his or her resignation to the Committee for consideration.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The Nominating &amp; Corporate Governance Committee will recommend to the board of directors the action, if any, to be taken with respect to the resignation, and the board of directors will consider whether the director’s abilities and qualifications are such that they negate the assumption that he or she is unsuitable, which could be inferred from the director’s failure to receive a majority vote.</w:t>
      </w:r>
    </w:p>
    <w:p>
      <w:pPr>
        <w:spacing w:after="0" w:line="18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director resignation policy will also provide that if a director’s principal occupation or business association changes substantially during his or her tenure as a director, that director is required by our Corporate Governance Guidelines to inform the Chairman of the Nominating &amp; Corporate Governance Committee of the change and tender his or her resignation to the Committee for consideration. Such resignation shall not be effective unless and until the board of directors chooses to accept the resignation in accordance with our Corporate Governance Guidelines. The board, through the Nominating &amp; Corporate Governance Committee, shall review the matter in order to evaluate the continued appropriateness of such director’s membership on the board directors and each applicable committee under these circumstances, taking into account all relevant factors and may accept or reject a proffered resignation.</w:t>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769" w:right="3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For purposes of the following Compensation Discussion and Analysis, four of the persons who we expect will be our named executive officers as of the distribution date are identified below (collectively, our “Named Executive Officers”). The information provided reflects compensation earned at Oil States or its subsidiaries and the design and objectives of the executive compensation programs in place prior to the separation. In addition, summary information concerning SpinCo’s executive compensation approach developed to date in connection with planning for the separation is also included below.</w:t>
      </w:r>
    </w:p>
    <w:p>
      <w:pPr>
        <w:spacing w:after="0" w:line="154"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Compensation decisions for our Named Executive Officers prior to the spin-off will be made by Oil States. To the extent such persons are senior officers of Oil States, the decisions will be made by the Oil States Compensation Committee (the “Oil States Compensation Committee”) of the board of directors of Oil States, which is composed entirely of independent directors. Executive compensation decisions following the spin-off will be made by the Compensation Committee of SpinCo.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has three main parts:</w:t>
      </w:r>
    </w:p>
    <w:p>
      <w:pPr>
        <w:spacing w:after="0" w:line="225" w:lineRule="exact"/>
        <w:rPr>
          <w:sz w:val="20"/>
          <w:szCs w:val="20"/>
          <w:color w:val="auto"/>
        </w:rPr>
      </w:pPr>
    </w:p>
    <w:p>
      <w:pPr>
        <w:ind w:left="980" w:right="400" w:hanging="324"/>
        <w:spacing w:after="0" w:line="277"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Oil States 2013 Executive Compensation</w:t>
      </w:r>
      <w:r>
        <w:rPr>
          <w:rFonts w:ascii="Arial" w:cs="Arial" w:eastAsia="Arial" w:hAnsi="Arial"/>
          <w:sz w:val="18"/>
          <w:szCs w:val="18"/>
          <w:color w:val="auto"/>
        </w:rPr>
        <w:t>— This section describes and analyzes the executive compensation programs at Oil States in 2013 (beginning on page 97).</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Effects of Spin-off on Outstanding Executive and Other Compensation Awards</w:t>
      </w:r>
      <w:r>
        <w:rPr>
          <w:rFonts w:ascii="Arial" w:cs="Arial" w:eastAsia="Arial" w:hAnsi="Arial"/>
          <w:sz w:val="17"/>
          <w:szCs w:val="17"/>
          <w:color w:val="auto"/>
        </w:rPr>
        <w:t>— This section discusses the effect of the spin-off on outstanding Oil States compensation awards and SpinCo compensation held by our Named Executive Officers (beginning on page 110).</w:t>
      </w:r>
    </w:p>
    <w:p>
      <w:pPr>
        <w:spacing w:after="0" w:line="146" w:lineRule="exact"/>
        <w:rPr>
          <w:rFonts w:ascii="Arial" w:cs="Arial" w:eastAsia="Arial" w:hAnsi="Arial"/>
          <w:sz w:val="17"/>
          <w:szCs w:val="17"/>
          <w:color w:val="auto"/>
        </w:rPr>
      </w:pPr>
    </w:p>
    <w:p>
      <w:pPr>
        <w:ind w:left="340" w:right="40" w:firstLine="316"/>
        <w:spacing w:after="0" w:line="498" w:lineRule="auto"/>
        <w:tabs>
          <w:tab w:leader="none" w:pos="98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SpinCo Compensation Programs</w:t>
      </w:r>
      <w:r>
        <w:rPr>
          <w:rFonts w:ascii="Arial" w:cs="Arial" w:eastAsia="Arial" w:hAnsi="Arial"/>
          <w:sz w:val="18"/>
          <w:szCs w:val="18"/>
          <w:color w:val="auto"/>
        </w:rPr>
        <w:t>— This section discusses the anticipated executive compensation programs at SpinCo (beginning on page 110). Our Named Executive Officers are as follows:</w:t>
      </w:r>
    </w:p>
    <w:tbl>
      <w:tblPr>
        <w:tblLayout w:type="fixed"/>
        <w:tblInd w:w="660" w:type="dxa"/>
        <w:tblCellMar>
          <w:top w:w="0" w:type="dxa"/>
          <w:left w:w="0" w:type="dxa"/>
          <w:bottom w:w="0" w:type="dxa"/>
          <w:right w:w="0" w:type="dxa"/>
        </w:tblCellMar>
      </w:tblPr>
      <w:tr>
        <w:trPr>
          <w:trHeight w:val="195"/>
        </w:trPr>
        <w:tc>
          <w:tcPr>
            <w:tcW w:w="34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Name</w:t>
            </w:r>
          </w:p>
        </w:tc>
        <w:tc>
          <w:tcPr>
            <w:tcW w:w="34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2013 Oil States Job Title</w:t>
            </w:r>
          </w:p>
        </w:tc>
        <w:tc>
          <w:tcPr>
            <w:tcW w:w="334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2014 SpinCo Job Title</w:t>
            </w:r>
          </w:p>
        </w:tc>
      </w:tr>
      <w:tr>
        <w:trPr>
          <w:trHeight w:val="20"/>
        </w:trPr>
        <w:tc>
          <w:tcPr>
            <w:tcW w:w="4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9"/>
        </w:trPr>
        <w:tc>
          <w:tcPr>
            <w:tcW w:w="3420" w:type="dxa"/>
            <w:vAlign w:val="bottom"/>
            <w:gridSpan w:val="2"/>
          </w:tcPr>
          <w:p>
            <w:pPr>
              <w:spacing w:after="0" w:line="199" w:lineRule="exact"/>
              <w:rPr>
                <w:sz w:val="20"/>
                <w:szCs w:val="20"/>
                <w:color w:val="auto"/>
              </w:rPr>
            </w:pPr>
            <w:r>
              <w:rPr>
                <w:rFonts w:ascii="Arial" w:cs="Arial" w:eastAsia="Arial" w:hAnsi="Arial"/>
                <w:sz w:val="18"/>
                <w:szCs w:val="18"/>
                <w:color w:val="auto"/>
              </w:rPr>
              <w:t>Bradley J. Dodson</w:t>
            </w:r>
          </w:p>
        </w:tc>
        <w:tc>
          <w:tcPr>
            <w:tcW w:w="3400" w:type="dxa"/>
            <w:vAlign w:val="bottom"/>
            <w:gridSpan w:val="2"/>
          </w:tcPr>
          <w:p>
            <w:pPr>
              <w:spacing w:after="0" w:line="199" w:lineRule="exact"/>
              <w:rPr>
                <w:sz w:val="20"/>
                <w:szCs w:val="20"/>
                <w:color w:val="auto"/>
              </w:rPr>
            </w:pPr>
            <w:r>
              <w:rPr>
                <w:rFonts w:ascii="Arial" w:cs="Arial" w:eastAsia="Arial" w:hAnsi="Arial"/>
                <w:sz w:val="18"/>
                <w:szCs w:val="18"/>
                <w:color w:val="auto"/>
                <w:w w:val="97"/>
              </w:rPr>
              <w:t>Executive Vice President, Accommodations</w:t>
            </w:r>
          </w:p>
        </w:tc>
        <w:tc>
          <w:tcPr>
            <w:tcW w:w="334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President and Chief Executive Officer</w:t>
            </w:r>
          </w:p>
        </w:tc>
      </w:tr>
      <w:tr>
        <w:trPr>
          <w:trHeight w:val="239"/>
        </w:trPr>
        <w:tc>
          <w:tcPr>
            <w:tcW w:w="3420" w:type="dxa"/>
            <w:vAlign w:val="bottom"/>
            <w:gridSpan w:val="2"/>
          </w:tcPr>
          <w:p>
            <w:pPr>
              <w:spacing w:after="0" w:line="240" w:lineRule="exact"/>
              <w:rPr>
                <w:sz w:val="20"/>
                <w:szCs w:val="20"/>
                <w:color w:val="auto"/>
              </w:rPr>
            </w:pPr>
            <w:r>
              <w:rPr>
                <w:rFonts w:ascii="Arial" w:cs="Arial" w:eastAsia="Arial" w:hAnsi="Arial"/>
                <w:sz w:val="17"/>
                <w:szCs w:val="17"/>
                <w:color w:val="auto"/>
              </w:rPr>
              <w:t>Frank C. Steininger</w:t>
            </w:r>
            <w:r>
              <w:rPr>
                <w:rFonts w:ascii="Arial" w:cs="Arial" w:eastAsia="Arial" w:hAnsi="Arial"/>
                <w:sz w:val="27"/>
                <w:szCs w:val="27"/>
                <w:color w:val="auto"/>
                <w:vertAlign w:val="superscript"/>
              </w:rPr>
              <w:t>1</w:t>
            </w:r>
          </w:p>
        </w:tc>
        <w:tc>
          <w:tcPr>
            <w:tcW w:w="3400" w:type="dxa"/>
            <w:vAlign w:val="bottom"/>
            <w:gridSpan w:val="2"/>
          </w:tcPr>
          <w:p>
            <w:pPr>
              <w:spacing w:after="0"/>
              <w:rPr>
                <w:sz w:val="20"/>
                <w:szCs w:val="20"/>
                <w:color w:val="auto"/>
              </w:rPr>
            </w:pPr>
            <w:r>
              <w:rPr>
                <w:rFonts w:ascii="Arial" w:cs="Arial" w:eastAsia="Arial" w:hAnsi="Arial"/>
                <w:sz w:val="18"/>
                <w:szCs w:val="18"/>
                <w:color w:val="auto"/>
              </w:rPr>
              <w:t>N/A</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w w:val="91"/>
              </w:rPr>
              <w:t>Senior Vice President, Chief Financial Officer</w:t>
            </w:r>
          </w:p>
        </w:tc>
      </w:tr>
      <w:tr>
        <w:trPr>
          <w:trHeight w:val="216"/>
        </w:trPr>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and Treasurer</w:t>
            </w:r>
          </w:p>
        </w:tc>
      </w:tr>
      <w:tr>
        <w:trPr>
          <w:trHeight w:val="193"/>
        </w:trPr>
        <w:tc>
          <w:tcPr>
            <w:tcW w:w="3420" w:type="dxa"/>
            <w:vAlign w:val="bottom"/>
            <w:gridSpan w:val="2"/>
          </w:tcPr>
          <w:p>
            <w:pPr>
              <w:spacing w:after="0" w:line="193" w:lineRule="exact"/>
              <w:rPr>
                <w:sz w:val="20"/>
                <w:szCs w:val="20"/>
                <w:color w:val="auto"/>
              </w:rPr>
            </w:pPr>
            <w:r>
              <w:rPr>
                <w:rFonts w:ascii="Arial" w:cs="Arial" w:eastAsia="Arial" w:hAnsi="Arial"/>
                <w:sz w:val="18"/>
                <w:szCs w:val="18"/>
                <w:color w:val="auto"/>
              </w:rPr>
              <w:t>Ron R. Green</w:t>
            </w:r>
          </w:p>
        </w:tc>
        <w:tc>
          <w:tcPr>
            <w:tcW w:w="3400" w:type="dxa"/>
            <w:vAlign w:val="bottom"/>
            <w:gridSpan w:val="2"/>
          </w:tcPr>
          <w:p>
            <w:pPr>
              <w:spacing w:after="0" w:line="193" w:lineRule="exact"/>
              <w:rPr>
                <w:sz w:val="20"/>
                <w:szCs w:val="20"/>
                <w:color w:val="auto"/>
              </w:rPr>
            </w:pPr>
            <w:r>
              <w:rPr>
                <w:rFonts w:ascii="Arial" w:cs="Arial" w:eastAsia="Arial" w:hAnsi="Arial"/>
                <w:sz w:val="18"/>
                <w:szCs w:val="18"/>
                <w:color w:val="auto"/>
                <w:w w:val="94"/>
              </w:rPr>
              <w:t>Senior Vice President, Accommodations and</w:t>
            </w:r>
          </w:p>
        </w:tc>
        <w:tc>
          <w:tcPr>
            <w:tcW w:w="3340" w:type="dxa"/>
            <w:vAlign w:val="bottom"/>
            <w:gridSpan w:val="2"/>
          </w:tcPr>
          <w:p>
            <w:pPr>
              <w:ind w:left="20"/>
              <w:spacing w:after="0" w:line="193" w:lineRule="exact"/>
              <w:rPr>
                <w:sz w:val="20"/>
                <w:szCs w:val="20"/>
                <w:color w:val="auto"/>
              </w:rPr>
            </w:pPr>
            <w:r>
              <w:rPr>
                <w:rFonts w:ascii="Arial" w:cs="Arial" w:eastAsia="Arial" w:hAnsi="Arial"/>
                <w:sz w:val="18"/>
                <w:szCs w:val="18"/>
                <w:color w:val="auto"/>
              </w:rPr>
              <w:t>Senior Vice President, North America</w:t>
            </w:r>
          </w:p>
        </w:tc>
      </w:tr>
      <w:tr>
        <w:trPr>
          <w:trHeight w:val="216"/>
        </w:trPr>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00" w:type="dxa"/>
            <w:vAlign w:val="bottom"/>
            <w:gridSpan w:val="2"/>
          </w:tcPr>
          <w:p>
            <w:pPr>
              <w:spacing w:after="0" w:line="216" w:lineRule="exact"/>
              <w:rPr>
                <w:sz w:val="20"/>
                <w:szCs w:val="20"/>
                <w:color w:val="auto"/>
              </w:rPr>
            </w:pPr>
            <w:r>
              <w:rPr>
                <w:rFonts w:ascii="Arial" w:cs="Arial" w:eastAsia="Arial" w:hAnsi="Arial"/>
                <w:sz w:val="16"/>
                <w:szCs w:val="16"/>
                <w:color w:val="auto"/>
              </w:rPr>
              <w:t>President</w:t>
            </w:r>
            <w:r>
              <w:rPr>
                <w:rFonts w:ascii="Arial" w:cs="Arial" w:eastAsia="Arial" w:hAnsi="Arial"/>
                <w:sz w:val="25"/>
                <w:szCs w:val="25"/>
                <w:color w:val="auto"/>
                <w:vertAlign w:val="superscript"/>
              </w:rPr>
              <w:t>2</w:t>
            </w:r>
          </w:p>
        </w:tc>
        <w:tc>
          <w:tcPr>
            <w:tcW w:w="17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90"/>
        </w:trPr>
        <w:tc>
          <w:tcPr>
            <w:tcW w:w="3420" w:type="dxa"/>
            <w:vAlign w:val="bottom"/>
            <w:gridSpan w:val="2"/>
          </w:tcPr>
          <w:p>
            <w:pPr>
              <w:spacing w:after="0"/>
              <w:rPr>
                <w:sz w:val="20"/>
                <w:szCs w:val="20"/>
                <w:color w:val="auto"/>
              </w:rPr>
            </w:pPr>
            <w:r>
              <w:rPr>
                <w:rFonts w:ascii="Arial" w:cs="Arial" w:eastAsia="Arial" w:hAnsi="Arial"/>
                <w:sz w:val="18"/>
                <w:szCs w:val="18"/>
                <w:color w:val="auto"/>
              </w:rPr>
              <w:t>Peter L. McCann</w:t>
            </w:r>
          </w:p>
        </w:tc>
        <w:tc>
          <w:tcPr>
            <w:tcW w:w="3400" w:type="dxa"/>
            <w:vAlign w:val="bottom"/>
            <w:gridSpan w:val="2"/>
          </w:tcPr>
          <w:p>
            <w:pPr>
              <w:spacing w:after="0"/>
              <w:rPr>
                <w:sz w:val="20"/>
                <w:szCs w:val="20"/>
                <w:color w:val="auto"/>
              </w:rPr>
            </w:pPr>
            <w:r>
              <w:rPr>
                <w:rFonts w:ascii="Arial" w:cs="Arial" w:eastAsia="Arial" w:hAnsi="Arial"/>
                <w:sz w:val="18"/>
                <w:szCs w:val="18"/>
                <w:color w:val="auto"/>
              </w:rPr>
              <w:t>Managing Director of The MAC</w:t>
            </w:r>
            <w:r>
              <w:rPr>
                <w:rFonts w:ascii="Arial" w:cs="Arial" w:eastAsia="Arial" w:hAnsi="Arial"/>
                <w:sz w:val="30"/>
                <w:szCs w:val="30"/>
                <w:color w:val="auto"/>
                <w:vertAlign w:val="superscript"/>
              </w:rPr>
              <w:t>3</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Australia</w:t>
            </w:r>
          </w:p>
        </w:tc>
      </w:tr>
    </w:tbl>
    <w:p>
      <w:pPr>
        <w:spacing w:after="0" w:line="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with respect to only four individuals has been presented in this Compensation Discussion and Analysis because these four individuals are the only persons which we have currently identified as likely to be executive officers of SpinCo.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States 2013 Executive Compensation</w:t>
      </w:r>
    </w:p>
    <w:p>
      <w:pPr>
        <w:spacing w:after="0" w:line="229"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The Oil States Compensation Committee provides overall guidance to Oil States’ executive compensation program and administers incentive compensation plans.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executive compensation program includes three primary elements which are generally performance oriented and, taken together, constitute a flexible and balanced method of establishing total compensation for Oil States’ executive officers. The three major elements consist of (a) base salary, (b) annual incentive compensation, and (c) long-term incentive awards. The design of this compensation program supports Oil States’ philosophy of executive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6"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Prior to March 4, 2014, Mr. Steininger was an employee of PricewaterhouseCoopers LLP. Therefore, he held no position at and received no</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from Oil States during 2013.</w:t>
      </w:r>
    </w:p>
    <w:p>
      <w:pPr>
        <w:spacing w:after="0" w:line="9" w:lineRule="exact"/>
        <w:rPr>
          <w:sz w:val="20"/>
          <w:szCs w:val="20"/>
          <w:color w:val="auto"/>
        </w:rPr>
      </w:pPr>
    </w:p>
    <w:p>
      <w:pPr>
        <w:ind w:left="340" w:right="440" w:hanging="332"/>
        <w:spacing w:after="0" w:line="250"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Green is currently an officer of PTI Group, Inc., an indirect subsidiary of Oil States. He is the Senior Vice President, Accommodations with Oil States.</w:t>
      </w:r>
    </w:p>
    <w:p>
      <w:pPr>
        <w:spacing w:after="0" w:line="1"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McCann is currently an officer of The MAC Services Group, Ltd., an indirect subsidiary of Oil States.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Executive Total Compensation Philosophy</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Oil States’ philosophy regarding the executive compensation program for its named executive officers and other senior managers has been to design a compensation package that provides competitive base salary levels and compensation incentives that (i) attract and retain individuals of outstanding ability in these key positions, (ii) recognize corporate performance relative to established goals and the performance of Oil States relative to the performance of other companies of comparable size, complexity and quality and against budget goals, and (iii) support both the short-term and long-term strategic goals of Oil States. The Oil States Compensation Committee believes this approach closely links the compensation of Oil States’ executives to the execution of Oil States’ strategy and the accomplishment of Oil States goals that coincide with stockholder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Objectives:</w:t>
      </w:r>
    </w:p>
    <w:p>
      <w:pPr>
        <w:spacing w:after="0" w:line="229"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Attract, motivate, reward and retain key employees and executive talent required to achieve corporate strategic plans;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Reinforce the relationship between strong individual performance of executives and business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Align the interests of executives with the long-term interests of stockholders;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 a compensation program that neither promotes overly conservative actions or excessive risk taking.</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compensation program is designed to reward executives for long-term strategic management and the enhancement of stockholder value. Oil States believes that the compensation program design and policies contribute to achievement of Oil States’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Benchmarking Relative to Market</w:t>
      </w:r>
    </w:p>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Oil States Compensation Committee establishes executive compensation primarily based on a review of the executive’s performance and compensation history and takes into account corporate performance. In the exercise of its duties, the Oil States Compensation Committee periodically benchmarks Oil States’ executive compensation against that of comparable companies; however, the Oil States Compensation Committee does not set percentile goals against benchmark data for purposes of determining executive compensation levels. The Oil States Compensation Committee considers the market to consist of both the oilfield services industry and geographic markets in which Oil States competes for executive talent. Benchmark data is periodically obtained for a selected peer group approved by the Oil States Compensation Committee (the “peer group”) as well as for industry companies of comparable size and business complexity. Oil States currently uses the following peer group companies:</w:t>
      </w:r>
    </w:p>
    <w:p>
      <w:pPr>
        <w:spacing w:after="0" w:line="167"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Carbo Ceramics,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Cameron International Corporation;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Core Laboratories N.V.;</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Dresser-Rand Group,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Dril-Quip,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Exterran Holdings,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FMC Technologies,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Helix Energy Solutions Group,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107" w:name="page108"/>
    <w:bookmarkEnd w:id="107"/>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Helmerich &amp; Payne,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Key Energy Services,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McDermott International,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Oceaneering International,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RPC,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Superior Energy Services, Inc.;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Tidewater, Inc.</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selecting benchmark companies, the Oil States Compensation Committee considered each company’s participation in the energy services sector as well as market capitalization, annual revenues, business complexity, profitability, returns on equity and assets, the number of divisions/segments, countries in which they operate and total number of employees. The benchmarked companies change from time to time to insure their continued appropriateness for comparative purposes. Oil States made two changes to its peer group companies in 2013. They deleted Complete Production Services, Inc. because it was acquired, and they added Cameron International Corporation because it is similar to Oil States’ offshore products segment and because they compete for the same executive talent.</w:t>
      </w:r>
    </w:p>
    <w:p>
      <w:pPr>
        <w:spacing w:after="0" w:line="19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Oil States Compensation Committee reviews the compensation programs for comparable positions at similar corporations with which Oil States competes for executive talent, and also considers relative internal equity within its executive pay structure. This approach allows the Oil States Compensation Committee to respond to changing business conditions, manage salaries and incentives more evenly over an individual’s career as well as minimize the potential for the automatic ratcheting-up of salaries and incentives that could occur with an inflexible and more narrowly defined approach.</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evaluating the peer group and other comparison data for compensation purposes, the Oil States Compensation Committee neither bases its decisions on quantitative relative weights of various factors, nor follows mathematical formulas. Rather, the Oil States Compensation Committee exercises its discretion and makes its judgment after considering the factors it deems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Practices as They Relate to Risk Management</w:t>
      </w:r>
    </w:p>
    <w:p>
      <w:pPr>
        <w:spacing w:after="0" w:line="22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Oil States’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Oil States’ compensation strategies are designed to encourage company growth and appropriate risk taking but not to encourage excessive risk taking. Oil States’ Compensation Committee retains discretion with respect to the compensation packages of its named executive officers. Compensation strategies are designed so as not to encourage management to take actions that could have a material adverse effect on Oil States in the long-run to simply achieve a specific short-term goal. Oil States also attempts to design the compensation program for its larger general employee population so that it does not inappropriately incentivize Oil States’ employees to take unnecessary risks in their day to day activities. Oil States recognizes, however, that there are trade-offs and that it can be difficult in specific situations to maintain the appropriate balance. As such, Oil States continues to evaluate its programs with a view to insuring they do not become materially imbalanced one way or the other.</w:t>
      </w:r>
    </w:p>
    <w:p>
      <w:pPr>
        <w:spacing w:after="0" w:line="1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Oil States’ compensation arrangements contain certain design elements that are intended to minimize the incentive for taking unwarranted risk to achieve short-term, unsustainable results. Those elements include a maximum amount that can be earned under the annual incentive cash compensation and performance based equity award programs.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08" w:name="page109"/>
    <w:bookmarkEnd w:id="108"/>
    <w:p>
      <w:pPr>
        <w:ind w:right="80" w:firstLine="324"/>
        <w:spacing w:after="0" w:line="277" w:lineRule="auto"/>
        <w:rPr>
          <w:sz w:val="20"/>
          <w:szCs w:val="20"/>
          <w:color w:val="auto"/>
        </w:rPr>
      </w:pPr>
      <w:r>
        <w:rPr>
          <w:rFonts w:ascii="Arial" w:cs="Arial" w:eastAsia="Arial" w:hAnsi="Arial"/>
          <w:sz w:val="18"/>
          <w:szCs w:val="18"/>
          <w:color w:val="auto"/>
        </w:rPr>
        <w:t>In combination with Oil States’ risk-management practices, Oil States does not believe that risks arising from its compensation policies and practices for its employees, including its named executive officers, are reasonably likely to have a material adverse effect on Oil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660" w:hanging="652"/>
        <w:spacing w:after="0" w:line="26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—Base salary is the guaranteed element of an executive’s direct compensation and is intended to provide a foundation for a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compensation opportunity for the executive. The Oil States Compensation Committee reviews each executive’s base salary annually. Executive officer base salaries are determined after an evaluation that considers the executive’s prior experience and breadth of knowledge and which also considers benchmark data from the peer group companies and other similarly sized companies in businesses comparable to Oil States, Oil States’ and the executive’s performance, and any significant changes in the executive’s responsibilities. The Oil States Compensation Committee considers all these factors together plus overall industry conditions and retention risks and makes a subjective determination on base salary adjustments. Effective February 25, 2013, the Oil States Compensation Committee approved certain changes to the base salary rates of the Named Executive Officers (other than Mr. Steininger). Specifically, Mr. Dodson’s base salary was increased 3.8% to $415,000; Mr. Green’s base salary was increased 4.6% to C$460,000; and Mr. McCann’s base salary was increased 4.5% to A$405,000. Base salaries were increased in 2013 based on a number of factors including inflationary trends, the growth of Oil States, retention risks, individual performance and in recognition of the strong performance of Oil States’ stock which was in excess of one year, three year and ten year comparative performance of the industry peer group. Mr. Dodson received a raise of 12.1% to $465,000 effective December 9, 2013 in connection with his promotion to Executive Vice President, Accommodations.</w:t>
      </w:r>
    </w:p>
    <w:p>
      <w:pPr>
        <w:spacing w:after="0" w:line="18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Cindy B. Taylor, President and Chief Executive Officer of Oil States, provides the Oil States Compensation Committee with input regarding the performance of other Oil States executives and makes compensation recommendations with respect to these individuals. While considering her recommendations, the Oil States Compensation Committee makes an independent judgment with respect to compensation levels for each of Mrs. Taylor’s direct reports.</w:t>
      </w:r>
    </w:p>
    <w:p>
      <w:pPr>
        <w:spacing w:after="0" w:line="187" w:lineRule="exact"/>
        <w:rPr>
          <w:sz w:val="20"/>
          <w:szCs w:val="20"/>
          <w:color w:val="auto"/>
        </w:rPr>
      </w:pPr>
    </w:p>
    <w:p>
      <w:pPr>
        <w:ind w:left="660" w:right="60" w:hanging="652"/>
        <w:spacing w:after="0" w:line="279"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Annual Cash Incentive Compensation</w:t>
      </w:r>
      <w:r>
        <w:rPr>
          <w:rFonts w:ascii="Arial" w:cs="Arial" w:eastAsia="Arial" w:hAnsi="Arial"/>
          <w:sz w:val="17"/>
          <w:szCs w:val="17"/>
          <w:color w:val="auto"/>
        </w:rPr>
        <w:t>—Oil States’ Annual Incentive Compensation Plan (“AICP”) is performance based and provides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direct financial incentives in the form of annual cash bonuses based on total Oil States and business unit performance. Annual incentive awards are linked to the achievement of pre-determined Oil States-wide and business unit quantitative performance goals and are designed to place a significant portion of the executive’s total compensation at risk. The purpose of the AICP is to:</w:t>
      </w:r>
    </w:p>
    <w:p>
      <w:pPr>
        <w:spacing w:after="0" w:line="171" w:lineRule="exact"/>
        <w:rPr>
          <w:rFonts w:ascii="Arial" w:cs="Arial" w:eastAsia="Arial" w:hAnsi="Arial"/>
          <w:sz w:val="17"/>
          <w:szCs w:val="17"/>
          <w:color w:val="auto"/>
        </w:rPr>
      </w:pPr>
    </w:p>
    <w:p>
      <w:pPr>
        <w:ind w:left="2600" w:hanging="647"/>
        <w:spacing w:after="0"/>
        <w:tabs>
          <w:tab w:leader="none" w:pos="2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create stockholder value;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provide focus on the attainment of annual goals that lead to long-term success of Oil States;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provide annual performance-based cash incentive compensation;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motivate achievement of critical annual operating performance metrics; and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motivate employees to continually improve Oil States-wide and business unit performance.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09" w:name="page110"/>
    <w:bookmarkEnd w:id="109"/>
    <w:p>
      <w:pPr>
        <w:ind w:right="40" w:firstLine="324"/>
        <w:spacing w:after="0" w:line="268" w:lineRule="auto"/>
        <w:rPr>
          <w:sz w:val="20"/>
          <w:szCs w:val="20"/>
          <w:color w:val="auto"/>
        </w:rPr>
      </w:pPr>
      <w:r>
        <w:rPr>
          <w:rFonts w:ascii="Arial" w:cs="Arial" w:eastAsia="Arial" w:hAnsi="Arial"/>
          <w:sz w:val="17"/>
          <w:szCs w:val="17"/>
          <w:color w:val="auto"/>
        </w:rPr>
        <w:t>The AICP is flexible and provides the Oil States Compensation Committee the discretion annually to set goals and objectives with input from management that it believes are consistent with creating stockholder value. The goals and objectives generally include growth objectives, operating objectives, safety goals and other measures that the board of directors of Oil States believes will drive financial performance. Under the AICP, an incentive target percentage is established for each executive officer based upon, among other factors, the Oil States Compensation Committee’s review of publically available competitive compensation data for that position, level of responsibility and ability to impact Oil States’ success. The AICP recognizes market differences in incentive award opportunities between organizational levels. Achieving results which exceed a minimum, or threshold, level of performance triggers an AICP payout. Performance results at or below the threshold (i.e. achieving a percentage ranging from 75% to 85% of the related AICP performance objective or less) will result in no AICP award. Targeted performance is earned when an executive achieves 100% of their AICP performance objective(s). Overachievement (i.e. achieving a percentage ranging from 120% to 125% of the related AICP performance objective) is the performance level at which incentive compensation is maximized. If the performance results fall between the threshold level and the target level, 0-100% of the AICP target amount will be paid out proportionately to the distance such performance results fall between the two levels. If the performance results fall between the target level and the overachieve level, 100-200% of the AICP target amount will be paid out proportionately to the distance such performance results fall between the two levels. The 2013 award opportunities, expressed as a percentage of eligible AICP earnings (i.e. annual base salary), for the Named Executive Officers are outlined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Threshold</w:t>
            </w:r>
          </w:p>
        </w:tc>
        <w:tc>
          <w:tcPr>
            <w:tcW w:w="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Target</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Overachievement</w:t>
            </w:r>
          </w:p>
        </w:tc>
        <w:tc>
          <w:tcPr>
            <w:tcW w:w="160" w:type="dxa"/>
            <w:vAlign w:val="bottom"/>
          </w:tcPr>
          <w:p>
            <w:pPr>
              <w:spacing w:after="0"/>
              <w:rPr>
                <w:sz w:val="20"/>
                <w:szCs w:val="20"/>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7560" w:type="dxa"/>
            <w:vAlign w:val="bottom"/>
            <w:gridSpan w:val="2"/>
          </w:tcPr>
          <w:p>
            <w:pPr>
              <w:spacing w:after="0" w:line="216" w:lineRule="exact"/>
              <w:rPr>
                <w:sz w:val="20"/>
                <w:szCs w:val="20"/>
                <w:color w:val="auto"/>
              </w:rPr>
            </w:pPr>
            <w:r>
              <w:rPr>
                <w:rFonts w:ascii="Arial" w:cs="Arial" w:eastAsia="Arial" w:hAnsi="Arial"/>
                <w:sz w:val="16"/>
                <w:szCs w:val="16"/>
                <w:color w:val="auto"/>
              </w:rPr>
              <w:t>Frank C. Steininger</w:t>
            </w:r>
            <w:r>
              <w:rPr>
                <w:rFonts w:ascii="Arial" w:cs="Arial" w:eastAsia="Arial" w:hAnsi="Arial"/>
                <w:sz w:val="25"/>
                <w:szCs w:val="25"/>
                <w:color w:val="auto"/>
                <w:vertAlign w:val="superscript"/>
              </w:rPr>
              <w:t>4</w:t>
            </w: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 R. Green</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Peter L. McCann</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bl>
    <w:p>
      <w:pPr>
        <w:spacing w:after="0" w:line="200" w:lineRule="exact"/>
        <w:rPr>
          <w:sz w:val="20"/>
          <w:szCs w:val="20"/>
          <w:color w:val="auto"/>
        </w:rPr>
      </w:pPr>
    </w:p>
    <w:p>
      <w:pPr>
        <w:spacing w:after="0" w:line="20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As shown in the table above, the maximum AICP overachievement percentage is limited to twice the target level percentage which helps mitigate the potential for excessive risk taking. In addition, targets and goals are adjusted to incorporate material acquisitions which also limits excessive risk taking.</w:t>
      </w:r>
    </w:p>
    <w:p>
      <w:pPr>
        <w:spacing w:after="0" w:line="12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At the beginning of each year, the Oil States Compensation Committee is responsible for establishing the AICP performance objectives based on recommendations by the Chief Executive Officer. The Oil States Compensation Committee sets performance goals that are measurable, achievable and quantifiable. At the end of each year, the Oil States Compensation Committee reviews the performance results of Oil States and the incentive awards to be paid to each executive officer and to all participants in the AICP, as a group. In its discretion, the Oil States Compensation Committee will interpret the AICP and has authority to make adjustments in individual, business unit or Oil States-wide results in its discretion. The Oil States Compensation Committee did not make any discretionary changes to the 2013 incentive payments to the Named Executive Officers.</w:t>
      </w:r>
    </w:p>
    <w:p>
      <w:pPr>
        <w:spacing w:after="0" w:line="17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Performance measures are selected and weighted by management and the Oil States Compensation Committee annually to give emphasis to performance criteria for which participants have influence. The Oil States Compensation Committee has established “earnings before interest, taxes, depreciation and amortization” (“EBITDA”) as the primary corporate financial performance objective for each executive officer. In addition, a portion of the incentive potential for certain participants was based on return on investment (“ROI”) and, for certain of the executives, none of whom were Named Executive Officers, other strategic goals as determined appropriate for the executives’ areas of responsibilities. Other strategic goals and objectives varied and included measures such as safety performance. Performance goals may be similar for all executives or may be different to reflect more appropriate measures of corporate and business unit performance. The EBITDA and ROI targets are generally set based on Oil States or business unit annual budgeted financial statements which are approved by the board of directors of Oil States. The relative percentages of EBITDA and ROI used to evaluate Oil States’ executives are based upon the nature of each executive’s role in Oil States and how that role relates to overall goals and performance of Oil States. For example, for those divisions which have ROI criteria, executives responsible for the operation of those specific divisions or who have a significant impact over investment decisions with respect to such businesses have business-based or Oil States’ ROI as part of their performance measure if achievement of such measure is material to Oil States performance. Executives who have less control over segment-based or Oil States’ ROI, have performance measures more heavily weighted towards EBITDA. Oil States believes the use of tailored performance goals, which are closely aligned with drivers of Oil States’ success, furthers its compensation objective of reinforcing the relationship between strong individual performance of executives and overall business performance. Individual objectives are tailored to match areas of direct responsibility and impact on Oil States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See Named Executive Officers table above for more information about Mr. Steininger.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0" w:name="page111"/>
    <w:bookmarkEnd w:id="110"/>
    <w:p>
      <w:pPr>
        <w:ind w:right="120" w:firstLine="324"/>
        <w:spacing w:after="0" w:line="255" w:lineRule="auto"/>
        <w:rPr>
          <w:sz w:val="20"/>
          <w:szCs w:val="20"/>
          <w:color w:val="auto"/>
        </w:rPr>
      </w:pPr>
      <w:r>
        <w:rPr>
          <w:rFonts w:ascii="Arial" w:cs="Arial" w:eastAsia="Arial" w:hAnsi="Arial"/>
          <w:sz w:val="18"/>
          <w:szCs w:val="18"/>
          <w:color w:val="auto"/>
        </w:rPr>
        <w:t>For the Named Executive Officers, only EBITDA and ROI performance measures are used to determine AICP bonuses. For 2013, Mr. Dodson had 90% of his incentive compensation based on Oil States’ EBITDA and 10% of his incentive compensation based on Oil States’ ROI. Mr. Green’s incentive compensation was based 10% on Oil States’ EBITDA with the remainder tied to worldwide Accommodations’ EBITDA. Mr. McCann’s incentive compensation was based 100% on our Australian Accommodations’ EBITDA. Oil States’ EBITDA and pretax ROI targets, established in February 2013 based on Oil States’ annual operating plan, were $870 million and 15.4%, respectively. The EBITDA target for 2013 represented a 7.1% increase over 2012 actual results and the ROI target decreased from 16.5% in 2012 to 15.4% in 2013. Mr. Steininger held no position at and received no compensation from Oil States in 2013.</w:t>
      </w:r>
    </w:p>
    <w:p>
      <w:pPr>
        <w:spacing w:after="0" w:line="18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the end of each year, the Oil States Compensation Committee reviews the performance results of Oil States and the total incentive awards to be paid to each executive officer based on such officer’s success in achieving the AICP performance objectives.</w:t>
      </w:r>
    </w:p>
    <w:p>
      <w:pPr>
        <w:spacing w:after="0" w:line="1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a consolidated basis, Oil States achieved 167% of its targets for 2013. As a result, all executive officers received incentive plan payments for 2013 performance, reflecting, in large part, Oil States’ and most of its businesses’ strong overall performance versus budget and the profitable sale of the tubular services segment. These incentive plan payments under the AICP varied based upon the level of Oil States and business unit achievement of the related goals and objectives. Seven of ten AICP target groupings of Oil States, for AICP calculation purposes, including the consolidated group, exceeded their 2013 target EBITDA objectives. Mr. Dodson received a bonus above target in 2013. Messrs. Green and McCann received bonuses above the threshold level but below the target level in 2013. Each of the Named Executive Officers for the fiscal year ended December 31, 2013, received the following payments in February 2014 under the AICP for fiscal 2013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of Eligible</w:t>
            </w:r>
          </w:p>
        </w:tc>
      </w:tr>
      <w:tr>
        <w:trPr>
          <w:trHeight w:val="234"/>
        </w:trPr>
        <w:tc>
          <w:tcPr>
            <w:tcW w:w="4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AICP Award ($)</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AICP Earnings</w:t>
            </w:r>
          </w:p>
        </w:tc>
        <w:tc>
          <w:tcPr>
            <w:tcW w:w="16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447,047</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4860" w:type="dxa"/>
            <w:vAlign w:val="bottom"/>
          </w:tcPr>
          <w:p>
            <w:pPr>
              <w:spacing w:after="0" w:line="216" w:lineRule="exact"/>
              <w:rPr>
                <w:sz w:val="20"/>
                <w:szCs w:val="20"/>
                <w:color w:val="auto"/>
              </w:rPr>
            </w:pPr>
            <w:r>
              <w:rPr>
                <w:rFonts w:ascii="Arial" w:cs="Arial" w:eastAsia="Arial" w:hAnsi="Arial"/>
                <w:sz w:val="14"/>
                <w:szCs w:val="14"/>
                <w:color w:val="auto"/>
              </w:rPr>
              <w:t>Frank C. Steininger</w:t>
            </w:r>
            <w:r>
              <w:rPr>
                <w:rFonts w:ascii="Arial" w:cs="Arial" w:eastAsia="Arial" w:hAnsi="Arial"/>
                <w:sz w:val="25"/>
                <w:szCs w:val="25"/>
                <w:color w:val="auto"/>
                <w:vertAlign w:val="superscript"/>
              </w:rPr>
              <w:t>(1)</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Ron R. Green</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269,685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Peter L. McCann</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193,291</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187" w:lineRule="exact"/>
        <w:rPr>
          <w:sz w:val="20"/>
          <w:szCs w:val="20"/>
          <w:color w:val="auto"/>
        </w:rPr>
      </w:pPr>
    </w:p>
    <w:p>
      <w:pPr>
        <w:ind w:left="580" w:hanging="248"/>
        <w:spacing w:after="0"/>
        <w:tabs>
          <w:tab w:leader="none" w:pos="5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As described above, Mr. Steininger was not employed by Oil States during 2013 and, accordingly, did not participate in the AICP for fiscal 2013.</w:t>
      </w:r>
    </w:p>
    <w:p>
      <w:pPr>
        <w:spacing w:after="0" w:line="236" w:lineRule="exact"/>
        <w:rPr>
          <w:rFonts w:ascii="Arial" w:cs="Arial" w:eastAsia="Arial" w:hAnsi="Arial"/>
          <w:sz w:val="17"/>
          <w:szCs w:val="17"/>
          <w:color w:val="auto"/>
        </w:rPr>
      </w:pPr>
    </w:p>
    <w:p>
      <w:pPr>
        <w:ind w:left="340" w:right="320" w:hanging="332"/>
        <w:spacing w:after="0" w:line="264"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Long-term Incentives</w:t>
      </w:r>
      <w:r>
        <w:rPr>
          <w:rFonts w:ascii="Arial" w:cs="Arial" w:eastAsia="Arial" w:hAnsi="Arial"/>
          <w:sz w:val="18"/>
          <w:szCs w:val="18"/>
          <w:color w:val="auto"/>
        </w:rPr>
        <w:t>—Oil States makes certain stock-based awards under its 2001 Equity Participation Plan, which has been approved by Oil States'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better align the interests of executive officers with those of stockholders and to provide retention incentives. Specifically, the plan’s purposes are to:</w:t>
      </w:r>
    </w:p>
    <w:p>
      <w:pPr>
        <w:spacing w:after="0" w:line="181" w:lineRule="exact"/>
        <w:rPr>
          <w:rFonts w:ascii="Arial" w:cs="Arial" w:eastAsia="Arial" w:hAnsi="Arial"/>
          <w:sz w:val="18"/>
          <w:szCs w:val="18"/>
          <w:color w:val="auto"/>
        </w:rPr>
      </w:pPr>
    </w:p>
    <w:p>
      <w:pPr>
        <w:ind w:left="1300" w:right="740" w:hanging="644"/>
        <w:spacing w:after="0" w:line="277" w:lineRule="auto"/>
        <w:tabs>
          <w:tab w:leader="none" w:pos="130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provide an additional incentive for executives to further the growth, development and financial success of Oil States by personally benefiting through ownership of Oil States’ stock and/or rights; and</w:t>
      </w:r>
    </w:p>
    <w:p>
      <w:pPr>
        <w:spacing w:after="0" w:line="170" w:lineRule="exact"/>
        <w:rPr>
          <w:rFonts w:ascii="Arial" w:cs="Arial" w:eastAsia="Arial" w:hAnsi="Arial"/>
          <w:sz w:val="18"/>
          <w:szCs w:val="18"/>
          <w:color w:val="auto"/>
        </w:rPr>
      </w:pPr>
    </w:p>
    <w:p>
      <w:pPr>
        <w:ind w:left="1300" w:right="100" w:hanging="644"/>
        <w:spacing w:after="0" w:line="342" w:lineRule="auto"/>
        <w:tabs>
          <w:tab w:leader="none" w:pos="130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enable Oil States to obtain and retain the services of executives considered essential to the long term success of Oil States by offering them an opportunity to own stock in Oil States and/or rights which will reflect the growth, development and financial success of Oil States.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Oil States' 2001 Equity Participation Plan provides for the grant of any combination of:</w:t>
      </w:r>
    </w:p>
    <w:p>
      <w:pPr>
        <w:spacing w:after="0" w:line="225"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deferred stock;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 payments or phantom stock awards.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1" w:name="page112"/>
    <w:bookmarkEnd w:id="111"/>
    <w:p>
      <w:pPr>
        <w:ind w:right="20" w:firstLine="324"/>
        <w:spacing w:after="0" w:line="270" w:lineRule="auto"/>
        <w:rPr>
          <w:sz w:val="20"/>
          <w:szCs w:val="20"/>
          <w:color w:val="auto"/>
        </w:rPr>
      </w:pPr>
      <w:r>
        <w:rPr>
          <w:rFonts w:ascii="Arial" w:cs="Arial" w:eastAsia="Arial" w:hAnsi="Arial"/>
          <w:sz w:val="17"/>
          <w:szCs w:val="17"/>
          <w:color w:val="auto"/>
        </w:rPr>
        <w:t>Under Oil States' 2001 Equity Participation Plan, Oil States has historically granted nonqualified stock options and time-vested restricted stock awards. Oil States amended the 2001 Equity Participation Plan on March 31, 2009, to provide for minimum vesting periods of one year for performance based awards and three years for tenure based awards, except for a small percentage of the authorized shares available for awards under the 2001 Equity Participation Plan. As a result of this amendment, vesting may occur earlier than the minimum vesting periods with respect to no more than 10% of shares cumulatively authorized under the 2001 Equity Participation Plan. Option lives range from six to ten years. Options are awarded at the NYSE’s closing price of Oil States’ common stock on the date of the grant, or the last preceding trading day if the award date is a date when markets are closed (“NYSE Closing Price”). Restricted stock awards, which are valued at the NYSE Closing Price, generally vest over a four year period at a rate of 25% per year; however, in special situations the Oil States Compensation Committee has approved awards with shorter vesting periods. The Oil States Compensation Committee has never granted options with an exercise price that is less than the NYSE Closing Price on the grant date.</w:t>
      </w:r>
    </w:p>
    <w:p>
      <w:pPr>
        <w:spacing w:after="0" w:line="182" w:lineRule="exact"/>
        <w:rPr>
          <w:sz w:val="20"/>
          <w:szCs w:val="20"/>
          <w:color w:val="auto"/>
        </w:rPr>
      </w:pPr>
    </w:p>
    <w:p>
      <w:pPr>
        <w:jc w:val="both"/>
        <w:ind w:right="460" w:firstLine="324"/>
        <w:spacing w:after="0" w:line="342" w:lineRule="auto"/>
        <w:rPr>
          <w:sz w:val="20"/>
          <w:szCs w:val="20"/>
          <w:color w:val="auto"/>
        </w:rPr>
      </w:pPr>
      <w:r>
        <w:rPr>
          <w:rFonts w:ascii="Arial" w:cs="Arial" w:eastAsia="Arial" w:hAnsi="Arial"/>
          <w:sz w:val="16"/>
          <w:szCs w:val="16"/>
          <w:color w:val="auto"/>
        </w:rPr>
        <w:t>Oil States' 2001 Equity Participation Plan prohibits repricing or replacing underwater stock options or canceling or effecting a cash buyout of stock options without the approval of Oil States’ stockholders. Effective February 19, 2013, Oil States amended its 2001 Equity Participation Plan as follows:</w:t>
      </w:r>
    </w:p>
    <w:p>
      <w:pPr>
        <w:spacing w:after="0" w:line="124" w:lineRule="exact"/>
        <w:rPr>
          <w:sz w:val="20"/>
          <w:szCs w:val="20"/>
          <w:color w:val="auto"/>
        </w:rPr>
      </w:pPr>
    </w:p>
    <w:p>
      <w:pPr>
        <w:ind w:left="980" w:hanging="324"/>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maximum value of performance awards to any participant in a calendar year is limited to $4,000,000;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Options forfeited or cancelled are not available to be “recycled” and awarded again;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option agreement may not be cancelled or amended in exchange for cash or another equity award;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Loans from Oil States to plan participants are not permitted;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Dividend equivalents are not permitted to be credited to option awards and, for other awards, are not payable until the underlying deferred stock or performance award vests; and</w:t>
      </w:r>
    </w:p>
    <w:p>
      <w:pPr>
        <w:spacing w:after="0" w:line="170" w:lineRule="exact"/>
        <w:rPr>
          <w:rFonts w:ascii="Arial" w:cs="Arial" w:eastAsia="Arial" w:hAnsi="Arial"/>
          <w:sz w:val="18"/>
          <w:szCs w:val="18"/>
          <w:color w:val="auto"/>
        </w:rPr>
      </w:pPr>
    </w:p>
    <w:p>
      <w:pPr>
        <w:ind w:left="980" w:right="240" w:hanging="324"/>
        <w:spacing w:after="0" w:line="264"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Oil States Compensation Committee may delegate to the Chief Executive Officer the right to grant awards under the 2001 Equity Participation Plan to any person who is not subject to Section 16 of the Exchange Act subject to conditions and restrictions that the Oil States Compensation Committee determines.</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Oil States believes these changes to its 2001 Equity Participation Plan are consistent with “best practices” for equity plans for publicly traded companies. In determining appropriate awards, the Oil States Compensation Committee annually reviews each executive’s past performance and experience, his or her position and ability to contribute to the future success and growth of Oil States, time in the current job, base compensation and competitive market data. The Oil States Compensation Committee also takes into account the risk of losing the executive to other employment opportunities and the value and potential for appreciation in Oil States’ stock. The Oil States Compensation Committee also takes into consideration that, unlike some benchmark companies, Oil States has no defined benefit retirement plan nor any supplemental executive retirement benefits or similar arrangements. The Oil States Compensation Committee believes that stock options, restricted stock grants and, beginning in 2012, performance based and phantom stock, along with significant vesting requirements, are an effective method of reinforcing the long-term nature of Oil States’ business and creating retention incentives. In addition, grants of stock options, restricted stock and performance based and phantom stock awards reinforce alignment with stockholder interests. The Oil States Compensation Committee considers the foregoing factors and any other relevant factors and makes a subjective determination with respect to awarding equity based compensation to its executive officers.</w:t>
      </w:r>
    </w:p>
    <w:p>
      <w:pPr>
        <w:spacing w:after="0" w:line="18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Higher-level positions will generally have a greater percentage of their total compensation based on longer-term incentives which are performance based. The size of long-term incentive grants will vary from year to year and reflects a variety of factors including, among others, competitive market practices, retention priorities, total previous grants, current stock valuation, estimated future charges to earnings, and individual, business unit and company-wide performance. The Oil States Compensation Committee determines the award level for executives, if any, on an annual basis usually at its February meeting each year.</w:t>
      </w:r>
    </w:p>
    <w:p>
      <w:pPr>
        <w:spacing w:after="0" w:line="18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For 2013, Oil States incorporated a combination of nonqualified stock options, restricted stock awards, deferred stock awards, performance based awards and phantom stock awards as the primary executive long-term incentive and retention tool for the Named Executive Officers. Restricted stock and deferred stock awards offers the additional advantages of potentially reducing overall Oil States stock dilution relative to other awards, while improving Oil States’ executive retention prospects in a very competitive labor market. Oil States recognizes that options alone may not have adequate retention value in an industry that has historically been cyclical in nature. Oil States believes the introduction of performance based and phantom stock equity awards will add an incentive for continued outstanding performance, enhance Oil States’ ability to attract and retain talented executives in an increasingly competitive marketplace and benefit stockholder returns. The Oil States Compensation Committee weighs the cost of these grants with their potential benefit as an incentive, retention and compensation tool.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12" w:name="page113"/>
    <w:bookmarkEnd w:id="112"/>
    <w:p>
      <w:pPr>
        <w:ind w:right="120" w:firstLine="324"/>
        <w:spacing w:after="0" w:line="259" w:lineRule="auto"/>
        <w:rPr>
          <w:sz w:val="20"/>
          <w:szCs w:val="20"/>
          <w:color w:val="auto"/>
        </w:rPr>
      </w:pPr>
      <w:r>
        <w:rPr>
          <w:rFonts w:ascii="Arial" w:cs="Arial" w:eastAsia="Arial" w:hAnsi="Arial"/>
          <w:sz w:val="18"/>
          <w:szCs w:val="18"/>
          <w:color w:val="auto"/>
        </w:rPr>
        <w:t>In administering the long-term incentive equity plan, the Oil States Compensation Committee is sensitive to the potential for dilution of future earnings per share. For this reason and because of other compensation design considerations, the Oil States Compensation Committee focuses the long-term incentive plan on employees who will have the greatest impact on the strategic direction and long-term results of Oil States by virtue of their senior roles and responsibilities.</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Performance Based Awards. </w:t>
      </w:r>
      <w:r>
        <w:rPr>
          <w:rFonts w:ascii="Arial" w:cs="Arial" w:eastAsia="Arial" w:hAnsi="Arial"/>
          <w:sz w:val="18"/>
          <w:szCs w:val="18"/>
          <w:color w:val="auto"/>
        </w:rPr>
        <w:t>The performance based awards represent the right to receive shares of Oil States’ common stock, subject to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achieving performance objectives. Because of tax considerations in Canada and Australia, Mr. Dodson is the only named executive officer to have received a performance based award in the past. The performance based awards do not entitle their recipient to the right to vote, receive dividends or to any other privileges or rights of a stockholder of Oil States until such time as shares of Oil States’ common stock are delivered to the recipient following vesting of the performance based awards.</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performance based awards will vest contingent upon the Named Executive Officer’s continued employment with Oil States through the specified vesting date, and Oil States’ achievement of specified performance objectives during the performance period commencing on January 1st of the three year performance period and ending December 31st of the third year in the three year performance period. Depending on the level of performance achieved, Named Executive Officers may earn between 0% and 200% of the target number of shares of Oil States stock covered by the award, and the number of earned shares will typically be paid to the Named Executive Officer within two and a half months following the end of the performance period. The performance based awards made in February 2012 and February 2013 have a performance criteria that will be measured based upon Oil States’ achievement levels of average after-tax annual return on invested capital “ROIC” for the applicable three year performance period.</w:t>
      </w:r>
    </w:p>
    <w:p>
      <w:pPr>
        <w:spacing w:after="0" w:line="16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If the average annual after-tax ROIC over the three year performance period is less than or equal to 6% (the “Entry Level”), 100% of the performance awards will be forfeited. If the performance measure is equal to 9.5% (the “Target Level”), 100% of the performance awards will vest. If the performance measure is equal to or greater than 13%, (the “Over-Achieve Level”), 200% of the performance awards will vest. If the performance measure falls between the Entry Level and the Target Level, 0—100% of the performance awards will vest proportionately to the distance such performance measure falls between the two levels. If the performance measure falls between the Target Level and the Over-Achieve Level, 100—200% of the performance awards will vest proportionately to the distance such performance measure falls between the two levels. Upon certain events, such as a change in control or specified employment termination scenarios, the vesting of the performance awards may be accelerated.</w:t>
      </w:r>
    </w:p>
    <w:p>
      <w:pPr>
        <w:spacing w:after="0" w:line="178"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i w:val="1"/>
          <w:iCs w:val="1"/>
          <w:color w:val="auto"/>
        </w:rPr>
        <w:t>Phantom Stock Awards</w:t>
      </w:r>
      <w:r>
        <w:rPr>
          <w:rFonts w:ascii="Arial" w:cs="Arial" w:eastAsia="Arial" w:hAnsi="Arial"/>
          <w:sz w:val="18"/>
          <w:szCs w:val="18"/>
          <w:color w:val="auto"/>
        </w:rPr>
        <w:t>. Oil States began awarding cash-settled phantom stock awards in 2012 under its phantom stock plan to certain executives in</w:t>
      </w:r>
      <w:r>
        <w:rPr>
          <w:rFonts w:ascii="Arial" w:cs="Arial" w:eastAsia="Arial" w:hAnsi="Arial"/>
          <w:sz w:val="18"/>
          <w:szCs w:val="18"/>
          <w:i w:val="1"/>
          <w:iCs w:val="1"/>
          <w:color w:val="auto"/>
        </w:rPr>
        <w:t xml:space="preserve"> </w:t>
      </w:r>
      <w:r>
        <w:rPr>
          <w:rFonts w:ascii="Arial" w:cs="Arial" w:eastAsia="Arial" w:hAnsi="Arial"/>
          <w:sz w:val="18"/>
          <w:szCs w:val="18"/>
          <w:color w:val="auto"/>
        </w:rPr>
        <w:t>Canada because these awards were more tax efficient for Oil States and the executive. Phantom stock awards made on February 19, 2013 totaled 30,314 shares and will vest 33.3% per year on the first, second and third anniversary of the award date. Each phantom stock award entitles the holder to the cash equivalent amount equal to a share of Oil States stock on the vesting date.</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Restricted Stock, Deferred Stock and Option Awards</w:t>
      </w:r>
      <w:r>
        <w:rPr>
          <w:rFonts w:ascii="Arial" w:cs="Arial" w:eastAsia="Arial" w:hAnsi="Arial"/>
          <w:sz w:val="17"/>
          <w:szCs w:val="17"/>
          <w:color w:val="auto"/>
        </w:rPr>
        <w:t>. Restricted stock awards in the amount of 5,500 restricted shares were made to Mr. Dodson on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19, 2013 at the then fair market value of $80.25 per restricted share. Stock option awards with respect to 4,000 shares of Oil States common stock were made to Mr. Dodson on February 19, 2013 that had an exercise price of $80.25 per share based on the NYSE Closing Price and that had a Black Scholes fair market value on the date of grant of $28.31 per option award. These awards will vest in four equal installments on each anniversary of the grant date (so that the 2013 awards will be 100% vested on February 19, 2017), provided the named executive officer remains an employee continuously from the date of grant through the applicable vesting date. Vesting of the awards may be accelerated upon the occurrence of certain events, as described in detail below under “—Potential Payments Upon Termination or Change in Control.” While a Named Executive Officer holds nonvested restricted shares, he or she is entitled to all the rights of ownership with respect to the shares, including the right to vote the shares and receive dividends thereon (except that any dividends or other distributions paid in any form other than cash shall be subject to forfeiture restrictions applicable to the underlying award). Deferred stock award recipients are not entitled to vote and do not accrue dividends or awards until they vest.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3" w:name="page114"/>
    <w:bookmarkEnd w:id="113"/>
    <w:p>
      <w:pPr>
        <w:ind w:right="160" w:firstLine="324"/>
        <w:spacing w:after="0" w:line="342" w:lineRule="auto"/>
        <w:rPr>
          <w:sz w:val="20"/>
          <w:szCs w:val="20"/>
          <w:color w:val="auto"/>
        </w:rPr>
      </w:pPr>
      <w:r>
        <w:rPr>
          <w:rFonts w:ascii="Arial" w:cs="Arial" w:eastAsia="Arial" w:hAnsi="Arial"/>
          <w:sz w:val="16"/>
          <w:szCs w:val="16"/>
          <w:color w:val="auto"/>
        </w:rPr>
        <w:t>Mr. Green received a grant of 15,000 shares of phantom stock in February 2013 which vests in three equal installments on each anniversary of the grant date. Mr. McCann received a deferred stock award of 6,000 shares in February 2013 which vests in four equal installments on each anniversary date.</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Stock option grants, restricted and deferred stock awards and performance based and phantom stock awards are expensed to comply with Financial Accounting Standards Board, Accounting Standards Codification, Topic 718, Compensation—Stock Compensation (“FASB ASC Topic 718—Stock Compensation”). There is no program, plan or practice to time the grant of stock options and award restricted stock to executives in coordination with the release of material non-public information. Except in special circumstances, equity grants are made to employees annually at the time of the February meeting of the board of directors of Oil States. Executive officers and directors are prohibited from trading options or any derivative type of contract related to Oil States’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229"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Employee benefits are designed to be broad based, competitive and to attract and retain employees. From time to time the Oil States Compensation Committee reviews plan updates and recommends that Oil States implement certain changes to existing plans or adopt new benefit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Oil States offers a standard range of health and welfare benefits to all employees including executives. These benefits include: medical, prescription drug, vision and dental coverages, life insurance, accidental death and dismemberment, long-term disability insurance, flexible spending accounts, employee assistance, business travel accident insurance and 529 college savings plans. Executive officers make the same contributions for the same type of coverage and receive the same level of benefit as any other employee for each form of coverage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Oil States does not offer a defined benefit retirement plan. Oil States does offer a defined contribution 401(k) retirement plan to substantially all of its U.S. employees. Participants may contribute from 1% to 75% of their base and cash incentive compensation (subject to IRS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 A similar defined contribution retirement plan is in place and available to Oil States’ Canadian employees, including Mr. Green. See “Canadian Retirement Savings Plan” below. In Australia, employers must contribute 9.25% of base salary, up to a capped limit of A$192,160, into an employee’s superannuation fund or savings account as part of the Government’s compulsory Superannuation Guarantee. The capped limit is indexed each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Oil States maintains a nonqualified deferred compensation plan (the “Deferred Compensation Plan”) that permits eligible employees and directors to elect to defer all or a part of their cash compensation (base and/or incentives) from Oil States until the termination of their status as an employee or director. Employees that participate in the Deferred Compensation Plan do not receive any additional compensation other than the employer match on compensation deferred equivalent to what would have been matched in Oil States’ 401(k) plan, absent certain IRS limitations. A deferral election may provide for deferring different forms or levels of compensation (base salary and/or incentive compensation) during the year. The Oil States Compensation Committee administers the Deferred Compensation Plan. Participating employees are eligible to receive from Oil States a matching deferral under the Deferred Compensation Plan that is intended to compensate them for contributions they could not receive from Oil States under the 401(k) plan due to the various limits imposed on 401(k) plans by U.S. federal income tax laws. Directors who elect to participate in the Deferred Compensation Plan do not receive any matching contributions.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4" w:name="page115"/>
    <w:bookmarkEnd w:id="114"/>
    <w:p>
      <w:pPr>
        <w:ind w:firstLine="324"/>
        <w:spacing w:after="0" w:line="290" w:lineRule="auto"/>
        <w:rPr>
          <w:sz w:val="20"/>
          <w:szCs w:val="20"/>
          <w:color w:val="auto"/>
        </w:rPr>
      </w:pPr>
      <w:r>
        <w:rPr>
          <w:rFonts w:ascii="Arial" w:cs="Arial" w:eastAsia="Arial" w:hAnsi="Arial"/>
          <w:sz w:val="16"/>
          <w:szCs w:val="16"/>
          <w:color w:val="auto"/>
        </w:rPr>
        <w:t>Participants in the Deferred Compensation Plan are able to invest contributions made to the Deferred Compensation Plan in investment funds selected by Oil States Retirement Plan Committee, which also mirror the 401(k) plan investment funds. Oil States’ percentage match on employee contributions vests in the same manner as in Oil States’ 401(k) plan. Employee contributions into the Deferred Compensation Plan are automatically vested and an employee can defer up to 75% of their salary and bonus compensation. Since the investment choices under the Deferred Compensation Plan are identical to the choices available under Oil States’ 401(k) Plan, no above market or preferential earnings are provided under the Deferred Compensation Plan. As such, no earnings on Deferred Compensation Plan amounts are reported in the Summary Compensation table. Oil States Retirement Plan Committee is composed of employees. The Oil States Compensation Committee has established a grantor trust to hold the amounts deferred under the Deferred Compensation Plan by Oil States’ officers and directors. All amounts deferred under the Deferred Compensation Plan remain subject to the claims of Oil States’ creditors.</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Allocation of net income (or net loss) in each participant’s account is divided into sub accounts to reflect each participant’s deemed investment designation in a particular fund(s). As of each valuation date, the net income (or net loss) of each fund is allocated among the corresponding sub accounts of the participants. Each sub account is credited with (or debited for) that portion of such net income (or net loss) due to the change in the value of each corresponding sub account from the prior valuation date.</w:t>
      </w:r>
    </w:p>
    <w:p>
      <w:pPr>
        <w:spacing w:after="0" w:line="187"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Generally, each participant in the Deferred Compensation Plan will receive (i) a lump sum distribution or installment payments (at the participant’s election) upon termination of the participant’s service with Oil States and its affiliates or (ii) a lump sum distribution upon a change of control (as defined in the 2001 Equity Participation Plan). For “Key Employees,” as defined in IRS regulations, distributions of deferrals made after 2004 are delayed at least six months. Any other withdrawals by the participant will be made in compliance with limitations imposed under Section 409A of the Internal Revenue Code.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Retirement Savings Plan</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described under the “Retirement Plans,” Oil States offers a defined contribution retirement plan to its Canadian employees. In Canada, Oil States contributes, on a matched basis, an amount up to 5% of each Canadian based, salaried employee’s (including Mr. Green) earnings (base salary plus annual incentive compensation) to the legislated maximum for a Deferred Profit Sharing Plan (DPSP—Maximum for 2013—$12,135). DPSP is a form of defined contribution retirement savings plan governed by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Contributions to the “Retirement Savings Plan” for Mr. Green (as with all of the Canadian based salaried employees) is subject to the annual maximum registered savings limit of C$23,820 in 2013 as set out in the Canadian Tax Act.</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Participation in the plan is voluntary and matching contributions start after 90 days of employment. Funds are paid by the company to the third party plan administrator and the funds are invested by the administrator on behalf of the employee in accordance with the employee’s investment direction from within a broad range of investment options. Apart from the annual contributions, any growth in the member’s account is dependent upon the investment decisions made by that individual. Oil States makes no investment decisions on behalf of the employee and has no obligations under the Retirement Savings Plan other than to remit the defined contributions to the plan administrator for subsequent deposit into member accounts and to periodically assess the roles and execution of services by the plan administrator.</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matching contributions noted above (5% employer based upon 6% from employee) are first directed into the tax deferred or registered plans as described above up to Revenue Canada annual limits. For certain employees who by virtue of compensation level would exceed these limits, contributions are then allocated to employee and employer accounts in a Non Registered Savings Plan (NRSP). This plan functions in a manner similar to Oil States’ Deferred Compensation Plan. The same basic principles of design and provision apply with the primary difference that the NRSP is annually taxable in regards to investment return.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Other Perquisites and Personal Benefits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Oil States generally does not offer any perquisites or other personal benefits to any executive with an aggregate value over $10,000. Some executives do have Oil States paid club memberships, which are used for business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2013, the Oil States Compensation Committee engaged Frederic W. Cook &amp; Co., Inc. (the “Consultant”) to provide independent advice on executive compensation matters. In 2013, the Consultant confirmed to the chair of the Oil States Compensation Committee certain industry compensation data provided by management and provided feedback regarding proposed compensation terms to the Committee. The Oil States Compensation Committee Chairman pre-approved the scope of the work to be performed by and the fee arrangement with the Consultant, which was based on agreed upon rates per hour. The Consultant’s engagement was limited to executive compensation projects for the Oil States Compensation Committee, and no other services were provided to Oil States or management. Fees paid to the Consultant in 2013 did not exceed $120,000.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States Executive Compensation Policies</w:t>
      </w:r>
    </w:p>
    <w:p>
      <w:pPr>
        <w:spacing w:after="0" w:line="229" w:lineRule="exact"/>
        <w:rPr>
          <w:sz w:val="20"/>
          <w:szCs w:val="20"/>
          <w:color w:val="auto"/>
        </w:rPr>
      </w:pPr>
    </w:p>
    <w:p>
      <w:pPr>
        <w:ind w:left="660" w:right="500" w:hanging="652"/>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Repricing Stock Options</w:t>
      </w:r>
      <w:r>
        <w:rPr>
          <w:rFonts w:ascii="Arial" w:cs="Arial" w:eastAsia="Arial" w:hAnsi="Arial"/>
          <w:sz w:val="18"/>
          <w:szCs w:val="18"/>
          <w:color w:val="auto"/>
        </w:rPr>
        <w:t>—Oil States’ practice is to price awards at the market price on the date of award. Oil States’ Equity Participation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any repricing of options without shareholders’ approval.</w:t>
      </w:r>
    </w:p>
    <w:p>
      <w:pPr>
        <w:spacing w:after="0" w:line="170" w:lineRule="exact"/>
        <w:rPr>
          <w:rFonts w:ascii="Arial" w:cs="Arial" w:eastAsia="Arial" w:hAnsi="Arial"/>
          <w:sz w:val="18"/>
          <w:szCs w:val="18"/>
          <w:color w:val="auto"/>
        </w:rPr>
      </w:pPr>
    </w:p>
    <w:p>
      <w:pPr>
        <w:ind w:left="660" w:right="40" w:hanging="652"/>
        <w:spacing w:after="0" w:line="259"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Securities Trading Policy</w:t>
      </w:r>
      <w:r>
        <w:rPr>
          <w:rFonts w:ascii="Arial" w:cs="Arial" w:eastAsia="Arial" w:hAnsi="Arial"/>
          <w:sz w:val="18"/>
          <w:szCs w:val="18"/>
          <w:color w:val="auto"/>
        </w:rPr>
        <w:t>—Oil States prohibits directors, officers and certain other managers from trading Oil States’ securities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or “tipping” others who may so trade on such information. In addition, the policy prohibits trading in Oil States’ securities without obtaining prior approval from Oil States’ Compliance Officer. Executive officers and directors are prohibited from trading options on any derivative type of contract related to Oil States’ stock.</w:t>
      </w:r>
    </w:p>
    <w:p>
      <w:pPr>
        <w:spacing w:after="0" w:line="186" w:lineRule="exact"/>
        <w:rPr>
          <w:rFonts w:ascii="Arial" w:cs="Arial" w:eastAsia="Arial" w:hAnsi="Arial"/>
          <w:sz w:val="18"/>
          <w:szCs w:val="18"/>
          <w:color w:val="auto"/>
        </w:rPr>
      </w:pPr>
    </w:p>
    <w:p>
      <w:pPr>
        <w:ind w:left="660" w:hanging="652"/>
        <w:spacing w:after="0" w:line="255"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—To date, Oil States has not adopted a formal clawback policy to recoup incentive based compensation upon the occurrence of 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restatement, misconduct or other specified events. However, the performance based awards granted to Oil States’ named executive officers as part of its 2013 long-term incentive compensation program do include language providing that the award may be cancelled and the officer may be required to repay Oil States for any realized gains to the extent required by applicable law. The Oil States Compensation Committee is currently evaluating the practical, administrative, and other implications of implementing and enforcing a clawback policy, and intends to adopt a clawback policy in compliance with the Dodd-Frank Wall Street Reform and Consumer Protection Act of 2010 once additional guidance is promulgated by the Securities and Exchange Commission.</w:t>
      </w:r>
    </w:p>
    <w:p>
      <w:pPr>
        <w:spacing w:after="0" w:line="189" w:lineRule="exact"/>
        <w:rPr>
          <w:rFonts w:ascii="Arial" w:cs="Arial" w:eastAsia="Arial" w:hAnsi="Arial"/>
          <w:sz w:val="18"/>
          <w:szCs w:val="18"/>
          <w:color w:val="auto"/>
        </w:rPr>
      </w:pPr>
    </w:p>
    <w:p>
      <w:pPr>
        <w:jc w:val="both"/>
        <w:ind w:left="660" w:right="100" w:hanging="652"/>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Executive Stock Ownership Guidelines and Holding Period</w:t>
      </w:r>
      <w:r>
        <w:rPr>
          <w:rFonts w:ascii="Arial" w:cs="Arial" w:eastAsia="Arial" w:hAnsi="Arial"/>
          <w:sz w:val="18"/>
          <w:szCs w:val="18"/>
          <w:color w:val="auto"/>
        </w:rPr>
        <w:t>—Effective February 16, 2007, Executive Stock Ownership Guidelines were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Oil States Compensation Committee to further align the interests of executives with the interests of stockholders and further promote Oil States’ commitment to sound corporate governance.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116" w:name="page117"/>
    <w:bookmarkEnd w:id="116"/>
    <w:p>
      <w:pPr>
        <w:ind w:right="60" w:firstLine="324"/>
        <w:spacing w:after="0" w:line="255" w:lineRule="auto"/>
        <w:rPr>
          <w:sz w:val="20"/>
          <w:szCs w:val="20"/>
          <w:color w:val="auto"/>
        </w:rPr>
      </w:pPr>
      <w:r>
        <w:rPr>
          <w:rFonts w:ascii="Arial" w:cs="Arial" w:eastAsia="Arial" w:hAnsi="Arial"/>
          <w:sz w:val="18"/>
          <w:szCs w:val="18"/>
          <w:color w:val="auto"/>
        </w:rPr>
        <w:t>The Executive Stock Ownership Guidelines are calculated based on a multiple of the executive’s base salary, which is then converted to a fixed number of shares. Once the ownership guideline is established for an executive and communicated, the executive has four years to attain the targeted level of ownership. An executive’s ownership guideline does not automatically change as a result of changes in his or her base salary or fluctuations in Oil States’ common stock price. However, the Oil States Compensation Committee may, from time to time, reevaluate and revise participants’ guidelines to incorporate these types of events. An executive’s stock ownership guideline may also increase because of a change in title. The ownership guidelines for the senior executives are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800" w:type="dxa"/>
            <w:vAlign w:val="bottom"/>
            <w:gridSpan w:val="3"/>
          </w:tcPr>
          <w:p>
            <w:pPr>
              <w:ind w:left="340"/>
              <w:spacing w:after="0"/>
              <w:rPr>
                <w:sz w:val="20"/>
                <w:szCs w:val="20"/>
                <w:color w:val="auto"/>
              </w:rPr>
            </w:pPr>
            <w:r>
              <w:rPr>
                <w:rFonts w:ascii="Arial" w:cs="Arial" w:eastAsia="Arial" w:hAnsi="Arial"/>
                <w:sz w:val="18"/>
                <w:szCs w:val="18"/>
                <w:b w:val="1"/>
                <w:bCs w:val="1"/>
                <w:color w:val="auto"/>
              </w:rPr>
              <w:t>Stock Ownership Level</w:t>
            </w:r>
          </w:p>
        </w:tc>
      </w:tr>
      <w:tr>
        <w:trPr>
          <w:trHeight w:val="432"/>
        </w:trPr>
        <w:tc>
          <w:tcPr>
            <w:tcW w:w="3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Position</w:t>
            </w:r>
          </w:p>
        </w:tc>
        <w:tc>
          <w:tcPr>
            <w:tcW w:w="3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Multiple of Salary</w:t>
            </w: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Executive Officers (Section 16)</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Vice Presidents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that counts toward satisfaction of the Executive Stock Ownership Guidelines includes:</w:t>
      </w:r>
    </w:p>
    <w:p>
      <w:pPr>
        <w:spacing w:after="0" w:line="225" w:lineRule="exact"/>
        <w:rPr>
          <w:sz w:val="20"/>
          <w:szCs w:val="20"/>
          <w:color w:val="auto"/>
        </w:rPr>
      </w:pPr>
    </w:p>
    <w:p>
      <w:pPr>
        <w:ind w:left="660" w:right="600" w:hanging="652"/>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Oil States shares owned outright (i.e. open market purchases) by the executive or his or her immediate family members residing in the same household;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Vested Oil States restricted stock awards that are issued as part of the executive’s long-term compensation;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Oil States shares acquired upon option exercise that the executive continues to hold;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Oil States shares held in Oil States’ Deferred Compensation Plan;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Oil States shares beneficially owned through a trust.</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Covered executives are required to achieve their Stock Ownership Guideline within four years from inclusion in the program and continue to maintain and hold the level of stock ownership as long as they are executive officers of Oil States. All covered executives are in compliance with the Stock Ownership Guidelines except for Mr. Green for whom the deadline has been extended due to the tax inefficiencies of issuing restricted stock in Canada. Once achieved, ownership of the guideline amount must be maintained for a holding period as long as the individual is subject to Executive Stock Ownership Guidelines.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Change of Control Agreements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Oil States maintains Executive Agreements with Messrs. Dodson and Green. The Executive Agreements are not considered employment agreements and the executives are employed “at will” by Oil States. These agreements provide protection in the event of a qualified termination, which is defined as an</w:t>
      </w:r>
    </w:p>
    <w:p>
      <w:pPr>
        <w:ind w:right="100" w:firstLine="8"/>
        <w:spacing w:after="0" w:line="281" w:lineRule="auto"/>
        <w:tabs>
          <w:tab w:leader="none" w:pos="21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involuntary termination of the executive officer by Oil States other than for “Cause” or (ii) either an involuntary termination other than for “Cause” or a voluntary termination by the executive for “Good Reason,” in each case, during a specified period of time after a corporate “Change of Control” (as defined in each Executive Agreement) of Oil States. The triggering events were selected due to the executive not having complete control of their circumstances.</w:t>
      </w:r>
    </w:p>
    <w:p>
      <w:pPr>
        <w:spacing w:after="0" w:line="2"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Executives are exercising control over their circumstances when they resign voluntarily without Good Reason or are terminated for Cause. As a result, these events do not trigger any payments.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If a qualified termination occurs other than during the 24-month period following a corporate Change of Control, the Executive Agreements provide</w:t>
      </w:r>
    </w:p>
    <w:p>
      <w:pPr>
        <w:spacing w:after="0" w:line="35" w:lineRule="exact"/>
        <w:rPr>
          <w:sz w:val="20"/>
          <w:szCs w:val="20"/>
          <w:color w:val="auto"/>
        </w:rPr>
      </w:pPr>
    </w:p>
    <w:p>
      <w:pPr>
        <w:ind w:right="200" w:firstLine="8"/>
        <w:spacing w:after="0" w:line="255" w:lineRule="auto"/>
        <w:tabs>
          <w:tab w:leader="none" w:pos="2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payments based on the executive officer’s base salary and target annual bonus amount, (ii) that all restrictions on restricted stock and phantom stock units will lapse and (iii) for continued health benefits for 24 months. Any vested, non-qualified stock options would expire after 3 months of the date of termination if not exercised prior to their expiration.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773" w:right="319" w:bottom="1440" w:gutter="0" w:footer="0" w:header="0"/>
        </w:sectPr>
      </w:pPr>
    </w:p>
    <w:bookmarkStart w:id="117" w:name="page118"/>
    <w:bookmarkEnd w:id="117"/>
    <w:p>
      <w:pPr>
        <w:ind w:right="60" w:firstLine="324"/>
        <w:spacing w:after="0" w:line="283" w:lineRule="auto"/>
        <w:rPr>
          <w:sz w:val="20"/>
          <w:szCs w:val="20"/>
          <w:color w:val="auto"/>
        </w:rPr>
      </w:pPr>
      <w:r>
        <w:rPr>
          <w:rFonts w:ascii="Arial" w:cs="Arial" w:eastAsia="Arial" w:hAnsi="Arial"/>
          <w:sz w:val="16"/>
          <w:szCs w:val="16"/>
          <w:color w:val="auto"/>
        </w:rPr>
        <w:t>The Change of Control provision in the Executive Agreement is intended to encourage continued employment by Oil States of its executive officers and to allow such executive to be in a position to provide assessment and advice to the board of directors of Oil States regarding any proposed Change of Control without concern that such executive might be unduly distracted by the uncertainties and risks created by a proposed Change of Control. Unlike “single trigger” plans that pay out immediately upon a change of control, Oil States’ agreement requires a “double trigger” (i.e. a change of control along with an involuntary loss of employment). If the qualified termination occurs during the 24-month period following a corporate Change of Control, the agreements provide for a lump sum payment to the executive officer based on the executive officer’s base salary and target annual incentive amount. In addition, with respect to such a qualified termination, the agreements provide that all restricted stock, performance shares, phantom stock units and options will become vested, that all restrictions on such awards will lapse and that outstanding stock options will remain exercisable for the remainder of their terms. The executive officer will also be entitled to (A) health benefits until the earlier of (i) 36 months and (ii) the date the executive begins receiving comparable benefits from a subsequent employer, (B) vesting of all contributions to our 401(k) plan and Deferred Compensation Plan to the extent not already vested and</w:t>
      </w:r>
    </w:p>
    <w:p>
      <w:pPr>
        <w:spacing w:after="0" w:line="6" w:lineRule="exact"/>
        <w:rPr>
          <w:sz w:val="20"/>
          <w:szCs w:val="20"/>
          <w:color w:val="auto"/>
        </w:rPr>
      </w:pPr>
    </w:p>
    <w:p>
      <w:pPr>
        <w:ind w:right="60" w:firstLine="8"/>
        <w:spacing w:after="0" w:line="252" w:lineRule="auto"/>
        <w:tabs>
          <w:tab w:leader="none" w:pos="2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during 2009 entitles him to be made whole for any excise taxes incurred with respect to severance payments that are in excess of the limits set forth under the Internal Revenue Code. The executive agreement entered into with Mr. Green does not contain excise tax gross up protection. See “Potential Payments Under Termination or Change of Control” in this Proxy Statement for additional disclosures of severance and Change of Control payments for Named Executive Officers.</w:t>
      </w:r>
    </w:p>
    <w:p>
      <w:pPr>
        <w:spacing w:after="0" w:line="194"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Executive Agreements have a term of three years and are extended automatically for one additional day on a daily basis for a period of three years, unless notice of non-extension is given by the board of directors of Oil States, in which case the agreement will terminate on the third anniversary of the date notice is given. To receive benefits under the Executive Agreement, the executive officer will be required to execute a release of all claims against Oil States. Certain terms of the Executive Agreements are summarized below.</w:t>
      </w:r>
    </w:p>
    <w:p>
      <w:pPr>
        <w:spacing w:after="0" w:line="18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Under the terms of each of their Executive Agreements, Messrs. Dodson and Green will be entitled to receive a lump sum payment equal to two times his base salary and target annual incentive amount if a qualified termination occurs during the 24-month period following a corporate Change of Control. If a qualified termination occurs other than during the 24-month period following a Change of Control, Messrs. Dodson and Green will be entitled to receive a lump sum payment equal to one year of his base salary and target annual incentive amount as well as other benefits described above.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Separation of SpinCo is not a change of control event and therefore will not entitle executive officers of Oil States to any change of control benefits.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Assignment Agreement</w:t>
      </w:r>
    </w:p>
    <w:p>
      <w:pPr>
        <w:spacing w:after="0" w:line="229"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On May 3, 2011, Oil States entered into an assignment letter with Mr. Green setting forth certain terms and conditions governing his temporary assignment in Sydney, Australia in connection with the integration of an acquisition and the expansion of Oil States' accommodations business in Australia. Mr. Green’s assignment ended in June 2012. During the term, the assignment letter provided that Mr. Green’s base salary may be paid in either Canadian or Australian currency, and that Mr. Green would be provided health, welfare, retirement plan, and workers compensation benefits that are comparable to the benefits he received prior to his temporary assignment. The assignment letter also provided Mr. Green with the following payments and allowances in addition to his base salary: (i) a monthly cost of living adjustment if the cost-of-living in Australia is determined to be higher than in Canada, including $810 per month to compensate him for additional food costs; (ii) payment for furnished rental housing in Australia within established guidelines; (iii) payment of reasonable expenses associated with maintaining Mr. Green’s residence in Canada, including association fees, property management, security, lawn care, routine house-keeping services and similar items; (iv) payment for the reasonable cost of utilities in Australia, including gas, water and electric; (v) tax equalization benefits to ensure Mr. Green does not pay more in taxes than he would if not on assignment, including the cost of an external tax consultant to assist in the preparation and processing of tax returns in both countries; (vi) payment of costs associated with obtaining necessary passports, visas and work permits; (vii) reimbursement of up to $5,000 to cover incidental relocation expenses; (viii) payment of costs for air shipment of personal effects and belongings; (ix) payment for business class airfare for Mr. Green to travel to Australia and for related meals, incidentals and excess baggage fees; (x) payment of temporary living expenses in Australia for up to 30 days, including meals and incidental expenses; (xi) use of an Oil States vehicle and payment of expenses associated with fuel and operating costs; (xii) provision of business class airfare to Canada and related travel expenses in the event of a death or serious illness in Mr. Green’s immediate family; and (xiii) repatriation benefits, including business-class airfare to Canada, reimbursement of relocation expenses up to $5,000 and a completion bonus. Severance benefits for Mr. Green are addressed in his Executive Agreement; however, upon termination of Mr. Green’s assignment in June 2012, all allowances and benefits provided for in the assignment letter ceased, and Oil States paid for the cost of airfare and reasonable expenses for him to return to Canada. During 2013, Mr. Green was paid a completion bonus of C$255,940 as a result of his foreign assignment.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Agreement with Our Chief Financial Officer</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Mr. Steininger has agreed to consult for the Company beginning in March 2014 pending the completion of the spin-off transaction. Following the completion of the spin-off transaction, Mr. Steininger is expected to be named the Senior Vice President, Chief Financial Officer and Treasurer of SpinCo. His consulting agreement provides for a weekly fee of $7,692, paid bi-weekly, and contains a provision for the payment of one year of compensation should the spin-off not occur.</w:t>
      </w:r>
    </w:p>
    <w:p>
      <w:pPr>
        <w:spacing w:after="0" w:line="1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After the completion of the spin-off transaction, Mr. Steininger is expected to enter into an executive agreement, to participate in the SpinCo. equity participation plan and be eligible for benefits available to other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Effects of Spin-off on Outstanding Executive and Other Compensation Awards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treatment of outstanding Oil States executive and other compensation awards in connection with the Spin-Off has not been finally determined. However, Oil States currently expects for the following to occur with respect to outstanding Oil States compensation awards:</w:t>
      </w:r>
    </w:p>
    <w:p>
      <w:pPr>
        <w:spacing w:after="0" w:line="170" w:lineRule="exact"/>
        <w:rPr>
          <w:sz w:val="20"/>
          <w:szCs w:val="20"/>
          <w:color w:val="auto"/>
        </w:rPr>
      </w:pPr>
    </w:p>
    <w:p>
      <w:pPr>
        <w:jc w:val="both"/>
        <w:ind w:left="1300" w:hanging="320"/>
        <w:spacing w:after="0" w:line="284"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Oil States Equity Awards</w:t>
      </w:r>
      <w:r>
        <w:rPr>
          <w:rFonts w:ascii="Arial" w:cs="Arial" w:eastAsia="Arial" w:hAnsi="Arial"/>
          <w:sz w:val="16"/>
          <w:szCs w:val="16"/>
          <w:color w:val="auto"/>
        </w:rPr>
        <w:t>. All outstanding Oil States options and other time-vested equity and equity-based awards (including those held by SpinCo’s named executive officers) will be adjusted in connection with the spin-off (or, in the case of restricted shares of Oil States common stock, will directly participate in the spin-off) such that following the spin-off each award holder will hold both the same type of award with respect to Oil States common stock and a separate award of the same type with respect to SpinCo common stock, with the number of shares and exercise price of such award, as applicable, adjusted to preserve the value of the award prior to the spin-off. Oil States continues to evaluate the treatment of certain performance-based equity compensation awards in connection with the spin-off.</w:t>
      </w:r>
    </w:p>
    <w:p>
      <w:pPr>
        <w:spacing w:after="0" w:line="4"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Annual Cash Incentive Plan Awards</w:t>
      </w:r>
      <w:r>
        <w:rPr>
          <w:rFonts w:ascii="Arial" w:cs="Arial" w:eastAsia="Arial" w:hAnsi="Arial"/>
          <w:sz w:val="18"/>
          <w:szCs w:val="18"/>
          <w:color w:val="auto"/>
        </w:rPr>
        <w:t>. From and after the spin-off, all employees of SpinCo (including each of SpinCo’s named executive officers) will cease participation in Oil States’ annual incentive plan, and all cash incentive awards for 2014 will be provided under SpinCo’s annual incentive programs.</w:t>
      </w:r>
    </w:p>
    <w:p>
      <w:pPr>
        <w:spacing w:after="0" w:line="1"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Individual Agreements</w:t>
      </w:r>
      <w:r>
        <w:rPr>
          <w:rFonts w:ascii="Arial" w:cs="Arial" w:eastAsia="Arial" w:hAnsi="Arial"/>
          <w:sz w:val="16"/>
          <w:szCs w:val="16"/>
          <w:color w:val="auto"/>
        </w:rPr>
        <w:t>. All obligations of Oil States under the existing executive agreements and foreign assignment agreements between Oil States and SpinCo’s named executive officers will be assumed by SpinCo effective as of the distribution, with such modifications to reflect the spin-off, if any, as are mutually agreed between SpinCo and the named executive officers. For a description of the current terms of such agreements, see “Compensation Discussion &amp; Analysis--Executive and Change of Control Agreements.” The treatment of individual agreements other than the executive agreements and foreign assignment agreement has not yet been finally determined.</w:t>
      </w:r>
    </w:p>
    <w:p>
      <w:pPr>
        <w:spacing w:after="0" w:line="3" w:lineRule="exact"/>
        <w:rPr>
          <w:rFonts w:ascii="Arial" w:cs="Arial" w:eastAsia="Arial" w:hAnsi="Arial"/>
          <w:sz w:val="16"/>
          <w:szCs w:val="16"/>
          <w:color w:val="auto"/>
        </w:rPr>
      </w:pPr>
    </w:p>
    <w:p>
      <w:pPr>
        <w:jc w:val="both"/>
        <w:ind w:left="1300" w:hanging="320"/>
        <w:spacing w:after="0" w:line="281"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Other Compensation Programs</w:t>
      </w:r>
      <w:r>
        <w:rPr>
          <w:rFonts w:ascii="Arial" w:cs="Arial" w:eastAsia="Arial" w:hAnsi="Arial"/>
          <w:sz w:val="16"/>
          <w:szCs w:val="16"/>
          <w:color w:val="auto"/>
        </w:rPr>
        <w:t>. Oil States continues to evaluate the treatment of other compensation programs, but generally expects that from and after the spin-off, all employees of SpinCo (including each of SpinCo’s named executive officers) will cease active participation in all other benefit plans and compensation programs of Oil States and will instead become participants in the comparable plan or program of</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SpinCo, to the extent SpinCo provides for such a comparable program.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Additional detail regarding the final treatment of Oil States compensation awards will be included in an amendment to this information statement.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SpinCo Compensation Programs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compensation programs of SpinCo that will be in effect following the spin-off are still being developed and have not yet been finalized. Oil States currently anticipates that the compensation programs and policies of SpinCo following the spin-off will generally be similar to those currently maintained by Oil States.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 the extent known, additional detail regarding the compensation programs of SpinCo following the spin-off will be included in an amendment to this information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 following table sets forth certain information regarding compensation paid in respect of specified periods to the Named Executive Officers of SpinCo. In 2013, the Named Executive Officers (other than Mr. Steininger) were employed by, and were compensated by, Oil States.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Salary</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12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Year</w:t>
            </w:r>
          </w:p>
        </w:tc>
        <w:tc>
          <w:tcPr>
            <w:tcW w:w="1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20" w:type="dxa"/>
            <w:vAlign w:val="bottom"/>
          </w:tcPr>
          <w:p>
            <w:pPr>
              <w:spacing w:after="0"/>
              <w:rPr>
                <w:sz w:val="20"/>
                <w:szCs w:val="20"/>
                <w:color w:val="auto"/>
              </w:rPr>
            </w:pPr>
          </w:p>
        </w:tc>
        <w:tc>
          <w:tcPr>
            <w:tcW w:w="12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5"/>
              </w:rPr>
              <w:t>($)(5)</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($)(6)</w:t>
            </w: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413,077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842,625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113,240</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447,047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1,861,403</w:t>
            </w:r>
          </w:p>
        </w:tc>
      </w:tr>
      <w:tr>
        <w:trPr>
          <w:trHeight w:val="202"/>
        </w:trPr>
        <w:tc>
          <w:tcPr>
            <w:tcW w:w="3220" w:type="dxa"/>
            <w:vAlign w:val="bottom"/>
          </w:tcPr>
          <w:p>
            <w:pPr>
              <w:spacing w:after="0" w:line="202" w:lineRule="exact"/>
              <w:rPr>
                <w:sz w:val="20"/>
                <w:szCs w:val="20"/>
                <w:color w:val="auto"/>
              </w:rPr>
            </w:pPr>
            <w:r>
              <w:rPr>
                <w:rFonts w:ascii="Arial" w:cs="Arial" w:eastAsia="Arial" w:hAnsi="Arial"/>
                <w:sz w:val="14"/>
                <w:szCs w:val="14"/>
                <w:color w:val="auto"/>
              </w:rPr>
              <w:t>Frank C. Steininger</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i w:val="1"/>
                <w:iCs w:val="1"/>
                <w:color w:val="auto"/>
              </w:rPr>
              <w:t>Senior Vice President, Chief Financial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i w:val="1"/>
                <w:iCs w:val="1"/>
                <w:color w:val="auto"/>
              </w:rPr>
              <w:t>Officer and Treasurer</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Ron R. Green</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 North America</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429,134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1,203,750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253,435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286,147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2,172,466</w:t>
            </w:r>
          </w:p>
        </w:tc>
      </w:tr>
      <w:tr>
        <w:trPr>
          <w:trHeight w:val="202"/>
        </w:trPr>
        <w:tc>
          <w:tcPr>
            <w:tcW w:w="3220" w:type="dxa"/>
            <w:vAlign w:val="bottom"/>
          </w:tcPr>
          <w:p>
            <w:pPr>
              <w:spacing w:after="0" w:line="202" w:lineRule="exact"/>
              <w:rPr>
                <w:sz w:val="20"/>
                <w:szCs w:val="20"/>
                <w:color w:val="auto"/>
              </w:rPr>
            </w:pPr>
            <w:r>
              <w:rPr>
                <w:rFonts w:ascii="Arial" w:cs="Arial" w:eastAsia="Arial" w:hAnsi="Arial"/>
                <w:sz w:val="15"/>
                <w:szCs w:val="15"/>
                <w:color w:val="auto"/>
              </w:rPr>
              <w:t>Peter L. McCann</w:t>
            </w:r>
            <w:r>
              <w:rPr>
                <w:rFonts w:ascii="Arial" w:cs="Arial" w:eastAsia="Arial" w:hAnsi="Arial"/>
                <w:sz w:val="23"/>
                <w:szCs w:val="23"/>
                <w:color w:val="auto"/>
                <w:vertAlign w:val="superscript"/>
              </w:rPr>
              <w:t>(4)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i w:val="1"/>
                <w:iCs w:val="1"/>
                <w:color w:val="auto"/>
              </w:rPr>
              <w:t>Senior Vice President, Australia</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2013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358,638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481,500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193,291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15,326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1,048,755</w:t>
            </w:r>
          </w:p>
        </w:tc>
      </w:tr>
    </w:tbl>
    <w:p>
      <w:pPr>
        <w:spacing w:after="0" w:line="200" w:lineRule="exact"/>
        <w:rPr>
          <w:sz w:val="20"/>
          <w:szCs w:val="20"/>
          <w:color w:val="auto"/>
        </w:rPr>
      </w:pPr>
    </w:p>
    <w:p>
      <w:pPr>
        <w:spacing w:after="0" w:line="218" w:lineRule="exact"/>
        <w:rPr>
          <w:sz w:val="20"/>
          <w:szCs w:val="20"/>
          <w:color w:val="auto"/>
        </w:rPr>
      </w:pPr>
    </w:p>
    <w:p>
      <w:pPr>
        <w:ind w:left="340" w:right="180" w:hanging="332"/>
        <w:spacing w:after="0" w:line="284"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These columns represent the dollar amounts for the years shown of the aggregate grant date fair value of restricted stock awards, performance based awards and phantom stock awards and option awards, as applicable, granted in those years computed in accordance with FASB ASC Topic 718—Stock Compensation. Generally, the aggregate grant date fair value is the aggregate amount that Oil States expects to expense in its financial statements over the award’s vesting schedule (generally four years) and, for performance based awards, is based upon the probable outcome of the applicable performance conditions. Pursuant to SEC rules, the amounts shown exclude the impact of estimated forfeitures related to service-based vesting conditions. These amounts reflect Oil States’ future accounting expense for these awards and options, and do not necessarily correspond to the actual value that will be recognized by the named executive officers. All options awarded were priced at the date of the award. See Note 15 to Oil</w:t>
      </w:r>
    </w:p>
    <w:p>
      <w:pPr>
        <w:spacing w:after="0" w:line="2" w:lineRule="exact"/>
        <w:rPr>
          <w:rFonts w:ascii="Arial" w:cs="Arial" w:eastAsia="Arial" w:hAnsi="Arial"/>
          <w:sz w:val="16"/>
          <w:szCs w:val="16"/>
          <w:color w:val="auto"/>
        </w:rPr>
      </w:pPr>
    </w:p>
    <w:p>
      <w:pPr>
        <w:ind w:left="340" w:right="120"/>
        <w:spacing w:after="0" w:line="250" w:lineRule="auto"/>
        <w:rPr>
          <w:rFonts w:ascii="Arial" w:cs="Arial" w:eastAsia="Arial" w:hAnsi="Arial"/>
          <w:sz w:val="16"/>
          <w:szCs w:val="16"/>
          <w:color w:val="auto"/>
        </w:rPr>
      </w:pPr>
      <w:r>
        <w:rPr>
          <w:rFonts w:ascii="Arial" w:cs="Arial" w:eastAsia="Arial" w:hAnsi="Arial"/>
          <w:sz w:val="18"/>
          <w:szCs w:val="18"/>
          <w:color w:val="auto"/>
        </w:rPr>
        <w:t>States consolidated financial statements on Form 10-K for the year ended December 31, 2013 for additional detail regarding assumptions underlying the value of these awards. The performance based stock awards can potentially achieve a maximum number of shares equal to 200% of the target level of shares, depending on Oil States’ performance.</w:t>
      </w:r>
    </w:p>
    <w:p>
      <w:pPr>
        <w:spacing w:after="0" w:line="1" w:lineRule="exact"/>
        <w:rPr>
          <w:rFonts w:ascii="Arial" w:cs="Arial" w:eastAsia="Arial" w:hAnsi="Arial"/>
          <w:sz w:val="16"/>
          <w:szCs w:val="16"/>
          <w:color w:val="auto"/>
        </w:rPr>
      </w:pPr>
    </w:p>
    <w:p>
      <w:pPr>
        <w:ind w:left="340" w:right="300" w:hanging="332"/>
        <w:spacing w:after="0" w:line="281"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Mr. Steininger was not an employee of Oil States during 2013 and, accordingly, no amounts are reflected with respect to him in this table. See Named Executive Officers table in “Compensation Discussion and Analysis” for more information about Mr. Steininger’s employment arrangements.</w:t>
      </w:r>
    </w:p>
    <w:p>
      <w:pPr>
        <w:spacing w:after="0" w:line="1" w:lineRule="exact"/>
        <w:rPr>
          <w:rFonts w:ascii="Arial" w:cs="Arial" w:eastAsia="Arial" w:hAnsi="Arial"/>
          <w:sz w:val="16"/>
          <w:szCs w:val="16"/>
          <w:color w:val="auto"/>
        </w:rPr>
      </w:pPr>
    </w:p>
    <w:p>
      <w:pPr>
        <w:jc w:val="both"/>
        <w:ind w:left="340" w:right="380" w:hanging="332"/>
        <w:spacing w:after="0" w:line="250"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Compensation reported for Mr. Green, other than stock awards and option awards, was made in Canadian dollars and is reflected in this table in U.S. dollars using the average exchange rate for each year. U.S. dollar to Canadian dollar exchange for 2013 was $0.93971. Mr. Green’s stock awards are “Phantom Stock Awards.”</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Compensation reported for Mr. McCann, other than stock awards and option awards, was made in Australian dollars and is reflected in this table in U.S. dollars using the average exchange rate for each year. U.S. dollar to Australian dollar exchange for 2013 was $0.89249.</w:t>
      </w:r>
    </w:p>
    <w:p>
      <w:pPr>
        <w:ind w:left="340" w:right="220" w:hanging="332"/>
        <w:spacing w:after="0" w:line="250"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Amounts of “Non-Equity Incentive Plan Compensation” paid to each of the Named Executive Officers were made pursuant to Oil States’ Annual Incentive Compensation Plan. For a description of this plan please see “Compensation Discussion and Analysis—Elements of Compensation—Annual Cash Incentive Compensation.”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2013 amount shown in “All Other Compensation” column reflects the following for each Named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20" w:name="page121"/>
    <w:bookmarkEnd w:id="120"/>
    <w:tbl>
      <w:tblPr>
        <w:tblLayout w:type="fixed"/>
        <w:tblInd w:w="3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Retirement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Deferred</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Compensation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Match</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Plan Match</w:t>
            </w: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34"/>
        </w:trPr>
        <w:tc>
          <w:tcPr>
            <w:tcW w:w="46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($)(a)</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($)(a)</w:t>
            </w:r>
          </w:p>
        </w:tc>
        <w:tc>
          <w:tcPr>
            <w:tcW w:w="1400" w:type="dxa"/>
            <w:vAlign w:val="bottom"/>
            <w:gridSpan w:val="2"/>
          </w:tcPr>
          <w:p>
            <w:pPr>
              <w:ind w:left="400"/>
              <w:spacing w:after="0"/>
              <w:rPr>
                <w:sz w:val="20"/>
                <w:szCs w:val="20"/>
                <w:color w:val="auto"/>
              </w:rPr>
            </w:pPr>
            <w:r>
              <w:rPr>
                <w:rFonts w:ascii="Arial" w:cs="Arial" w:eastAsia="Arial" w:hAnsi="Arial"/>
                <w:sz w:val="18"/>
                <w:szCs w:val="18"/>
                <w:b w:val="1"/>
                <w:bCs w:val="1"/>
                <w:color w:val="auto"/>
              </w:rPr>
              <w:t>($)(b)</w:t>
            </w: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Frank C. Steininger (c)</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Ron R. Green (d)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36,441</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240,509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286,156</w:t>
            </w:r>
          </w:p>
        </w:tc>
        <w:tc>
          <w:tcPr>
            <w:tcW w:w="100" w:type="dxa"/>
            <w:vAlign w:val="bottom"/>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Peter L. McCann (d)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15,326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6" w:lineRule="exact"/>
        <w:rPr>
          <w:sz w:val="20"/>
          <w:szCs w:val="20"/>
          <w:color w:val="auto"/>
        </w:rPr>
      </w:pPr>
    </w:p>
    <w:p>
      <w:pPr>
        <w:ind w:left="660" w:hanging="328"/>
        <w:spacing w:after="0" w:line="25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the matching contributions allocated by Oil States to Mr. Dodson, except Mr. Green, pursuant to the 401(k) Retirement Plan and the Deferred Compensation Plan as more fully described in “Compensation Discussion and Analysis—Retirement Plans”, included herein. Mr. Green received the matching contributions in the Canadian Retirement Savings Plan and Canadian Non-Registered Savings Plan. Mr. McCann received a contribution to his Australian Superannuation fund as required by Australian law.</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amounts shown in the “Other” column in the table above include club dues and the imputed income attributable to term life insurance benefits provided for Messrs. Dodson. Mr. Green’s other compensation includes a $240,509 completion bonus paid in connection with his foreign assignment.</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See Named Executive Officers table in “Compensation Discussion and Analysis” for more information about Mr. Steininger’s employment arrangements.</w:t>
      </w:r>
    </w:p>
    <w:p>
      <w:pPr>
        <w:ind w:left="660" w:right="240" w:hanging="328"/>
        <w:spacing w:after="0" w:line="261"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payments described above were converted to U.S. dollars using average exchange rates of $0.93971 for Canadian dollars and $0.89249 for Australian dollars.</w:t>
      </w:r>
    </w:p>
    <w:p>
      <w:pPr>
        <w:spacing w:after="0" w:line="18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Messrs. Dodson and Green are parties to Executive Agreements, which agreements are not considered employment agreements. For a description of these agreements, please see “Compensation Discussion and Analysis—Executive and Change of Control Agreements.” The compensation amounts described in the preceding table were determined as described under “Compensation Discussion and Analysis—Elements of Compensation.” The material terms of the awards reported in the Grants of Plan Based Awards Table below are described in the “Compensation Discussion and Analysis—Elements of Compensation—Annual Cash Incentive Compensation” and “—Long-Term Incentives.”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985" w:right="4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GRANTS OF PLAN BASED AWARDS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about equity and non-equity awards granted to Named Executive Officers in 2013, including the following:</w:t>
      </w:r>
    </w:p>
    <w:p>
      <w:pPr>
        <w:spacing w:after="0" w:line="35" w:lineRule="exact"/>
        <w:rPr>
          <w:sz w:val="20"/>
          <w:szCs w:val="20"/>
          <w:color w:val="auto"/>
        </w:rPr>
      </w:pPr>
    </w:p>
    <w:p>
      <w:pPr>
        <w:ind w:right="20" w:firstLine="8"/>
        <w:spacing w:after="0" w:line="270" w:lineRule="auto"/>
        <w:tabs>
          <w:tab w:leader="none" w:pos="25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grant date; (2) the estimated future payouts under the non-equity incentive plan, which is discussed in “Compensation Discussion and Analysis— Elements of Compensation—Annual Cash Incentive Compensation”, included herein; (3) the number of performance based awards pursuant to the Oil States’ 2001 Equity Participation Plan; (4) the number of restricted stock and phantom stock awards pursuant to Oil States’ 2001 Equity Participation Plan; (5) the number of stock option awards, which consist of the number of shares underlying stock options awarded, pursuant to Oil States’ 2001 Equity Participation Plan; (6) the exercise price of the stock option awards, which reflects the NYSE Closing Price on grant date; and (7) the fair value of each equity award computed in accordance with FASB ASC Topic 718—Stock Compensation as of the grant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All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Awards: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Exercise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All Other</w:t>
            </w:r>
          </w:p>
        </w:tc>
        <w:tc>
          <w:tcPr>
            <w:tcW w:w="8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or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7"/>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 Future Payouts</w:t>
            </w:r>
          </w:p>
        </w:tc>
        <w:tc>
          <w:tcPr>
            <w:tcW w:w="8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of</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Base</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86"/>
              </w:rPr>
              <w:t>Shares</w:t>
            </w:r>
          </w:p>
        </w:tc>
        <w:tc>
          <w:tcPr>
            <w:tcW w:w="9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2"/>
              </w:rPr>
              <w:t>Awards:</w:t>
            </w:r>
          </w:p>
        </w:tc>
        <w:tc>
          <w:tcPr>
            <w:tcW w:w="80" w:type="dxa"/>
            <w:vAlign w:val="bottom"/>
          </w:tcPr>
          <w:p>
            <w:pPr>
              <w:spacing w:after="0"/>
              <w:rPr>
                <w:sz w:val="17"/>
                <w:szCs w:val="17"/>
                <w:color w:val="auto"/>
              </w:rPr>
            </w:pPr>
          </w:p>
        </w:tc>
        <w:tc>
          <w:tcPr>
            <w:tcW w:w="78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0"/>
              </w:rPr>
              <w:t>Price</w:t>
            </w:r>
          </w:p>
        </w:tc>
        <w:tc>
          <w:tcPr>
            <w:tcW w:w="9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Estimated Future Payouts Under</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Under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of</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Stock</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Of Stock</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Non-Equity Incentive Plan</w:t>
            </w:r>
          </w:p>
        </w:tc>
        <w:tc>
          <w:tcPr>
            <w:tcW w:w="160" w:type="dxa"/>
            <w:vAlign w:val="bottom"/>
          </w:tcPr>
          <w:p>
            <w:pPr>
              <w:spacing w:after="0"/>
              <w:rPr>
                <w:sz w:val="18"/>
                <w:szCs w:val="18"/>
                <w:color w:val="auto"/>
              </w:rPr>
            </w:pPr>
          </w:p>
        </w:tc>
        <w:tc>
          <w:tcPr>
            <w:tcW w:w="25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2"/>
              </w:rPr>
              <w:t>Equity Incentive Plan</w:t>
            </w:r>
          </w:p>
        </w:tc>
        <w:tc>
          <w:tcPr>
            <w:tcW w:w="8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and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Awards(1)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Awards(2)</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or</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8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Grant</w:t>
            </w:r>
          </w:p>
        </w:tc>
        <w:tc>
          <w:tcPr>
            <w:tcW w:w="80" w:type="dxa"/>
            <w:vAlign w:val="bottom"/>
          </w:tcPr>
          <w:p>
            <w:pPr>
              <w:spacing w:after="0"/>
              <w:rPr>
                <w:sz w:val="16"/>
                <w:szCs w:val="16"/>
                <w:color w:val="auto"/>
              </w:rPr>
            </w:pPr>
          </w:p>
        </w:tc>
        <w:tc>
          <w:tcPr>
            <w:tcW w:w="840" w:type="dxa"/>
            <w:vAlign w:val="bottom"/>
            <w:gridSpan w:val="2"/>
          </w:tcPr>
          <w:p>
            <w:pPr>
              <w:jc w:val="right"/>
              <w:ind w:right="60"/>
              <w:spacing w:after="0" w:line="191" w:lineRule="exact"/>
              <w:rPr>
                <w:sz w:val="20"/>
                <w:szCs w:val="20"/>
                <w:color w:val="auto"/>
              </w:rPr>
            </w:pPr>
            <w:r>
              <w:rPr>
                <w:rFonts w:ascii="Arial" w:cs="Arial" w:eastAsia="Arial" w:hAnsi="Arial"/>
                <w:sz w:val="18"/>
                <w:szCs w:val="18"/>
                <w:b w:val="1"/>
                <w:bCs w:val="1"/>
                <w:color w:val="auto"/>
                <w:w w:val="87"/>
              </w:rPr>
              <w:t>Threshold</w:t>
            </w:r>
          </w:p>
        </w:tc>
        <w:tc>
          <w:tcPr>
            <w:tcW w:w="100" w:type="dxa"/>
            <w:vAlign w:val="bottom"/>
          </w:tcPr>
          <w:p>
            <w:pPr>
              <w:spacing w:after="0"/>
              <w:rPr>
                <w:sz w:val="16"/>
                <w:szCs w:val="16"/>
                <w:color w:val="auto"/>
              </w:rPr>
            </w:pPr>
          </w:p>
        </w:tc>
        <w:tc>
          <w:tcPr>
            <w:tcW w:w="84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Target</w:t>
            </w:r>
          </w:p>
        </w:tc>
        <w:tc>
          <w:tcPr>
            <w:tcW w:w="8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3"/>
              </w:rPr>
              <w:t>Maximum</w:t>
            </w:r>
          </w:p>
        </w:tc>
        <w:tc>
          <w:tcPr>
            <w:tcW w:w="160" w:type="dxa"/>
            <w:vAlign w:val="bottom"/>
          </w:tcPr>
          <w:p>
            <w:pPr>
              <w:spacing w:after="0"/>
              <w:rPr>
                <w:sz w:val="16"/>
                <w:szCs w:val="16"/>
                <w:color w:val="auto"/>
              </w:rPr>
            </w:pPr>
          </w:p>
        </w:tc>
        <w:tc>
          <w:tcPr>
            <w:tcW w:w="800" w:type="dxa"/>
            <w:vAlign w:val="bottom"/>
            <w:gridSpan w:val="2"/>
          </w:tcPr>
          <w:p>
            <w:pPr>
              <w:jc w:val="right"/>
              <w:ind w:right="20"/>
              <w:spacing w:after="0" w:line="191" w:lineRule="exact"/>
              <w:rPr>
                <w:sz w:val="20"/>
                <w:szCs w:val="20"/>
                <w:color w:val="auto"/>
              </w:rPr>
            </w:pPr>
            <w:r>
              <w:rPr>
                <w:rFonts w:ascii="Arial" w:cs="Arial" w:eastAsia="Arial" w:hAnsi="Arial"/>
                <w:sz w:val="18"/>
                <w:szCs w:val="18"/>
                <w:b w:val="1"/>
                <w:bCs w:val="1"/>
                <w:color w:val="auto"/>
                <w:w w:val="87"/>
              </w:rPr>
              <w:t>Threshold</w:t>
            </w:r>
          </w:p>
        </w:tc>
        <w:tc>
          <w:tcPr>
            <w:tcW w:w="140" w:type="dxa"/>
            <w:vAlign w:val="bottom"/>
          </w:tcPr>
          <w:p>
            <w:pPr>
              <w:spacing w:after="0"/>
              <w:rPr>
                <w:sz w:val="16"/>
                <w:szCs w:val="16"/>
                <w:color w:val="auto"/>
              </w:rPr>
            </w:pPr>
          </w:p>
        </w:tc>
        <w:tc>
          <w:tcPr>
            <w:tcW w:w="7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Target</w:t>
            </w:r>
          </w:p>
        </w:tc>
        <w:tc>
          <w:tcPr>
            <w:tcW w:w="8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3"/>
              </w:rPr>
              <w:t>Maximum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Units</w:t>
            </w:r>
          </w:p>
        </w:tc>
        <w:tc>
          <w:tcPr>
            <w:tcW w:w="96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16"/>
                <w:szCs w:val="16"/>
                <w:color w:val="auto"/>
              </w:rPr>
            </w:pPr>
          </w:p>
        </w:tc>
        <w:tc>
          <w:tcPr>
            <w:tcW w:w="7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Awards</w:t>
            </w:r>
          </w:p>
        </w:tc>
        <w:tc>
          <w:tcPr>
            <w:tcW w:w="9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Plan</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6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(#)(3)</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/SH)</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Bradley J.</w:t>
            </w:r>
          </w:p>
        </w:tc>
        <w:tc>
          <w:tcPr>
            <w:tcW w:w="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AICP</w:t>
            </w: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Dodson</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302,250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604,500</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6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2001</w:t>
            </w:r>
          </w:p>
        </w:tc>
        <w:tc>
          <w:tcPr>
            <w:tcW w:w="8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4"/>
              </w:rPr>
              <w:t>2/19/2013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Plan</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5,000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401,250</w:t>
            </w:r>
          </w:p>
        </w:tc>
        <w:tc>
          <w:tcPr>
            <w:tcW w:w="0" w:type="dxa"/>
            <w:vAlign w:val="bottom"/>
          </w:tcPr>
          <w:p>
            <w:pPr>
              <w:spacing w:after="0"/>
              <w:rPr>
                <w:sz w:val="1"/>
                <w:szCs w:val="1"/>
                <w:color w:val="auto"/>
              </w:rPr>
            </w:pPr>
          </w:p>
        </w:tc>
      </w:tr>
      <w:tr>
        <w:trPr>
          <w:trHeight w:val="202"/>
        </w:trPr>
        <w:tc>
          <w:tcPr>
            <w:tcW w:w="9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2001</w:t>
            </w:r>
          </w:p>
        </w:tc>
        <w:tc>
          <w:tcPr>
            <w:tcW w:w="8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2/19/2013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5,500</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441,375</w:t>
            </w: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6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2001</w:t>
            </w:r>
          </w:p>
        </w:tc>
        <w:tc>
          <w:tcPr>
            <w:tcW w:w="8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4"/>
              </w:rPr>
              <w:t>2/19/2013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Plan</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113,240</w:t>
            </w:r>
          </w:p>
        </w:tc>
        <w:tc>
          <w:tcPr>
            <w:tcW w:w="0" w:type="dxa"/>
            <w:vAlign w:val="bottom"/>
          </w:tcPr>
          <w:p>
            <w:pPr>
              <w:spacing w:after="0"/>
              <w:rPr>
                <w:sz w:val="1"/>
                <w:szCs w:val="1"/>
                <w:color w:val="auto"/>
              </w:rPr>
            </w:pPr>
          </w:p>
        </w:tc>
      </w:tr>
      <w:tr>
        <w:trPr>
          <w:trHeight w:val="202"/>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Frank C.</w:t>
            </w:r>
          </w:p>
        </w:tc>
        <w:tc>
          <w:tcPr>
            <w:tcW w:w="6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Steininger</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color w:val="auto"/>
              </w:rPr>
              <w:t>Ron R.</w:t>
            </w:r>
          </w:p>
        </w:tc>
        <w:tc>
          <w:tcPr>
            <w:tcW w:w="6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AICP</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Green (5)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345,000</w:t>
            </w:r>
          </w:p>
        </w:tc>
        <w:tc>
          <w:tcPr>
            <w:tcW w:w="820" w:type="dxa"/>
            <w:vAlign w:val="bottom"/>
          </w:tcPr>
          <w:p>
            <w:pPr>
              <w:jc w:val="right"/>
              <w:spacing w:after="0"/>
              <w:rPr>
                <w:sz w:val="20"/>
                <w:szCs w:val="20"/>
                <w:color w:val="auto"/>
              </w:rPr>
            </w:pPr>
            <w:r>
              <w:rPr>
                <w:rFonts w:ascii="Arial" w:cs="Arial" w:eastAsia="Arial" w:hAnsi="Arial"/>
                <w:sz w:val="18"/>
                <w:szCs w:val="18"/>
                <w:color w:val="auto"/>
              </w:rPr>
              <w:t>690,000</w:t>
            </w: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2001</w:t>
            </w:r>
          </w:p>
        </w:tc>
        <w:tc>
          <w:tcPr>
            <w:tcW w:w="8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2/19/2013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1,203,750</w:t>
            </w:r>
          </w:p>
        </w:tc>
        <w:tc>
          <w:tcPr>
            <w:tcW w:w="0" w:type="dxa"/>
            <w:vAlign w:val="bottom"/>
          </w:tcPr>
          <w:p>
            <w:pPr>
              <w:spacing w:after="0"/>
              <w:rPr>
                <w:sz w:val="1"/>
                <w:szCs w:val="1"/>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color w:val="auto"/>
              </w:rPr>
              <w:t>Peter L.</w:t>
            </w:r>
          </w:p>
        </w:tc>
        <w:tc>
          <w:tcPr>
            <w:tcW w:w="6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AICP</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McCann (6)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223,025</w:t>
            </w:r>
          </w:p>
        </w:tc>
        <w:tc>
          <w:tcPr>
            <w:tcW w:w="820" w:type="dxa"/>
            <w:vAlign w:val="bottom"/>
          </w:tcPr>
          <w:p>
            <w:pPr>
              <w:jc w:val="right"/>
              <w:spacing w:after="0"/>
              <w:rPr>
                <w:sz w:val="20"/>
                <w:szCs w:val="20"/>
                <w:color w:val="auto"/>
              </w:rPr>
            </w:pPr>
            <w:r>
              <w:rPr>
                <w:rFonts w:ascii="Arial" w:cs="Arial" w:eastAsia="Arial" w:hAnsi="Arial"/>
                <w:sz w:val="18"/>
                <w:szCs w:val="18"/>
                <w:color w:val="auto"/>
              </w:rPr>
              <w:t>446,050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2001</w:t>
            </w:r>
          </w:p>
        </w:tc>
        <w:tc>
          <w:tcPr>
            <w:tcW w:w="8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2/19/2013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1" w:lineRule="exact"/>
        <w:rPr>
          <w:sz w:val="20"/>
          <w:szCs w:val="20"/>
          <w:color w:val="auto"/>
        </w:rPr>
      </w:pPr>
    </w:p>
    <w:p>
      <w:pPr>
        <w:ind w:left="340" w:right="20" w:hanging="332"/>
        <w:spacing w:after="0" w:line="267" w:lineRule="auto"/>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amounts shown in the column “Target” reflect the target level of bonus payable under Oil States’ AICP (see discussion in “Compensation Discussion and Analysis—Elements of Compensation—Annual Cash Incentive Compensation”, included herein) which is based on an executive’s base salary paid during the year multiplied by the executive’s bonus percentage. The base salary used in this table is the base salary in effect as of December 31, 2013; however, actual awards are calculated based on a participant’s eligible AICP earnings paid in the year. The amount shown in the “Maximum” column represents 200% of the target amount. Performance results at or below the entry level percentage of performance targets established under the AICP will result in no payments being made under the AICP. The entry level percentage ranged from 75% to 85% in 2013 for EBITDA, depending on the business unit involved. If the performance results fall between the entry level and the target level, 0 – 100% of the target level bonus will be paid out proportionately to the distance such performance results fall between the two levels. If the performance results fall between the target level and the maximum level, 100—200% of the target level bonus will be paid out proportionately to the distance such performance results fall between the two levels.</w:t>
      </w:r>
    </w:p>
    <w:p>
      <w:pPr>
        <w:ind w:left="340" w:right="40" w:hanging="332"/>
        <w:spacing w:after="0" w:line="250"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amounts shown under “Estimated Future Payouts Under Equity Plan Awards include performance based awards as described at “Elements of Compensation—Long-Term Incentives” in this proxy statement. Target level of performance is based on Oil States’ Cumulative ROI performance for the three-year period beginning January 1, 2013 to December 31, 2015 of 9.5% and the over-achieve performance level is based on an ROI of 13% for the same period.</w:t>
      </w:r>
    </w:p>
    <w:p>
      <w:pPr>
        <w:spacing w:after="0" w:line="1" w:lineRule="exact"/>
        <w:rPr>
          <w:rFonts w:ascii="Arial" w:cs="Arial" w:eastAsia="Arial" w:hAnsi="Arial"/>
          <w:sz w:val="18"/>
          <w:szCs w:val="18"/>
          <w:color w:val="auto"/>
        </w:rPr>
      </w:pPr>
    </w:p>
    <w:p>
      <w:pPr>
        <w:ind w:left="340" w:right="120" w:hanging="332"/>
        <w:spacing w:after="0" w:line="265" w:lineRule="auto"/>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amounts shown in “All Other Stock Awards” and “All Other Option Awards” columns for Mr. Dodson reflect the number of restricted stock awards and stock options, respectively, granted in 2013 pursuant to Oil States’ 2001 Equity Participation Plan. See “Compensation Discussion and Analysis— Elements of Compensation—Long-Term Incentives”, included herein. The amounts shown in this column for Mr. Green reflect the number of phantom stock awards granted in 2013 pursuant to the Canadian Long Term Incentive Plan. The amounts shown for Mr. McCann reflect the number of deferred stock awards granted in 2013 pursuant to Oil States’ 2001 Equity Participation Plan.</w:t>
      </w:r>
    </w:p>
    <w:p>
      <w:pPr>
        <w:spacing w:after="0" w:line="1" w:lineRule="exact"/>
        <w:rPr>
          <w:rFonts w:ascii="Arial" w:cs="Arial" w:eastAsia="Arial" w:hAnsi="Arial"/>
          <w:sz w:val="17"/>
          <w:szCs w:val="17"/>
          <w:color w:val="auto"/>
        </w:rPr>
      </w:pPr>
    </w:p>
    <w:p>
      <w:pPr>
        <w:ind w:left="340" w:right="140" w:hanging="332"/>
        <w:spacing w:after="0" w:line="250"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This column shows the full grant date fair value of restricted stock awards, performance based awards, phantom stock awards and stock options computed under FASB ASC Topic 718—Stock Compensation and granted to the Named Executive Officers during 2013. Generally, the full grant date fair value is the amount that Oil States would expense in its financial statements over the award or option vesting schedule and, for performance based awards, is based upon the probable outcome of the applicable performance conditions. Stock options granted in 2013 were valued at award date at a fair value of $28.31 per option.</w:t>
      </w:r>
    </w:p>
    <w:p>
      <w:pPr>
        <w:spacing w:after="0" w:line="2" w:lineRule="exact"/>
        <w:rPr>
          <w:rFonts w:ascii="Arial" w:cs="Arial" w:eastAsia="Arial" w:hAnsi="Arial"/>
          <w:sz w:val="18"/>
          <w:szCs w:val="18"/>
          <w:color w:val="auto"/>
        </w:rPr>
      </w:pPr>
    </w:p>
    <w:p>
      <w:pPr>
        <w:jc w:val="both"/>
        <w:ind w:left="340" w:right="140" w:hanging="332"/>
        <w:spacing w:after="0" w:line="250"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Mr. Green’s AICP award amounts were made in Canadian dollars and are reflected in this table in U.S. dollars using the average exchange rate for 2013 of $0.94 U.S. dollar per Canadian dollar. Mr. Green’s equity incentive plan award in 2013 consisted of 15,000 phantom share awards that are payable in cash at vesting date based on Oil States’ stock price on the vesting date. Vesting will occur annually at a rate of 33⅓% per year on the first, second, and third anniversaries of the grant date.</w:t>
      </w:r>
    </w:p>
    <w:p>
      <w:pPr>
        <w:spacing w:after="0" w:line="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Mr. McCann’s AICP award amounts were made in Australian dollars and are reflected in this table in U.S. dollars using the average exchange rate for 2013 of $0.89 U.S. dollar per Australian dollar. Mr. McCann’s equity incentive plan award in 2013 consisted of 6,000 deferred stock awards. Vesting will occur annually at a rate of 25% per year on the first, second, third and fourth anniversaries of the grant date.</w:t>
      </w:r>
    </w:p>
    <w:p>
      <w:pPr>
        <w:sectPr>
          <w:pgSz w:w="11900" w:h="16838" w:orient="portrait"/>
          <w:cols w:equalWidth="0" w:num="1">
            <w:col w:w="11420"/>
          </w:cols>
          <w:pgMar w:left="240" w:top="769" w:right="239" w:bottom="0" w:gutter="0" w:footer="0" w:header="0"/>
        </w:sectPr>
      </w:pPr>
    </w:p>
    <w:bookmarkStart w:id="122" w:name="page123"/>
    <w:bookmarkEnd w:id="122"/>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94615</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8"/>
          <w:szCs w:val="18"/>
          <w:b w:val="1"/>
          <w:bCs w:val="1"/>
          <w:color w:val="auto"/>
        </w:rPr>
        <w:t>OUTSTANDING EQUITY AWARDS AT 2013 FISCAL YEAR END</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following table provides information on the holdings of stock options and stock awards by the Named Executive Officers as of December 31, 2013. This table includes unexercised and unvested option awards and unvested stock awards, including restricted stock awards, performance based awards and phantom stock awards. Each equity grant is shown separately for each Named Executive Officer. The vesting schedule for each grant is shown following this table, based on the option or stock award grant date or other factors, as discussed. Accelerated vesting provisions applicable to the outstanding awards are described below under “—Potential Payments Upon Termination or Change in Control.” The market value of the stock awards is based on the closing market price of Oil States’ common stock as of December 31, 2013, which was $101.72. The number of performance awards shown in the table below reflect a theoretical achievement level of performance assuming December 31, 2013 as the end of the performance period. The actual performance period for the 2012 awards will end on December 31, 2014. The actual performance period for the 2013 awards will end on December 31, 2015. For additional information about the option awards and stock awards, see the description of equity incentive compensation in “Compensation Discussion and Analysis”, included herein.</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8"/>
                <w:szCs w:val="18"/>
                <w:b w:val="1"/>
                <w:bCs w:val="1"/>
                <w:color w:val="auto"/>
              </w:rPr>
              <w:t>Option Awards</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8"/>
                <w:szCs w:val="18"/>
                <w:b w:val="1"/>
                <w:bCs w:val="1"/>
                <w:color w:val="auto"/>
              </w:rPr>
              <w:t>Stock Awards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Equity</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Incentive</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Awards:</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Plan</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Market or</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Awards:</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Payout</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Market</w:t>
            </w: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Unearned</w:t>
            </w:r>
          </w:p>
        </w:tc>
        <w:tc>
          <w:tcPr>
            <w:tcW w:w="11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Number</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Value of</w:t>
            </w: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Performance</w:t>
            </w:r>
          </w:p>
        </w:tc>
        <w:tc>
          <w:tcPr>
            <w:tcW w:w="11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Performance</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of</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Shares or</w:t>
            </w: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Shares,</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Shares or</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Units of</w:t>
            </w: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Units or</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Securities</w:t>
            </w: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Securities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Units of</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Underlying</w:t>
            </w: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Underlying</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Stock that</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that</w:t>
            </w: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Rights that</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Rights that</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Unexercised</w:t>
            </w: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Unexercised</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Exercise</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Have Not</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Have Not</w:t>
            </w: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Have Not</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Have Not</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Options (#)</w:t>
            </w: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Options (#)</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Price</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Expiration</w:t>
            </w: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Vested</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Vested</w:t>
            </w: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Vested</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Vested</w:t>
            </w:r>
          </w:p>
        </w:tc>
      </w:tr>
      <w:tr>
        <w:trPr>
          <w:trHeight w:val="23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Unexercisable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4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r>
      <w:tr>
        <w:trPr>
          <w:trHeight w:val="195"/>
        </w:trPr>
        <w:tc>
          <w:tcPr>
            <w:tcW w:w="1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Bradley J.</w:t>
            </w:r>
          </w:p>
        </w:tc>
        <w:tc>
          <w:tcPr>
            <w:tcW w:w="8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2/19/2015</w:t>
            </w:r>
          </w:p>
        </w:tc>
        <w:tc>
          <w:tcPr>
            <w:tcW w:w="1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Dodson</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15,000(1)</w:t>
            </w: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16.65</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21,700(2)</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24.52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6/19/2015</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7,500(3)</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2/19/2016</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1,500(5)</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1,500(5)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75.41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2/17/2021</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1,250(8)</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84.63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2/16/2022</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4,000(13)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80.25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2/19/2023</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2,125(4)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216,155</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3,750(6)</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381,450</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3,750(9)</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381,450</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5,500(14)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559,460</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9,570(10)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973,460</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8,145(15)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828,509</w:t>
            </w:r>
          </w:p>
        </w:tc>
      </w:tr>
      <w:tr>
        <w:trPr>
          <w:trHeight w:val="202"/>
        </w:trPr>
        <w:tc>
          <w:tcPr>
            <w:tcW w:w="1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Frank C.</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r>
      <w:tr>
        <w:trPr>
          <w:trHeight w:val="230"/>
        </w:trPr>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Steininger</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Ron R. Green</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30,000(1)</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16.65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2/19/2015</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24,375(3)</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8,125(3)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2/19/2016</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5,000(6)</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508,600</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6,700(11)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678,472</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15,000(16)</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1,525,800</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Peter L. McCann</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87,886</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3,000(9)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305,160</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2,250(12)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228,870</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6,000(14)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610,320</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Stock option award of 2/19/2009 that vests at the rate of 25% per year with vesting dates of 2/19/2010, 2/19/2011, 2/19/2012 and 2/19/2013.</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Stock option award of 6/19/2009 that vests 100% on 6/19/2012, assuming the executive’s continued employment at that date.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Stock option award of 2/19/2010 that vests at the rate of 25% per year, with vesting dates of 2/19/2011, 2/19/2012, 2/19/2013 and 2/19/2014.</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Restricted stock award of 2/19/2010 that vests at the rate of 25% per year, with vesting dates of 2/19/2011, 2/19/2012, 2/19/2013 and 2/19/2014.</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Stock option award of 2/17/2011 that vests at the rate of 25% per year, with vesting dates of 2/17/2012, 2/17/2013, 2/17/2014 and 2/17/2015.</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Restricted stock award of 2/17/2011 that vests at the rate of 25% per year, with vesting dates of 2/17/2012, 2/17/2013, 2/17/2014 and 2/17/2015.</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Restricted stock award of 05/17/2011 that vests at the rate of 25% per year, with vesting dates of 05/17/2012, 05/17/2013, 05/17/2014 and 05/17/2015.</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Stock option award of 2/16/2012 that vests at the rate of 25% per year, with vesting dates of 2/16/2013, 2/16/2014, 2/16/2015 and 2/16/2016.</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Restricted stock award of 2/16/2012 that vests at the rate of 25% per year, with vesting dates of 2/16/2013, 2/16/2014, 2/16/2015 and 2/16/2016.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9" w:right="279" w:bottom="951" w:gutter="0" w:footer="0" w:header="0"/>
        </w:sectPr>
      </w:pPr>
    </w:p>
    <w:bookmarkStart w:id="124" w:name="page125"/>
    <w:bookmarkEnd w:id="124"/>
    <w:p>
      <w:pPr>
        <w:jc w:val="both"/>
        <w:ind w:left="340" w:hanging="332"/>
        <w:spacing w:after="0" w:line="256"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Performance based awards of 2/26/2012 that will vest based on Oil States ROIC performance in the three-year period from January 1, 2012 to December 31, 2014. The amount reported as of 12/31/2013 assumes the performance period ended on that date. Performance level achievement through 12/31/13 is 191% of target.</w:t>
      </w:r>
    </w:p>
    <w:p>
      <w:pPr>
        <w:ind w:left="340" w:hanging="332"/>
        <w:spacing w:after="0" w:line="250"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Phantom stock award of 2/16/2012 payable in cash at vesting date based on Oil States stock price on that date that will vest 33.3% per year with vesting dates of 2/16/2013, 2/16/2014 and 2/16/2015.</w:t>
      </w:r>
    </w:p>
    <w:p>
      <w:pPr>
        <w:ind w:left="340" w:hanging="332"/>
        <w:spacing w:after="0"/>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Deferred stock award of 06/22/2012 that vests at the rate of 25% per year, with vesting dates of 06/22/2013, 06/22/2014, 06/22/2015 and 06/22/2016.</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Stock option award of 2/19/2013 that vests at the rate of 25% per year, with vesting dates of 2/19/2014, 2/19/2015, 2/19/2016 and 2/19/2017.</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Restricted or Deferred stock award of 2/19/2013 that vests at the rate of 25% per year, with vesting dates of 2/19/2014, 2/19/2015, 2/19/2016 and 2/19/2017.</w:t>
      </w:r>
    </w:p>
    <w:p>
      <w:pPr>
        <w:jc w:val="both"/>
        <w:ind w:left="340" w:hanging="332"/>
        <w:spacing w:after="0" w:line="250"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Performance based awards of 2/19/2013 that will vest based on Oil States ROIC performance in the three-year period from January 1, 2013 to December 31, 2015. The amount reported as of 12/31/2012 assumes the performance period ended on that date. Performance level achievement through 12/31/13 is 163% of target.</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Phantom stock award of 2/19/2013 payable in cash at vesting date based on Oil States stock price on that date that will vest 33.3% per year with vesting dates of 2/19/2014, 2/19/2015 and 2/19/2016.</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EXERCISED AND STOCK VESTED</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following table provides information for the Named Executive Officers on (1) stock option exercises during 2013, including the number of shares acquired upon exercise and the value realized and (2) the number of shares acquired upon the vesting of stock awards and the value realized, each before payment of any applicable withholding tax.</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Option Awards</w:t>
            </w:r>
          </w:p>
        </w:tc>
        <w:tc>
          <w:tcPr>
            <w:tcW w:w="200" w:type="dxa"/>
            <w:vAlign w:val="bottom"/>
          </w:tcPr>
          <w:p>
            <w:pPr>
              <w:spacing w:after="0"/>
              <w:rPr>
                <w:sz w:val="20"/>
                <w:szCs w:val="20"/>
                <w:color w:val="auto"/>
              </w:rPr>
            </w:pPr>
          </w:p>
        </w:tc>
        <w:tc>
          <w:tcPr>
            <w:tcW w:w="2600" w:type="dxa"/>
            <w:vAlign w:val="bottom"/>
            <w:gridSpan w:val="4"/>
          </w:tcPr>
          <w:p>
            <w:pPr>
              <w:ind w:left="620"/>
              <w:spacing w:after="0"/>
              <w:rPr>
                <w:sz w:val="20"/>
                <w:szCs w:val="20"/>
                <w:color w:val="auto"/>
              </w:rPr>
            </w:pPr>
            <w:r>
              <w:rPr>
                <w:rFonts w:ascii="Arial" w:cs="Arial" w:eastAsia="Arial" w:hAnsi="Arial"/>
                <w:sz w:val="18"/>
                <w:szCs w:val="18"/>
                <w:b w:val="1"/>
                <w:bCs w:val="1"/>
                <w:color w:val="auto"/>
              </w:rPr>
              <w:t>Stock Awards(1)</w:t>
            </w:r>
          </w:p>
        </w:tc>
      </w:tr>
      <w:tr>
        <w:trPr>
          <w:trHeight w:val="191"/>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Pre-tax Value</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Pre-tax Value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Acquired 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Realized</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Acquired 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Realized</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Vesting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on Vesting</w:t>
            </w: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19,100</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1,207,410</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518,281</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 R. Green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1,951,766</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197,950</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Peter L. McCann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2,182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6" w:lineRule="exact"/>
        <w:rPr>
          <w:sz w:val="20"/>
          <w:szCs w:val="20"/>
          <w:color w:val="auto"/>
        </w:rPr>
      </w:pPr>
    </w:p>
    <w:p>
      <w:pPr>
        <w:ind w:left="340" w:right="500" w:hanging="332"/>
        <w:spacing w:after="0" w:line="258"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Reflects shares received pursuant to restricted stock awards under the 2001 Equity Participation Plan for grants made in 2008 through 2011 to each Named Executive Officer.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See Named Executive Officers table in “Compensation Discussion and Analysis” for more information about Mr. Steininger’s employment arrangements.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25" w:name="page126"/>
    <w:bookmarkEnd w:id="125"/>
    <w:p>
      <w:pPr>
        <w:ind w:left="37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and Canadian Non-Registered Savings Plan</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Oil States maintains the Deferred Compensation Plan, which is a nonqualified deferred compensation plan for U.S. citizens that permits our directors and eligible employees to elect to defer all or a part of their cash compensation (base and/or incentive pay) from us until the termination of their status as a director or employee or a change of control. In Canada, Oil States maintains a similar plan in which Mr. Green is a participant. See “Compensation Discussion and Analysis—Deferred Compensation Plan”, included herein, for details about the plans. Mr. McCann does not participate in a similar plan.</w:t>
      </w:r>
    </w:p>
    <w:p>
      <w:pPr>
        <w:spacing w:after="0" w:line="15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investment alternatives currently available to an executive under the Deferred Compensation Plan are the same mutual funds available to all employees under Oil States’ 401(K) Retirement Plan. Mr. Steininger was not employed by Oil States during 2013 and, accordingly, did not participate in Oil States’ deferred compensation plan.</w:t>
      </w:r>
    </w:p>
    <w:p>
      <w:pPr>
        <w:spacing w:after="0" w:line="18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Detailed below is activity in the Deferred Compensation Plan for Mr. Dodson. Mr. Green is a Canadian citizen based in Edmonton, Canada and is not eligible to participate in the Deferred Compensation Plan; however, he does participate in a similar Canadian Non-Registered Savings Plan.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Executive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Registrant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Contributions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Contribution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(Loss)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At Last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 Last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 Last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 Last</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Withdrawals/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Fiscal</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Fiscal Year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Distributions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 End</w:t>
            </w: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5"/>
              </w:rPr>
              <w:t>($)(1)</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103,071</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113,265</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609,602</w:t>
            </w:r>
          </w:p>
        </w:tc>
        <w:tc>
          <w:tcPr>
            <w:tcW w:w="100" w:type="dxa"/>
            <w:vAlign w:val="bottom"/>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Ron R. Green</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46,381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36,441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65,238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532,374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6" w:lineRule="exact"/>
        <w:rPr>
          <w:sz w:val="20"/>
          <w:szCs w:val="20"/>
          <w:color w:val="auto"/>
        </w:rPr>
      </w:pPr>
    </w:p>
    <w:p>
      <w:pPr>
        <w:ind w:left="340" w:right="240" w:hanging="332"/>
        <w:spacing w:after="0" w:line="258"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amounts reported in the Summary Compensation Table for 2013.</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Amounts reported in this column are also included in the “See All Other Compensation” column of the Summary Compensation Table for 2013.</w:t>
      </w:r>
    </w:p>
    <w:p>
      <w:pPr>
        <w:spacing w:after="0" w:line="20" w:lineRule="exact"/>
        <w:rPr>
          <w:rFonts w:ascii="Arial" w:cs="Arial" w:eastAsia="Arial" w:hAnsi="Arial"/>
          <w:sz w:val="17"/>
          <w:szCs w:val="17"/>
          <w:color w:val="auto"/>
        </w:rPr>
      </w:pPr>
    </w:p>
    <w:p>
      <w:pPr>
        <w:ind w:left="340" w:right="80" w:hanging="332"/>
        <w:spacing w:after="0" w:line="265" w:lineRule="auto"/>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This column represents net unrealized appreciation, dividends and distributions from mutual fund investments for 2013 associated with investments held in the Deferred Compensation Plan for Messrs. Dodson and in the Canadian Non-Registered Savings Plan for Mr. Green.</w:t>
      </w:r>
    </w:p>
    <w:p>
      <w:pPr>
        <w:ind w:left="340" w:right="720" w:hanging="332"/>
        <w:spacing w:after="0" w:line="250"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Deferred Compensation Plan allows an annual “roll-over” of deferred compensation amounts into Oil States’ 401(k) Retirement Plan to the maximum extent permitted by U.S. Internal Revenue Service regulations.</w:t>
      </w:r>
    </w:p>
    <w:p>
      <w:pPr>
        <w:ind w:left="340" w:hanging="332"/>
        <w:spacing w:after="0"/>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See Named Executive Officers table in “Compensation Discussion and Analysis” for more information about Mr. Steininger’s employment arrangements.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table below reflects the amount of compensation to certain of the Named Executive Officers in the event of a qualified termination, which is defined as (i) an involuntary termination of the executive officer by Oil States other than for “Cause” or (ii) either an involuntary termination other than for “Cause” or a voluntary termination by the executive for “Good Reason,” in each case, during a specified period of time after a corporate “Change of Control” (as defined in each Executive Agreement) of Oil States. See “Compensation Discussion and Analysis—Executive and Change of Control Agreements” herein for additional information; such Executive and Change of Control Agreements are referred to herein as “Executive Agreements”. The scope and terms of compensation due to each Named Executive Officer upon voluntary terminations, early retirement, retirement, for Cause termination and in the event of disability or death of the executive are the same as for all salaried employees. The amounts shown in the table assume that such qualified termination was effective as of December 31, 2013 and, therefore, include compensation earned through such time and are estimates of the amounts which would be paid out to the executives upon their terminations. The actual amounts to be paid can only be determined at the time of such executive’s separation from Oil States.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separation of SpinCo is not a change-in-control and therefore will not entitle executive officers of Oil States to any change-in-control benefits.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Change of Control Agreements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Pursuant to Messrs. Dodson’s and Green’s Executive Agreements, if either of them is terminated by Oil States following a Change of Control of Oil States (other than termination by Oil States for Cause, as defined in the agreement, or by reason of death or disability), or if either of them voluntarily terminate their employment for “Good Reason”, as defined, in either case, in the agreement, during the 24-month period following a corporate Change of Control, then the affected Named Executive Officer is entitled to receive a lump sum severance payment of two times the sum of his base salary and the target annual bonus that may be earned by him pursuant to the AICP for the year of termination. If any of them are terminated by Oil States not for Cause other than during the 24-month period following a Change of Control, he is entitled to receive a lump sum severance payment of one times the sum of his base salary and the target annual bonus that may be earned by him pursuant to the AICP for the year of termination.</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 Named Executive Officer is terminated by Oil States not for Cause other than during the 24-month period following a corporate Change of Control, the Executive Agreements provide (i) for the cash lump sum severance payments described above, (ii) that all restrictions on restricted stock and phantom stock units will lapse and (iii) for continued health benefits for 12 months. Any vested, non-qualified stock options would expire after 3 months of the date of termination if not exercised prior to their expiration.</w:t>
      </w:r>
    </w:p>
    <w:p>
      <w:pPr>
        <w:spacing w:after="0" w:line="187"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The Change of Control provision in the Executive Agreement is intended to encourage continued employment by Oil States of its executive officers and to allow such executive to be in a position to provide assessment and advice to the board of directors of Oil States regarding any proposed Change of Control without concern that such executive might be unduly distracted by the uncertainties and risks created by a proposed Change of Control. Unlike “single trigger” plans that pay out immediately upon a change of control, Oil States’ agreement requires a “double trigger” (i.e. a change of control along with an involuntary loss of employment). If the qualified termination occurs during the 24-month period following a corporate Change of Control, the agreements provide for the cash lump sum severance payments described above. In addition, with respect to such a qualified termination, the agreements provide that all restricted stock, phantom stock units and options will become vested, that all restrictions on such awards will lapse and that outstanding stock options will remain exercisable for the remainder of their terms. The executive officer will also be entitled to (A) health benefits until the earlier of (i) 36 months and</w:t>
      </w:r>
    </w:p>
    <w:p>
      <w:pPr>
        <w:spacing w:after="0" w:line="1" w:lineRule="exact"/>
        <w:rPr>
          <w:sz w:val="20"/>
          <w:szCs w:val="20"/>
          <w:color w:val="auto"/>
        </w:rPr>
      </w:pPr>
    </w:p>
    <w:p>
      <w:pPr>
        <w:ind w:right="20" w:firstLine="8"/>
        <w:spacing w:after="0" w:line="252" w:lineRule="auto"/>
        <w:tabs>
          <w:tab w:leader="none" w:pos="2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date the executive begins receiving comparable benefits from a subsequent employer, (B) vesting of all contributions to our 401(k) plan and Deferred Compensation Plan to the extent not already vested and (C) outplacement services equal to a maximum of 15% of the executive’s salary at the time of termination until the earliest to occur of (i) December 31 of the second calendar year following the year of termination and (ii) the date the executive accepts subsequent employment. Executive agreements entered into with Mr. Dodson entitle him to be made whole for any excise taxes incurred with respect to severance payments that are in excess of the limits set forth under the Internal Revenue Code. The Executive Agreement entered into with Mr. Green does not contain excise tax gross up protection.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127" w:name="page128"/>
    <w:bookmarkEnd w:id="127"/>
    <w:p>
      <w:pPr>
        <w:ind w:left="340"/>
        <w:spacing w:after="0"/>
        <w:rPr>
          <w:sz w:val="20"/>
          <w:szCs w:val="20"/>
          <w:color w:val="auto"/>
        </w:rPr>
      </w:pPr>
      <w:r>
        <w:rPr>
          <w:rFonts w:ascii="Arial" w:cs="Arial" w:eastAsia="Arial" w:hAnsi="Arial"/>
          <w:sz w:val="17"/>
          <w:szCs w:val="17"/>
          <w:color w:val="auto"/>
        </w:rPr>
        <w:t>To receive benefits under the Executive Agreement, the executive officer will be required to execute a release of all claims against Oil States.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Generally, each participant in the Deferred Compensation Plan will receive, at the participant’s election, a lump sum distribution or installment payments upon a change of control or a termination of the participant’s service with Oil States and its affiliates. For “Key Employees,” as defined in IRS regulations, distributions of deferrals made after 2004 are delayed at least six months. Any other withdrawals by the participant will be made in good faith compliance with 409A limitations. Please see “Nonqualified Deferred Compensation” for information regarding the aggregate balance of each Named Executive Officer who participates in the Deferred Compensation Plan and “Compensation Discussion and Analysis—Deferred Compensation Plan” for additional information regarding payments under the Deferred Compensation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Oil States’ stock option agreements provide that, in the event of an employee’s disability, retirement or death, outstanding unvested stock options will become fully vested and will be exercisable for a period of one year following the employee’s date of termination due to disability (within the meaning of Section 22(e)(3) of the Internal Revenue Code, retirement (on or after attainment of age 65 or, with the Oil States Compensation Committee’s express written consent, on or after the age of 55) or death. Oil States’ restricted stock award agreements provide that restricted stock awards will become fully vested on</w:t>
      </w:r>
    </w:p>
    <w:p>
      <w:pPr>
        <w:spacing w:after="0" w:line="2" w:lineRule="exact"/>
        <w:rPr>
          <w:sz w:val="20"/>
          <w:szCs w:val="20"/>
          <w:color w:val="auto"/>
        </w:rPr>
      </w:pPr>
    </w:p>
    <w:p>
      <w:pPr>
        <w:ind w:firstLine="8"/>
        <w:spacing w:after="0" w:line="252" w:lineRule="auto"/>
        <w:tabs>
          <w:tab w:leader="none" w:pos="2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a Change of Control occurs or (ii) the termination of an employee’s employment due to his death or a disability that entitles the employee to receive benefits under a long term disability plan of Oil States. Oil States’ performance based award agreements provided that, if prior to the second anniversary of the grant date of the award, (A) a Change of Control occurs, or (B) the employee becomes disabled or dies, then the performance based award will vest upon the occurrence of such event at the “determined percentage.” The “determined percentage” is the performance of vesting that would have occurred under the award as if the date of the applicable vesting event were the most recently completed fiscal quarter of Oil States. In addition, in the case of disability or death, the “determined percentage” shall be multiplied by a fraction representing the time of actual employment by the employee from the grant date of the award until the third anniversary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 of Payments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Shown in the table below are potential payments upon the assumed (i) involuntary not for Cause termination of the Named Executive Officers other than during the 24-month period following a Change of Control, or (ii) involuntary not for Cause termination or termination by the Named Executive Officer for “Good Reason,” in either case, during the 24-month period following a Change of Control of Oil States, occurring as of December 31, 2013. None of the named executive officers’ potential payments as of December 31, 2013 would trigger a gross up payment for excise taxes that would be reimbursed under their Executive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5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Bradley J. Dodson</w:t>
            </w:r>
          </w:p>
        </w:tc>
        <w:tc>
          <w:tcPr>
            <w:tcW w:w="200" w:type="dxa"/>
            <w:vAlign w:val="bottom"/>
          </w:tcPr>
          <w:p>
            <w:pPr>
              <w:spacing w:after="0"/>
              <w:rPr>
                <w:sz w:val="20"/>
                <w:szCs w:val="20"/>
                <w:color w:val="auto"/>
              </w:rPr>
            </w:pPr>
          </w:p>
        </w:tc>
        <w:tc>
          <w:tcPr>
            <w:tcW w:w="25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Frank C. Steininger (4)</w:t>
            </w:r>
          </w:p>
        </w:tc>
      </w:tr>
      <w:tr>
        <w:trPr>
          <w:trHeight w:val="191"/>
        </w:trPr>
        <w:tc>
          <w:tcPr>
            <w:tcW w:w="6080" w:type="dxa"/>
            <w:vAlign w:val="bottom"/>
          </w:tcPr>
          <w:p>
            <w:pPr>
              <w:spacing w:after="0"/>
              <w:rPr>
                <w:sz w:val="16"/>
                <w:szCs w:val="16"/>
                <w:color w:val="auto"/>
              </w:rPr>
            </w:pPr>
          </w:p>
        </w:tc>
        <w:tc>
          <w:tcPr>
            <w:tcW w:w="13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2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Not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Not for</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Cause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Cause</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Termination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without an Oil</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with an Oil</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without an Oil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with an Oil</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States</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States</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States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States</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Change of</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Change of</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Change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Change of</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Executive benefits and</w:t>
            </w: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Control</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Control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Payments Upon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Separation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12/31/2013</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12/31/2013</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12/31/2013</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12/31/2013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Severance</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767,250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2,146,594</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349,558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Stock Awards(1)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1,538,515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3,340,485</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Health and Welfare Benefits(2)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8,645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17,256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Outplacement Assistance(3)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69,750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440"/>
              <w:spacing w:after="0"/>
              <w:rPr>
                <w:sz w:val="20"/>
                <w:szCs w:val="20"/>
                <w:color w:val="auto"/>
              </w:rPr>
            </w:pPr>
            <w:r>
              <w:rPr>
                <w:rFonts w:ascii="Arial" w:cs="Arial" w:eastAsia="Arial" w:hAnsi="Arial"/>
                <w:sz w:val="18"/>
                <w:szCs w:val="18"/>
                <w:color w:val="auto"/>
              </w:rPr>
              <w:t>Tax Gross Up</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5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Ron R. Green</w:t>
            </w:r>
          </w:p>
        </w:tc>
        <w:tc>
          <w:tcPr>
            <w:tcW w:w="200" w:type="dxa"/>
            <w:vAlign w:val="bottom"/>
          </w:tcPr>
          <w:p>
            <w:pPr>
              <w:spacing w:after="0"/>
              <w:rPr>
                <w:sz w:val="20"/>
                <w:szCs w:val="20"/>
                <w:color w:val="auto"/>
              </w:rPr>
            </w:pPr>
          </w:p>
        </w:tc>
        <w:tc>
          <w:tcPr>
            <w:tcW w:w="25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Peter L. McCann</w:t>
            </w:r>
          </w:p>
        </w:tc>
      </w:tr>
      <w:tr>
        <w:trPr>
          <w:trHeight w:val="191"/>
        </w:trPr>
        <w:tc>
          <w:tcPr>
            <w:tcW w:w="6080" w:type="dxa"/>
            <w:vAlign w:val="bottom"/>
          </w:tcPr>
          <w:p>
            <w:pPr>
              <w:spacing w:after="0"/>
              <w:rPr>
                <w:sz w:val="16"/>
                <w:szCs w:val="16"/>
                <w:color w:val="auto"/>
              </w:rPr>
            </w:pPr>
          </w:p>
        </w:tc>
        <w:tc>
          <w:tcPr>
            <w:tcW w:w="13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2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Not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Not for</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Cause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Cause</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Termination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without an Oil</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with an Oil</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without an Oil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with an Oil</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States</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States</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States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States</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Change of</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Change of</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Change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Change of</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Executive benefits and</w:t>
            </w: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Control</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Control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Payments Upon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Separation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12/31/2013</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12/31/2013</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12/31/2013</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12/31/2013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Severance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805,000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1,610,000</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520,406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Stock Awards(1)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508,600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2,715,924</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Health and Welfare Benefits(2)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4,565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8,562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Outplacement Assistance(3)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64,840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440"/>
              <w:spacing w:after="0"/>
              <w:rPr>
                <w:sz w:val="20"/>
                <w:szCs w:val="20"/>
                <w:color w:val="auto"/>
              </w:rPr>
            </w:pPr>
            <w:r>
              <w:rPr>
                <w:rFonts w:ascii="Arial" w:cs="Arial" w:eastAsia="Arial" w:hAnsi="Arial"/>
                <w:sz w:val="18"/>
                <w:szCs w:val="18"/>
                <w:color w:val="auto"/>
              </w:rPr>
              <w:t>Tax Gross Up</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6" w:lineRule="exact"/>
        <w:rPr>
          <w:sz w:val="20"/>
          <w:szCs w:val="20"/>
          <w:color w:val="auto"/>
        </w:rPr>
      </w:pPr>
    </w:p>
    <w:p>
      <w:pPr>
        <w:ind w:left="340" w:hanging="332"/>
        <w:spacing w:after="0" w:line="267" w:lineRule="auto"/>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Reflects the value of unvested stock options, restricted stock awards, phantom stock awards, and performance based awards as of December 31, 2013 that would be accelerated as a result of the separation event based on Oil States’ stock price of $101.72, which was the closing market price of Oil States’ common stock as of December 31, 2013. Performance based awards have been quantified assuming that the performance period ended on December 31, 2013 and that the performance level achievement would have been 200% of target. The amounts reported in the “Stock Options” row would also be realized by the Named Executive Officers in the event of a Named Executive Officer’s disability, retirement or death occurring on December 31, 2013. In addition, the amounts reported in the “Stock Awards” row would be realized by the Named Executive Officers in the event of the occurrence of a Change of Control (without the occurrence of a qualified termination) or upon the Named Executive Officer’s death or disability, in each case, occurring on December 31, 2013.</w:t>
      </w:r>
    </w:p>
    <w:p>
      <w:pPr>
        <w:spacing w:after="0" w:line="3" w:lineRule="exact"/>
        <w:rPr>
          <w:rFonts w:ascii="Arial" w:cs="Arial" w:eastAsia="Arial" w:hAnsi="Arial"/>
          <w:sz w:val="17"/>
          <w:szCs w:val="17"/>
          <w:color w:val="auto"/>
        </w:rPr>
      </w:pPr>
    </w:p>
    <w:p>
      <w:pPr>
        <w:ind w:left="340" w:right="340" w:hanging="332"/>
        <w:spacing w:after="0" w:line="250"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Reflects the estimated lump-sum present value of all future premiums which will be paid on behalf of the Named Executive Officer under Oil States’ health and welfare benefit plans for the applicable continuation period specified in the Executive Agreements.</w:t>
      </w:r>
    </w:p>
    <w:p>
      <w:pPr>
        <w:ind w:left="340" w:hanging="332"/>
        <w:spacing w:after="0"/>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Reflects the maximum amount of outplacement assistance that would be provided for the Named Executive Officer pursuant to the Executive Agreement.</w:t>
      </w:r>
    </w:p>
    <w:p>
      <w:pPr>
        <w:spacing w:after="0" w:line="32" w:lineRule="exact"/>
        <w:rPr>
          <w:rFonts w:ascii="Arial" w:cs="Arial" w:eastAsia="Arial" w:hAnsi="Arial"/>
          <w:sz w:val="16"/>
          <w:szCs w:val="16"/>
          <w:color w:val="auto"/>
        </w:rPr>
      </w:pPr>
    </w:p>
    <w:p>
      <w:pPr>
        <w:ind w:left="340" w:right="60" w:hanging="332"/>
        <w:spacing w:after="0" w:line="254"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See Named Executive Officers table in “Compensation Discussion and Analysis” for more information about Mr. Steininger’s employment arrangements; see also “Agreement with Our Chief Financial Officer” in “Compensation Discussion and Analysis” for a summary of the proposed severance protection arrangement with Mr. Steininger. It is anticipated that Mr. Steininger will enter into an Executive Agreement after the completion of the spin-off.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29" w:name="page130"/>
    <w:bookmarkEnd w:id="129"/>
    <w:p>
      <w:pPr>
        <w:jc w:val="center"/>
        <w:ind w:right="-59"/>
        <w:spacing w:after="0"/>
        <w:rPr>
          <w:sz w:val="20"/>
          <w:szCs w:val="20"/>
          <w:color w:val="auto"/>
        </w:rPr>
      </w:pPr>
      <w:r>
        <w:rPr>
          <w:rFonts w:ascii="Arial" w:cs="Arial" w:eastAsia="Arial" w:hAnsi="Arial"/>
          <w:sz w:val="18"/>
          <w:szCs w:val="18"/>
          <w:b w:val="1"/>
          <w:bCs w:val="1"/>
          <w:color w:val="auto"/>
        </w:rPr>
        <w:t>DIRECTOR COMPENSATION</w:t>
      </w:r>
    </w:p>
    <w:p>
      <w:pPr>
        <w:spacing w:after="0" w:line="200" w:lineRule="exact"/>
        <w:rPr>
          <w:sz w:val="20"/>
          <w:szCs w:val="20"/>
          <w:color w:val="auto"/>
        </w:rPr>
      </w:pPr>
    </w:p>
    <w:p>
      <w:pPr>
        <w:spacing w:after="0" w:line="24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non-employee directors will receive compensation for their services on the board of directors. Following the separation, we expect our director compensation programs and amounts will be structured similarly to those currently in place at Oil States.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Directors who are also our employees will not receive a retainer or fees for service on our board of directors or any committees. Directors who are not employees will receive an annual retainer of $[●] and fees of $[●] for attendance at each board of directors or committee meeting. The non-employee director who serves as the Chairman of the Board will receive an additional annual retainer of $[●], which is paid quarterly [●]% in cash and [●]% in fully vested shares of SpinCo stock, and each non-employee director who serves as the chairman of the Compensation Committee or the Nominating &amp; Corporate Governance Committee will receive an additional annual retainer of $[●]. The chairman of the Audit Committee will receive an additional annual retainer of $[●]. Members of the Nominating &amp; Corporate Governance Committee and the Compensation Committee, other than the Committee chairman, will receive an additional annual retainer of $[●] and members of the Audit Committee, other than the Committee Chairs, will receive an additional annual retainer of $[●]. Newly elected non-employee directors will receive restricted stock awards of SpinCo common stock valued at $[●] after their initial election. Non-employee directors will receive additional restricted stock awards of Spinco common stock valued at $[●] at each annual stockholders’ meeting after which they continue to serve. The non-employee directors’ restricted stock awards will be valued on the award date based on the closing stock price and vest on the earlier of one year from the date of grant or the next annual stockholders’ meeting date following the date of grant.</w:t>
      </w:r>
    </w:p>
    <w:p>
      <w:pPr>
        <w:spacing w:after="0" w:line="173" w:lineRule="exact"/>
        <w:rPr>
          <w:sz w:val="20"/>
          <w:szCs w:val="20"/>
          <w:color w:val="auto"/>
        </w:rPr>
      </w:pPr>
    </w:p>
    <w:p>
      <w:pPr>
        <w:jc w:val="both"/>
        <w:ind w:right="120" w:firstLine="324"/>
        <w:spacing w:after="0" w:line="255" w:lineRule="auto"/>
        <w:rPr>
          <w:sz w:val="20"/>
          <w:szCs w:val="20"/>
          <w:color w:val="auto"/>
        </w:rPr>
      </w:pPr>
      <w:r>
        <w:rPr>
          <w:rFonts w:ascii="Arial" w:cs="Arial" w:eastAsia="Arial" w:hAnsi="Arial"/>
          <w:sz w:val="18"/>
          <w:szCs w:val="18"/>
          <w:color w:val="auto"/>
        </w:rPr>
        <w:t>Non-Employee directors will also be subject to SpinCo’s stock ownership and holding period guidelines pursuant to which they are expected to retain restricted stock award shares remaining, after payment of applicable taxes, valued at five times the annual retainer amount, or $[●], until retirement or until leaving the board of directors. Once the ownership guideline is established for a director and communicated, the director has four years to attain the targeted level of ownership. All of our directors will be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9" w:right="27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the date of this information statement, all outstanding shares of our common stock are owned beneficially and of record by Oil States. After the spin-off, Oil States will not own any of our common stock. The following table sets forth information with respect to the anticipated beneficial ownership of our common stock by:</w:t>
      </w:r>
    </w:p>
    <w:p>
      <w:pPr>
        <w:spacing w:after="0" w:line="181" w:lineRule="exact"/>
        <w:rPr>
          <w:sz w:val="20"/>
          <w:szCs w:val="20"/>
          <w:color w:val="auto"/>
        </w:rPr>
      </w:pPr>
    </w:p>
    <w:p>
      <w:pPr>
        <w:ind w:left="660" w:right="40" w:hanging="652"/>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shareholder who we believe (based on the assumptions described below) will beneficially own more than 5% of SpinCo’s outstanding common stock;</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person who is expected to serve as a director upon completion of the spin-off;</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person who is expected to serve as an executive officer upon completion of the spin-off;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persons who are expected to serve as directors or executive officers upon completion of the spin-off as a group.</w:t>
      </w:r>
    </w:p>
    <w:p>
      <w:pPr>
        <w:sectPr>
          <w:pgSz w:w="11900" w:h="16838" w:orient="portrait"/>
          <w:cols w:equalWidth="0" w:num="1">
            <w:col w:w="11400"/>
          </w:cols>
          <w:pgMar w:left="240" w:top="769" w:right="259" w:bottom="1440" w:gutter="0" w:footer="0" w:header="0"/>
        </w:sectPr>
      </w:pP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Except as otherwise noted below, we based the share amounts shown on each person’s beneficial ownership of Oil States common stock on 2014, and a distribution ratio of shares of our common stock for each share of Oil States common stock held by such person.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87" w:lineRule="exact"/>
        <w:rPr>
          <w:sz w:val="20"/>
          <w:szCs w:val="20"/>
          <w:color w:val="auto"/>
        </w:rPr>
      </w:pPr>
    </w:p>
    <w:p>
      <w:pPr>
        <w:sectPr>
          <w:pgSz w:w="11900" w:h="16838" w:orient="portrait"/>
          <w:cols w:equalWidth="0" w:num="2">
            <w:col w:w="10360" w:space="680"/>
            <w:col w:w="360"/>
          </w:cols>
          <w:pgMar w:left="240" w:top="769" w:right="259" w:bottom="1440" w:gutter="0" w:footer="0" w:header="0"/>
          <w:type w:val="continuous"/>
        </w:sectPr>
      </w:pPr>
    </w:p>
    <w:p>
      <w:pPr>
        <w:ind w:right="100" w:firstLine="324"/>
        <w:spacing w:after="0" w:line="264" w:lineRule="auto"/>
        <w:rPr>
          <w:sz w:val="20"/>
          <w:szCs w:val="20"/>
          <w:color w:val="auto"/>
        </w:rPr>
      </w:pPr>
      <w:r>
        <w:rPr>
          <w:rFonts w:ascii="Arial" w:cs="Arial" w:eastAsia="Arial" w:hAnsi="Arial"/>
          <w:sz w:val="18"/>
          <w:szCs w:val="18"/>
          <w:color w:val="auto"/>
        </w:rPr>
        <w:t>To the extent persons who are directors or executive officers or who are expected to serve as directors or executive officers upon completion of the spin-off own Oil States common stock at the record date of the spin-off, they will participate in the distribution on the same terms as other holders of Oil States common stock.</w:t>
      </w:r>
    </w:p>
    <w:p>
      <w:pPr>
        <w:spacing w:after="0" w:line="181"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Immediately following the spin-off, we expect to have approximately 24 stockholders of record, based on the number of registered stockholders of Oil States common stock on January 16, 2014, and approximately [●] million shares of SpinCo common stock outstanding. The actual number of shares of our</w:t>
      </w:r>
    </w:p>
    <w:p>
      <w:pPr>
        <w:ind w:right="40"/>
        <w:spacing w:after="0" w:line="261" w:lineRule="auto"/>
        <w:rPr>
          <w:sz w:val="20"/>
          <w:szCs w:val="20"/>
          <w:color w:val="auto"/>
        </w:rPr>
      </w:pPr>
      <w:r>
        <w:rPr>
          <w:rFonts w:ascii="Arial" w:cs="Arial" w:eastAsia="Arial" w:hAnsi="Arial"/>
          <w:sz w:val="18"/>
          <w:szCs w:val="18"/>
          <w:color w:val="auto"/>
        </w:rPr>
        <w:t>common stock outstanding following the spin-off will be determined on , 2014, the record date. As of January 16, 2014, Oil States had approximately 24 stockholders of record and approximately [●] million shares of Oil States common stock outstanding.</w:t>
      </w:r>
    </w:p>
    <w:p>
      <w:pPr>
        <w:spacing w:after="0" w:line="40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of common stock indicated.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stock ownership will be included in subsequent amendments.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type w:val="continuous"/>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t>ARRANGEMENTS BETWEEN OIL STATES AND OUR COMPANY</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This section provides a summary description of agreements between Oil States and us relating to our restructuring transactions and our relationship with Oil States after the spin-off. This description of the agreements between Oil States and us is a summary and, with respect to each such agreement, is qualified by reference to the terms of the agreement, each of which will be filed as an exhibit to the registration statement of which this information statement is a part. We encourage you to read the full text of these agreements. We will enter into these agreements with Oil States prior to the completion of the spin-off; accordingly, we will enter into these agreements with Oil States in the context of our relationship as a wholly-owned subsidiary of Oil States. The terms of these agreements may be more or less favorable to us than if they had been negotiated with unaffiliated third parties.</w:t>
      </w:r>
    </w:p>
    <w:p>
      <w:pPr>
        <w:spacing w:after="0" w:line="16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terms of the agreements described below have not yet been finalized. Changes, some of which may be material, may be made prior to our separation from Oil States. No changes may be made after the Spin-Off without our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Separation and Distribution Agreement will govern the terms of the separation of the accommodations business from Oil States’ other businesses. Generally, the Separation and Distribution Agreement will include Oil States’ and our agreements relating to the restructuring steps to be taken to complete the separation, including the assets and rights to be transferred, liabilities to be assumed, contracts to be assigned and related matters. Subject to the receipt of required governmental and other consents and approvals, in order to accomplish the separation, the Separation and Distribution Agreement will provide for Oil States and us to transfer specified assets and liabilities between the companies that will operate the accommodations business after the distribution, on the one hand, and Oil States’ remaining businesses, on the other hand. As a result of this transfer, we will own all assets and liabilities primary related to the accommodations business. Oil States will retain all other assets and liabilities, including assets and liabilities related to discontinued businesses. The Separation and Distribution Agreement will require Oil States and us to endeavor to obtain consents, approvals and amendments required to novate or assign the assets and liabilities that are to be transferred pursuant to the Separation and Distribution Agreement as soon as reasonably practicable.</w:t>
      </w:r>
    </w:p>
    <w:p>
      <w:pPr>
        <w:spacing w:after="0" w:line="16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Unless otherwise provided in the Separation and Distribution Agreement or any of the related ancillary agreements, all assets will be transferred on an “as is, where is” basis. Generally, if the transfer of any assets or liabilities requires a consent that will not be obtained before the distribution, or if any assets or liabilities are transferred to the other party and should not have been so transferred, each party will agree to hold the assets or liabilities for the intended party’s use and benefit (and at its expense) until they can be transferred to such intended party.</w:t>
      </w:r>
    </w:p>
    <w:p>
      <w:pPr>
        <w:spacing w:after="0" w:line="171"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Separation and Distribution Agreement will specify those conditions that must be satisfied or waived by Oil States prior to the distribution. In addition, Oil States will have the right to determine the date and terms of the distribution, and will have the right, at any time until completion of the distribution, to determine to abandon or modify the distribution and to terminate the Separation and Distribution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Transition Services Agreement will set forth the terms on which Oil States will provide to us, and we will provide to Oil States, on a temporary basis, certain services or functions that the companies historically have shared. Transition services may include administrative, payroll, human resources, data processing, environmental health and safety, financial audit support, financial transaction support, and other support services, information technology systems and various other corporate services. We expect the agreement will provide for the provision of specified transition services, generally for a period of up to 12 months, with a possible extension of 6 months (an aggregate of 18 months), on a cost or a cost-plus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Sharing Agreement</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Tax Sharing Agreement will govern the respective rights, responsibilities, and obligations of Oil States and us with respect to tax liabilities and benefits, tax attributes, the preparation and filing of tax returns, the control of audits and other tax proceedings, and other matters regarding taxes. The Tax Sharing Agreement will remain in effect until the parties agree in writing to its termination; however, notwithstanding such termination, the Tax Sharing Agreement will remain in effect with respect to any payments or indemnification due for all taxable periods prior to such termination during which the agreement was in effect.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9" w:right="279" w:bottom="1440" w:gutter="0" w:footer="0" w:header="0"/>
        </w:sectPr>
      </w:pPr>
    </w:p>
    <w:bookmarkStart w:id="132" w:name="page133"/>
    <w:bookmarkEnd w:id="132"/>
    <w:p>
      <w:pPr>
        <w:ind w:left="340"/>
        <w:spacing w:after="0"/>
        <w:rPr>
          <w:sz w:val="20"/>
          <w:szCs w:val="20"/>
          <w:color w:val="auto"/>
        </w:rPr>
      </w:pPr>
      <w:r>
        <w:rPr>
          <w:rFonts w:ascii="Arial" w:cs="Arial" w:eastAsia="Arial" w:hAnsi="Arial"/>
          <w:sz w:val="18"/>
          <w:szCs w:val="18"/>
          <w:color w:val="auto"/>
        </w:rPr>
        <w:t>In general, pursuant to the Tax Sharing Agreement:</w:t>
      </w:r>
    </w:p>
    <w:p>
      <w:pPr>
        <w:spacing w:after="0" w:line="225" w:lineRule="exact"/>
        <w:rPr>
          <w:sz w:val="20"/>
          <w:szCs w:val="20"/>
          <w:color w:val="auto"/>
        </w:rPr>
      </w:pPr>
    </w:p>
    <w:p>
      <w:pPr>
        <w:ind w:left="660" w:right="30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SpinCo and Oil States will agree to cooperate in the preparation of tax returns and with regard to any audits related to SpinCo’s or Oil States’ tax returns;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Tax Sharing Agreement will assign responsibilities for administrative matters, such as the filing of tax returns, payment of taxes due, retention of records and conduct of audits, examinations, or similar proceedings;</w:t>
      </w:r>
    </w:p>
    <w:p>
      <w:pPr>
        <w:spacing w:after="0" w:line="170"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respect to any periods (or portions thereof) ending prior to the distribution, Oil States will pay any U.S. federal income taxes of the affiliated group of which Oil States is the common parent and, if SpinCo (including any of its subsidiaries) is included in that affiliated group, SpinCo will pay Oil States an amount equal to the amount of U.S. federal income tax SpinCo would have paid had SpinCo filed a separate consolidated U.S. federal income tax return, subject to certain adjustments. With respect to any periods (or portions thereof) beginning after the distribution, SpinCo will be responsible for any U.S. federal income taxes of SpinCo and its subsidiaries;</w:t>
      </w:r>
    </w:p>
    <w:p>
      <w:pPr>
        <w:spacing w:after="0" w:line="188"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respect to any periods (or portions thereof) ending prior to the distribution, Oil States will pay any U.S. state or local income taxes that are determined on a consolidated, combined, or unitary basis and, if SpinCo (including any of its subsidiaries) is included in such determination, SpinCo will pay Oil States an amount equal to the amount of tax SpinCo would have paid had SpinCo filed a separate return for such income, subject to certain adjustments;</w:t>
      </w:r>
    </w:p>
    <w:p>
      <w:pPr>
        <w:spacing w:after="0" w:line="18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respect to any periods (or portions thereof) beginning after the distribution, SpinCo will be responsible for any U.S. federal income taxes of SpinCo and its subsidiaries;</w:t>
      </w:r>
    </w:p>
    <w:p>
      <w:pPr>
        <w:spacing w:after="0" w:line="17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Oil States will be responsible for any U.S. federal, state, local, or foreign taxes due with respect to tax returns that include only Oil States and/or its subsidiaries (excluding SpinCo and its subsidiaries), and SpinCo will be responsible for any U.S. federal, state, local or foreign taxes due with respect to tax returns that include only SpinCo and/or its subsidiaries;</w:t>
      </w:r>
    </w:p>
    <w:p>
      <w:pPr>
        <w:spacing w:after="0" w:line="181"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extent that any gain or income is recognized by Oil States (including its subsidiaries) in connection with the failure of the spin-off to qualify for tax-free treatment under Sections 355 and 368(a)(1)(D) of the Code, SpinCo will indemnify Oil States for any taxes on such gain or income to the extent such failure is attributable to:</w:t>
      </w:r>
    </w:p>
    <w:p>
      <w:pPr>
        <w:spacing w:after="0" w:line="181" w:lineRule="exact"/>
        <w:rPr>
          <w:rFonts w:ascii="Arial" w:cs="Arial" w:eastAsia="Arial" w:hAnsi="Arial"/>
          <w:sz w:val="18"/>
          <w:szCs w:val="18"/>
          <w:color w:val="auto"/>
        </w:rPr>
      </w:pPr>
    </w:p>
    <w:p>
      <w:pPr>
        <w:ind w:left="1300" w:right="340" w:hanging="644"/>
        <w:spacing w:after="0" w:line="277"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inaccurate written covenant, representation, or warranty by SpinCo made in connection with the Tax Sharing Agreement or any tax ruling requested or received from the IRS or opinions of Oil States’ outside tax advisors;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breach by SpinCo of applicable representations, warranties, or covenants in the Tax Sharing Agreement;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other action taken by SpinCo; and</w:t>
      </w:r>
    </w:p>
    <w:p>
      <w:pPr>
        <w:spacing w:after="0" w:line="225" w:lineRule="exact"/>
        <w:rPr>
          <w:rFonts w:ascii="Arial" w:cs="Arial" w:eastAsia="Arial" w:hAnsi="Arial"/>
          <w:sz w:val="18"/>
          <w:szCs w:val="18"/>
          <w:color w:val="auto"/>
        </w:rPr>
      </w:pPr>
    </w:p>
    <w:p>
      <w:pPr>
        <w:ind w:left="1300" w:right="60" w:hanging="644"/>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SpinCo will bear 50% of the amount of any gain or income that is recognized by Oil States (including its subsidiaries) in connection with the failure of the spin-off to qualify for tax-free treatment under Sections 355 and 368(a)(1)(D) of the Code, to the extent such failure is not attributable to the fault of either party.</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Oil States has received a private letter ruling substantially to the effect that, for U.S. federal income tax purposes, (i) certain transactions to be effected in connection with the separation qualify as transactions under Sections 355 and/or 368(a) of the Code, and (ii) the distribution generally qualifies as a tax-free transaction under Sections 355 and 368(a)(1)(D) of the Code. In addition, Oil States will receive an opinion from its tax counsel, in form and substance acceptable to Oil States, regarding certain matters upon which the IRS will not rule. The opinion will rely on the private letter ruling as to matters covered by the private letter ruling.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33" w:name="page134"/>
    <w:bookmarkEnd w:id="133"/>
    <w:p>
      <w:pPr>
        <w:ind w:firstLine="324"/>
        <w:spacing w:after="0" w:line="254" w:lineRule="auto"/>
        <w:rPr>
          <w:sz w:val="20"/>
          <w:szCs w:val="20"/>
          <w:color w:val="auto"/>
        </w:rPr>
      </w:pPr>
      <w:r>
        <w:rPr>
          <w:rFonts w:ascii="Arial" w:cs="Arial" w:eastAsia="Arial" w:hAnsi="Arial"/>
          <w:sz w:val="18"/>
          <w:szCs w:val="18"/>
          <w:color w:val="auto"/>
        </w:rPr>
        <w:t>SpinCo will agree to certain restrictions that are intended to preserve the tax-free status of the contribution, distribution, and related transactions. During the two-year period following the spin-off, these covenants will restrict SpinCo’s ability to sell assets outside the ordinary course of business, to issue or sell its common stock or other securities (including securities convertible into its common stock), or to enter into any other corporate transaction that would cause SpinCo to undergo either a 50% or greater change in the ownership of its voting stock or a 50% or greater change in the ownership (measured by value) of all classes of its stock. SpinCo may take certain actions otherwise subject to these restrictions only if Oil States consents to the taking of such action or if SpinCo obtains, and provides to Oil States, a private letter ruling from the IRS and/or an opinion from an independent law firm or accounting firm, in either case, acceptable to Oil States in its sole discretion, to the effect that such action would not jeopardize the tax-free status of the contribution, distribution, or related transactions.</w:t>
      </w:r>
    </w:p>
    <w:p>
      <w:pPr>
        <w:spacing w:after="0" w:line="19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full text of the Tax Sharing Agreement, which is attached as Exhibit 10.2 to this Form 10 and is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Employee Matters Agreement will govern Oil States’ and our compensation and employee benefit obligations with respect to the current and former employees of each company, and generally will allocate liabilities and responsibilities relating to employee compensation and benefit plans and programs. The Employee Matters Agreement will provide for the treatment of outstanding Oil States equity awards. The Employee Matters Agreement is also expected to set forth the general principles relating to employee matters, including with respect to the assignment of employees and the transfer of employees from Oil States to us, the assumption and retention of liabilities and related assets, expense reimbursements, workers’ compensation, leaves of absence, the provision of comparable benefits, employee service credits, the sharing of employee information and the duplication or acceleration of benefits.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Release Agreement</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Indemnification and Release Agreement will govern the treatment of all aspects relating to indemnification, insurance, litigation responsibility and management, and litigation document sharing and cooperation. Generally, the Indemnification and Release Agreement will provide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will also establish procedures for handling claims subject to indemnification and related matters.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p>
      <w:pPr>
        <w:ind w:right="520" w:firstLine="324"/>
        <w:spacing w:after="0" w:line="312" w:lineRule="auto"/>
        <w:rPr>
          <w:sz w:val="20"/>
          <w:szCs w:val="20"/>
          <w:color w:val="auto"/>
        </w:rPr>
      </w:pPr>
      <w:r>
        <w:rPr>
          <w:rFonts w:ascii="Arial" w:cs="Arial" w:eastAsia="Arial" w:hAnsi="Arial"/>
          <w:sz w:val="16"/>
          <w:szCs w:val="16"/>
          <w:color w:val="auto"/>
        </w:rPr>
        <w:t>In addition to the related party transactions described in “Arrangements Between Oil States and Our Company” above, this section discusses other transactions and relationships with related persons during the past three fiscal years. As a current subsidiary of Oil States, we engage in related party transactions with Oil States. Those transactions are described in more detail in Note 16 in the accompanying combined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 and Conflicts of Interest</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Prior to the spin-off, our board of directors will adopt procedures for approving related party transactions. We will review all relationships and transactions in which we and our directors and executive officers or their immediate family members are participants to determine whether such persons have a direct or indirect material interest. Our Corporate Secretary’s office will be primarily responsible for the development and implementation of processes and controls to obtain information from the directors and executive officers with respect to related person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filed with the SEC when required, and disclosed in our proxy statement.</w:t>
      </w:r>
    </w:p>
    <w:p>
      <w:pPr>
        <w:spacing w:after="0" w:line="189"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Our Business Conduct &amp; Ethics Code will prohibit conflicts of interest. Any waivers of these guidelines must be approved by the Nominating &amp; Corporate Governance Committee of the Board. Under the Business Conduct &amp; Ethics Code, conflicts of interest occur when private or family interests interfere in any way, or even appear to interfere, with the interests of our Company. Our prohibition on conflicts of interest under the Business Conduct &amp; Ethics Code will include related person transactions.</w:t>
      </w:r>
    </w:p>
    <w:p>
      <w:pPr>
        <w:spacing w:after="0" w:line="18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will have multiple processes for reporting conflicts of interests, including related party transactions. Under the Business Conduct &amp; Ethics Code, all directors and employees will be required to report any actual or apparent conflict of interest, or potential conflict of interest, to their supervisors. Any transaction involving related persons must be reported in writing by our division executives as part of their quarterly representation letter. This information will then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158"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our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level of offshore oil and natural gas developmental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Ultimately, all material related party transactions must be approved or ratified by the Nominating &amp; Corporate Governance Committee of our board of directors. Any member of the Nominating &amp; Corporate Governance Committee who is a related person with respect to a transaction will be recused from the review of the transaction.</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we will annually distribute a questionnaire to our executive officers and members of our board of directors requesting certain information regarding, among other things, their immediate family members, employment and beneficial ownership interests. This information will then be reviewed for any conflicts of interest under the Business Conduct &amp; Ethics Code.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135" w:name="page136"/>
    <w:bookmarkEnd w:id="135"/>
    <w:p>
      <w:pPr>
        <w:ind w:right="260" w:firstLine="324"/>
        <w:spacing w:after="0" w:line="279" w:lineRule="auto"/>
        <w:rPr>
          <w:sz w:val="20"/>
          <w:szCs w:val="20"/>
          <w:color w:val="auto"/>
        </w:rPr>
      </w:pPr>
      <w:r>
        <w:rPr>
          <w:rFonts w:ascii="Arial" w:cs="Arial" w:eastAsia="Arial" w:hAnsi="Arial"/>
          <w:sz w:val="17"/>
          <w:szCs w:val="17"/>
          <w:color w:val="auto"/>
        </w:rPr>
        <w:t>We also will have other policies and procedures to prevent conflicts of interest, including related person transactions. For example, the charter of our Nominating &amp; Governance Committee will require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will be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Conduct and Ethics Code:</w:t>
      </w:r>
    </w:p>
    <w:p>
      <w:pPr>
        <w:spacing w:after="0" w:line="211" w:lineRule="exact"/>
        <w:rPr>
          <w:sz w:val="20"/>
          <w:szCs w:val="20"/>
          <w:color w:val="auto"/>
        </w:rPr>
      </w:pPr>
    </w:p>
    <w:p>
      <w:pPr>
        <w:ind w:left="660" w:right="80" w:hanging="652"/>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funds, assets, or services of the Company will be used for political contributions, directly or indirectly, unless allowed by applicable foreign and U.S. law and approved in advance by the board of directors.</w:t>
      </w:r>
    </w:p>
    <w:p>
      <w:pPr>
        <w:spacing w:after="0" w:line="170"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Company contributions to support or oppose public referenda or similar ballot issues are only permitted with advance approval of the board of directors.</w:t>
      </w:r>
    </w:p>
    <w:p>
      <w:pPr>
        <w:spacing w:after="0" w:line="170" w:lineRule="exact"/>
        <w:rPr>
          <w:rFonts w:ascii="Arial" w:cs="Arial" w:eastAsia="Arial" w:hAnsi="Arial"/>
          <w:sz w:val="18"/>
          <w:szCs w:val="18"/>
          <w:color w:val="auto"/>
        </w:rPr>
      </w:pPr>
    </w:p>
    <w:p>
      <w:pPr>
        <w:ind w:left="660" w:hanging="652"/>
        <w:spacing w:after="0" w:line="25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Company sponsored and approved political action committees. Any such personal contribution is not a deductible expense for federal or other applicable income tax purposes and is not eligible for reimbursement by the Company as a business expense. To the extent permitted by law, the Company’s resources may be used to establish and administer a political action committee or separate segregated fund. All proposed activities shall be submitted for the review of, and approval by, the board of directors prior to their implementation.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136" w:name="page137"/>
    <w:bookmarkEnd w:id="136"/>
    <w:p>
      <w:pPr>
        <w:jc w:val="center"/>
        <w:ind w:right="-2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Upon the closing of the spin-off, we expect to enter into a $[●] million, [●]-year credit facility. We have not obtained a financing commitment for the credit facility. Amounts outstanding under the credit facility are initially expected to bear variable-rate interest at [●]%. We expect to pay certain customary fees with respect to the indebtedness.</w:t>
      </w:r>
    </w:p>
    <w:p>
      <w:pPr>
        <w:spacing w:after="0" w:line="18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expect that the credit facility will contain customary affirmative and negative covenants that, among other things,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770" w:right="45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is a description of the material terms of our capital stock as to be provided in our amended and restated certificate of incorporation and amended and restated bylaws, as each is anticipated to be in effect upon the completion of the spin-off. We also refer you to our amended and restated certificate of incorporation and amended and restated bylaws, copies of which will be filed as exhibits to the registration statement of which this information statement forms a part.</w:t>
      </w:r>
    </w:p>
    <w:p>
      <w:pPr>
        <w:sectPr>
          <w:pgSz w:w="11900" w:h="16838" w:orient="portrait"/>
          <w:cols w:equalWidth="0" w:num="1">
            <w:col w:w="11420"/>
          </w:cols>
          <w:pgMar w:left="240" w:top="769"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Following completion of the spin-off, our authorized capital stock will consist of (i)</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shares will be issued and outstanding and (ii) shares of preferred stock, par value $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right="60" w:hanging="723"/>
        <w:spacing w:after="0" w:line="342" w:lineRule="auto"/>
        <w:rPr>
          <w:sz w:val="20"/>
          <w:szCs w:val="20"/>
          <w:color w:val="auto"/>
        </w:rPr>
      </w:pPr>
      <w:r>
        <w:rPr>
          <w:rFonts w:ascii="Arial" w:cs="Arial" w:eastAsia="Arial" w:hAnsi="Arial"/>
          <w:sz w:val="16"/>
          <w:szCs w:val="16"/>
          <w:color w:val="auto"/>
        </w:rPr>
        <w:t>shares of common stock, par value $0.01 per share, of which per share, of which no shares will be issued and</w:t>
      </w:r>
    </w:p>
    <w:p>
      <w:pPr>
        <w:spacing w:after="0" w:line="742" w:lineRule="exact"/>
        <w:rPr>
          <w:sz w:val="20"/>
          <w:szCs w:val="20"/>
          <w:color w:val="auto"/>
        </w:rPr>
      </w:pPr>
    </w:p>
    <w:p>
      <w:pPr>
        <w:sectPr>
          <w:pgSz w:w="11900" w:h="16838" w:orient="portrait"/>
          <w:cols w:equalWidth="0" w:num="2">
            <w:col w:w="7000" w:space="720"/>
            <w:col w:w="3700"/>
          </w:cols>
          <w:pgMar w:left="240" w:top="769" w:right="239" w:bottom="1440" w:gutter="0" w:footer="0" w:header="0"/>
          <w:type w:val="continuous"/>
        </w:sectPr>
      </w:pPr>
    </w:p>
    <w:p>
      <w:pPr>
        <w:spacing w:after="0" w:line="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Except as provided by law or in a preferred stock designation, holders of common stock are entitled to one vote for each share held of record on all matters submitted to a vote of the stockholders, will have the exclusive right to vote for the election of directors and do not have cumulative voting rights. Except as otherwise required by law, holders of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DGCL. Subject to prior rights and preferences that may be applicable to any outstanding shares or series of preferred stock, holders of common stock are entitled to receive ratably in proportion to the shares of common stock held by them such dividends (payable in cash, stock or otherwise), if any, as may be declared from time to time by our board of directors out of funds legally available for dividend payments. All outstanding shares of common stock are fully paid and non-assessable, and the shares of common stock to be issued upon completion of the-spin off will be fully paid and non-assessable. The holders of common stock have no preferences or rights of conversion, exchange, pre-emption or other subscription rights. There are no redemption or sinking fund provisions applicable to the common stock. In the event of any voluntary or involuntary liquidation, dissolution or winding-up of our affairs, holders of common stock will be entitled to share ratably in our assets in proportion to the shares of common stock held by then that are remaining after payment or provision for payment of all of our debts and obligations and after distribution in full of preferential amounts to be distributed to holders of outstanding shares of preferred stock, if 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w:t>
      </w:r>
    </w:p>
    <w:p>
      <w:pPr>
        <w:spacing w:after="0" w:line="35"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stockholder approval, to establish and to issue from time to time one or more classes or series of preferred stock, par value $</w:t>
      </w:r>
      <w:r>
        <w:rPr>
          <w:sz w:val="20"/>
          <w:szCs w:val="20"/>
          <w:color w:val="auto"/>
        </w:rPr>
        <w:tab/>
      </w:r>
      <w:r>
        <w:rPr>
          <w:rFonts w:ascii="Arial" w:cs="Arial" w:eastAsia="Arial" w:hAnsi="Arial"/>
          <w:sz w:val="16"/>
          <w:szCs w:val="16"/>
          <w:color w:val="auto"/>
        </w:rPr>
        <w:t>per share, covering up to</w:t>
      </w:r>
    </w:p>
    <w:p>
      <w:pPr>
        <w:spacing w:after="0" w:line="9"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an aggregate of</w:t>
      </w:r>
      <w:r>
        <w:rPr>
          <w:sz w:val="20"/>
          <w:szCs w:val="20"/>
          <w:color w:val="auto"/>
        </w:rPr>
        <w:tab/>
      </w:r>
      <w:r>
        <w:rPr>
          <w:rFonts w:ascii="Arial" w:cs="Arial" w:eastAsia="Arial" w:hAnsi="Arial"/>
          <w:sz w:val="16"/>
          <w:szCs w:val="16"/>
          <w:color w:val="auto"/>
        </w:rPr>
        <w:t>shares of preferred stock. Each class or series of preferred stock will cover the number of shares and will have the powers,</w:t>
      </w:r>
    </w:p>
    <w:p>
      <w:pPr>
        <w:spacing w:after="0" w:line="9" w:lineRule="exact"/>
        <w:rPr>
          <w:sz w:val="20"/>
          <w:szCs w:val="20"/>
          <w:color w:val="auto"/>
        </w:rPr>
      </w:pPr>
    </w:p>
    <w:p>
      <w:pPr>
        <w:ind w:right="580"/>
        <w:spacing w:after="0" w:line="277" w:lineRule="auto"/>
        <w:rPr>
          <w:sz w:val="20"/>
          <w:szCs w:val="20"/>
          <w:color w:val="auto"/>
        </w:rPr>
      </w:pPr>
      <w:r>
        <w:rPr>
          <w:rFonts w:ascii="Arial" w:cs="Arial" w:eastAsia="Arial" w:hAnsi="Arial"/>
          <w:sz w:val="17"/>
          <w:szCs w:val="17"/>
          <w:color w:val="auto"/>
        </w:rPr>
        <w:t>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spacing w:after="0" w:line="16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66"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will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138" w:name="page139"/>
    <w:bookmarkEnd w:id="138"/>
    <w:p>
      <w:pPr>
        <w:ind w:right="100" w:firstLine="324"/>
        <w:spacing w:after="0" w:line="279"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will be subject to Section 203 of the DGCL, which prohibits a Delaware corporation, including those whose securities are listed for trading on the NYSE, from engaging in any business combination with any interested stockholder for a period of three years following the date that the stockholder became an interested stockholder, unless:</w:t>
      </w:r>
    </w:p>
    <w:p>
      <w:pPr>
        <w:spacing w:after="0" w:line="181"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225"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70"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elect to not be subject to the provisions of Section 203 of the DGCL.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which will become effective following the spinoff,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Among other things, upon the completion of the spin-off, our amended and restated certificate of incorporation and amended and restated bylaws will:</w:t>
      </w:r>
    </w:p>
    <w:p>
      <w:pPr>
        <w:spacing w:after="0" w:line="248" w:lineRule="exact"/>
        <w:rPr>
          <w:sz w:val="20"/>
          <w:szCs w:val="20"/>
          <w:color w:val="auto"/>
        </w:rPr>
      </w:pPr>
    </w:p>
    <w:p>
      <w:pPr>
        <w:ind w:left="660" w:right="100" w:hanging="652"/>
        <w:spacing w:after="0" w:line="273" w:lineRule="auto"/>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w:t>
      </w:r>
    </w:p>
    <w:p>
      <w:pPr>
        <w:spacing w:after="0" w:line="178" w:lineRule="exact"/>
        <w:rPr>
          <w:rFonts w:ascii="Arial" w:cs="Arial" w:eastAsia="Arial" w:hAnsi="Arial"/>
          <w:sz w:val="17"/>
          <w:szCs w:val="17"/>
          <w:color w:val="auto"/>
        </w:rPr>
      </w:pPr>
    </w:p>
    <w:p>
      <w:pPr>
        <w:ind w:left="660" w:right="60" w:hanging="652"/>
        <w:spacing w:after="0" w:line="259"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deferring hostile takeovers or delaying changes in control or management of our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773" w:right="299" w:bottom="1440" w:gutter="0" w:footer="0" w:header="0"/>
        </w:sectPr>
      </w:pPr>
    </w:p>
    <w:bookmarkStart w:id="139" w:name="page140"/>
    <w:bookmarkEnd w:id="139"/>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2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provide that all vacancies, including newly created directorships, may, except as otherwise required by law or, if applicable, the rights of holders of a series of preferred stock, be filled by the affirmative vote of a majority of directors then in office, even if less than a quorum;</w:t>
      </w:r>
    </w:p>
    <w:p>
      <w:pPr>
        <w:spacing w:after="0" w:line="146"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with respect to such series;</w:t>
      </w:r>
    </w:p>
    <w:p>
      <w:pPr>
        <w:spacing w:after="0" w:line="181" w:lineRule="exact"/>
        <w:rPr>
          <w:rFonts w:ascii="Arial" w:cs="Arial" w:eastAsia="Arial" w:hAnsi="Arial"/>
          <w:sz w:val="18"/>
          <w:szCs w:val="18"/>
          <w:color w:val="auto"/>
        </w:rPr>
      </w:pPr>
    </w:p>
    <w:p>
      <w:pPr>
        <w:ind w:left="660" w:right="700" w:hanging="652"/>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our certificate of incorporation and bylaws may be amended by the affirmative vote of the holders of at least two-thirds of our then outstanding common stock;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only be called by the board of directors or the chairman of the board;</w:t>
      </w:r>
    </w:p>
    <w:p>
      <w:pPr>
        <w:spacing w:after="0" w:line="225" w:lineRule="exact"/>
        <w:rPr>
          <w:rFonts w:ascii="Arial" w:cs="Arial" w:eastAsia="Arial" w:hAnsi="Arial"/>
          <w:sz w:val="18"/>
          <w:szCs w:val="18"/>
          <w:color w:val="auto"/>
        </w:rPr>
      </w:pPr>
    </w:p>
    <w:p>
      <w:pPr>
        <w:ind w:left="660" w:right="260" w:hanging="652"/>
        <w:spacing w:after="0" w:line="264"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that our bylaws can be amended or repealed at any regular or special meeting of stockholders or by the board of directors, including the requirement that any amendment by the stockholders at a meeting be upon the affirmative vote of at least 66 2/3% of the shares of common stock generally entitled to vote in the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211"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236" w:lineRule="exact"/>
        <w:rPr>
          <w:rFonts w:ascii="Arial" w:cs="Arial" w:eastAsia="Arial" w:hAnsi="Arial"/>
          <w:sz w:val="17"/>
          <w:szCs w:val="17"/>
          <w:color w:val="auto"/>
        </w:rPr>
      </w:pPr>
    </w:p>
    <w:p>
      <w:pPr>
        <w:ind w:left="660" w:right="160" w:hanging="652"/>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 of the DGCL, our amended and restated certificate of incorporation or our bylaws; or</w:t>
      </w:r>
    </w:p>
    <w:p>
      <w:pPr>
        <w:spacing w:after="0" w:line="170"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amended and restated certificate of incorporation will also provide that any person or entity purchasing or otherwise acquiring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amended and restated certificate of incorporation limits the liability of our directors for monetary damages for breach of their fiduciary duty as directors, except for liability that cannot be eliminated under the DGCL. Delaware law provides that directors of a company will not be personally liable for monetary damages for breach of their fiduciary duty as directors, except for liabilities:</w:t>
      </w:r>
    </w:p>
    <w:p>
      <w:pPr>
        <w:spacing w:after="0" w:line="181"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140" w:name="page141"/>
    <w:bookmarkEnd w:id="140"/>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amended and restated certificate of incorporation and amended and restated bylaws also provide that we will indemnify our directors and officers to the fullest extent permitted by Delaware law. Our amended and restated certificate of incorporation and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intend to enter into indemnification agreements with each of our current and future directors and officers. These agreements will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amended and restated certificate of incorporation and the indemnification agreements will facilitate our ability to continue to attract and retain qualified individuals to serve as directors and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expected to trade on the NYSE under the symbol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773" w:right="33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have filed with the SEC a Registration Statement on Form 10 for the shares of common stock that Oil States stockholders will receive in the distribution. This information statement does not contain all of the information contained in the Form 10 and the exhibits to the Form 10. We have omitted some items in accordance with the rules and regulations of the SEC. For additional information relating to us and the spin-off, we refer you to the Form 10 and its exhibits, which are on file at the offices of the SEC. Statements contained in this information statement about the contents of any contract or other document referred to may not be complete, and in each instance, if we have filed the contract or document as an exhibit to the Form 10, we refer you to the copy of the contract or other documents so filed. We qualify each statement in all respects by the relevant reference.</w:t>
      </w:r>
    </w:p>
    <w:p>
      <w:pPr>
        <w:spacing w:after="0" w:line="17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You may inspect and copy the Form 10 and exhibits that we have filed with the SEC at the SEC’s Public Reference Room at 100 F Street, N.E., Washington, D.C. 20549. Please call the SEC at (800) SEC-0330 for further information on the Public Reference Room. In addition, the SEC maintains an Internet site at www.sec.gov, from which you can electronically access the Form 10, including its exhibits.</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maintain an Internet site at [●]. We do not incorporate our Internet site, or the information contained on that site or connected to that site, into the information statement or our Registration Statement on Form 10.</w:t>
      </w:r>
    </w:p>
    <w:p>
      <w:pPr>
        <w:spacing w:after="0" w:line="17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a result of the distribution, we will be required to comply with the full informational requirements of the Exchange Act. We will fulfill those obligations with respect to these requirements by filing periodic reports and other information with the SEC.</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make available free of charge on our website, at [●],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also can obtain information about us at the offices of the New York Stock Exchange, 20 Broad Street, New York, New York 10005.</w:t>
      </w:r>
    </w:p>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9" w:right="27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6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26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INDEX TO FINANCIAL STATEMENTS, SUPPLEMENTARY DATA AND SCHEDULES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tcPr>
          <w:p>
            <w:pPr>
              <w:spacing w:after="0"/>
              <w:rPr>
                <w:sz w:val="24"/>
                <w:szCs w:val="24"/>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Combined Financial Statements</w:t>
            </w: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Combined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Combined Statements of Income for the Years Ended December 31, 2013, 2012, and 2011</w:t>
            </w:r>
          </w:p>
        </w:tc>
        <w:tc>
          <w:tcPr>
            <w:tcW w:w="1140" w:type="dxa"/>
            <w:vAlign w:val="bottom"/>
          </w:tcPr>
          <w:p>
            <w:pPr>
              <w:jc w:val="right"/>
              <w:spacing w:after="0"/>
              <w:rPr>
                <w:sz w:val="20"/>
                <w:szCs w:val="20"/>
                <w:color w:val="auto"/>
              </w:rPr>
            </w:pPr>
            <w:r>
              <w:rPr>
                <w:rFonts w:ascii="Arial" w:cs="Arial" w:eastAsia="Arial" w:hAnsi="Arial"/>
                <w:sz w:val="18"/>
                <w:szCs w:val="18"/>
                <w:color w:val="auto"/>
              </w:rPr>
              <w:t>F-3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Statements of Comprehensive Income for the Years Ended December 31, 2013, 2012, and 2011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Combined Balance Sheets at December 31, 2013 and 2012</w:t>
            </w:r>
          </w:p>
        </w:tc>
        <w:tc>
          <w:tcPr>
            <w:tcW w:w="1140" w:type="dxa"/>
            <w:vAlign w:val="bottom"/>
          </w:tcPr>
          <w:p>
            <w:pPr>
              <w:jc w:val="right"/>
              <w:spacing w:after="0"/>
              <w:rPr>
                <w:sz w:val="20"/>
                <w:szCs w:val="20"/>
                <w:color w:val="auto"/>
              </w:rPr>
            </w:pPr>
            <w:r>
              <w:rPr>
                <w:rFonts w:ascii="Arial" w:cs="Arial" w:eastAsia="Arial" w:hAnsi="Arial"/>
                <w:sz w:val="18"/>
                <w:szCs w:val="18"/>
                <w:color w:val="auto"/>
              </w:rPr>
              <w:t>F-5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 of Changes in Net Investment for the Years Ended December 31, 2013, 2012, and 2011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Combined Statements of Cash Flows for the Years Ended December 31, 2013, 2012, and 2011</w:t>
            </w:r>
          </w:p>
        </w:tc>
        <w:tc>
          <w:tcPr>
            <w:tcW w:w="1140" w:type="dxa"/>
            <w:vAlign w:val="bottom"/>
          </w:tcPr>
          <w:p>
            <w:pPr>
              <w:jc w:val="right"/>
              <w:spacing w:after="0"/>
              <w:rPr>
                <w:sz w:val="20"/>
                <w:szCs w:val="20"/>
                <w:color w:val="auto"/>
              </w:rPr>
            </w:pPr>
            <w:r>
              <w:rPr>
                <w:rFonts w:ascii="Arial" w:cs="Arial" w:eastAsia="Arial" w:hAnsi="Arial"/>
                <w:sz w:val="18"/>
                <w:szCs w:val="18"/>
                <w:color w:val="auto"/>
              </w:rPr>
              <w:t>F-7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Notes to Combined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F-8 – F30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OIS Accommodations SpinCo Inc.</w:t>
            </w: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Balance Sheet as of December 31, 2013</w:t>
            </w:r>
          </w:p>
        </w:tc>
        <w:tc>
          <w:tcPr>
            <w:tcW w:w="1140" w:type="dxa"/>
            <w:vAlign w:val="bottom"/>
          </w:tcPr>
          <w:p>
            <w:pPr>
              <w:jc w:val="right"/>
              <w:spacing w:after="0"/>
              <w:rPr>
                <w:sz w:val="20"/>
                <w:szCs w:val="20"/>
                <w:color w:val="auto"/>
              </w:rPr>
            </w:pPr>
            <w:r>
              <w:rPr>
                <w:rFonts w:ascii="Arial" w:cs="Arial" w:eastAsia="Arial" w:hAnsi="Arial"/>
                <w:sz w:val="18"/>
                <w:szCs w:val="18"/>
                <w:color w:val="auto"/>
              </w:rPr>
              <w:t>F-32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Changes in Stockholder’s Equity for the Period from October 8, 2013 (date of inception) to December 31, 2013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of Cash Flows for the Period from October 8, 2013 (date of inception) to December 31, 2013</w:t>
            </w:r>
          </w:p>
        </w:tc>
        <w:tc>
          <w:tcPr>
            <w:tcW w:w="1140" w:type="dxa"/>
            <w:vAlign w:val="bottom"/>
          </w:tcPr>
          <w:p>
            <w:pPr>
              <w:jc w:val="right"/>
              <w:spacing w:after="0"/>
              <w:rPr>
                <w:sz w:val="20"/>
                <w:szCs w:val="20"/>
                <w:color w:val="auto"/>
              </w:rPr>
            </w:pPr>
            <w:r>
              <w:rPr>
                <w:rFonts w:ascii="Arial" w:cs="Arial" w:eastAsia="Arial" w:hAnsi="Arial"/>
                <w:sz w:val="18"/>
                <w:szCs w:val="18"/>
                <w:color w:val="auto"/>
              </w:rPr>
              <w:t>F-34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Notes to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F-35 – F-36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260" w:type="dxa"/>
            <w:vAlign w:val="bottom"/>
          </w:tcPr>
          <w:p>
            <w:pPr>
              <w:jc w:val="center"/>
              <w:ind w:left="1030"/>
              <w:spacing w:after="0"/>
              <w:rPr>
                <w:sz w:val="20"/>
                <w:szCs w:val="20"/>
                <w:color w:val="auto"/>
              </w:rPr>
            </w:pPr>
            <w:r>
              <w:rPr>
                <w:rFonts w:ascii="Arial" w:cs="Arial" w:eastAsia="Arial" w:hAnsi="Arial"/>
                <w:sz w:val="18"/>
                <w:szCs w:val="18"/>
                <w:color w:val="auto"/>
                <w:w w:val="96"/>
              </w:rPr>
              <w:t>F-1</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2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69" w:right="199" w:bottom="1440" w:gutter="0" w:footer="0" w:header="0"/>
        </w:sectPr>
      </w:pPr>
    </w:p>
    <w:bookmarkStart w:id="143" w:name="page144"/>
    <w:bookmarkEnd w:id="143"/>
    <w:p>
      <w:pPr>
        <w:jc w:val="center"/>
        <w:ind w:right="-99"/>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00" w:lineRule="exact"/>
        <w:rPr>
          <w:sz w:val="20"/>
          <w:szCs w:val="20"/>
          <w:color w:val="auto"/>
        </w:rPr>
      </w:pPr>
    </w:p>
    <w:p>
      <w:pPr>
        <w:spacing w:after="0" w:line="241" w:lineRule="exact"/>
        <w:rPr>
          <w:sz w:val="20"/>
          <w:szCs w:val="20"/>
          <w:color w:val="auto"/>
        </w:rPr>
      </w:pPr>
    </w:p>
    <w:p>
      <w:pPr>
        <w:ind w:right="2360" w:firstLine="2786"/>
        <w:spacing w:after="0" w:line="503"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Stockholders of Oil States International, Inc.:</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audited the accompanying combined balance sheets of the Accommodations Business of Oil States International, Inc. (the “Accommodations Business”) as of December 31, 2013 and 2012, and the related combined statements of income, comprehensive income, changes in net investment, and cash flows for each of the three years in the period ended December 31, 2013. These financial statements are the responsibility of Oil States International, Inc.’s management. Our responsibility is to express an opinion on these financial statements based on our audits.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Our audits included consideration of internal control over financial reporting as a basis for designing audit procedures that are appropriate in the circumstances, but not for the purpose of expressing an opinion on the effectiveness of the Accommodations Business’s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combined financial position of the Accommodations Business of Oil States International, Inc. at December 31, 2013 and 2012, and the combined results of its operations and its cash flows for each of the three years in the period ended December 31, 2013, in conformity with U.S. generally accepted accounting principles.</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2014</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4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8040" w:type="dxa"/>
            <w:vAlign w:val="bottom"/>
            <w:gridSpan w:val="4"/>
          </w:tcPr>
          <w:p>
            <w:pPr>
              <w:ind w:left="4180"/>
              <w:spacing w:after="0"/>
              <w:rPr>
                <w:sz w:val="20"/>
                <w:szCs w:val="20"/>
                <w:color w:val="auto"/>
              </w:rPr>
            </w:pPr>
            <w:r>
              <w:rPr>
                <w:rFonts w:ascii="Arial" w:cs="Arial" w:eastAsia="Arial" w:hAnsi="Arial"/>
                <w:sz w:val="18"/>
                <w:szCs w:val="18"/>
                <w:b w:val="1"/>
                <w:bCs w:val="1"/>
                <w:color w:val="auto"/>
              </w:rPr>
              <w:t>COMBINED STATEMENTS OF INCOME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jc w:val="center"/>
              <w:ind w:left="493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225"/>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1,016,769</w:t>
            </w:r>
          </w:p>
        </w:tc>
        <w:tc>
          <w:tcPr>
            <w:tcW w:w="16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1,069,439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848,786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1,041,104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1,108,875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517,746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444,138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69,590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operating (income)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781,648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622,542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259,456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352,929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242,159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(18,933)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(20,456)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 from third-parties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(56,056)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(84,266)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Net income attributable to Accommodations Business of Oil States International,</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181,876</w:t>
            </w:r>
          </w:p>
        </w:tc>
        <w:tc>
          <w:tcPr>
            <w:tcW w:w="16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244,721</w:t>
            </w:r>
          </w:p>
        </w:tc>
        <w:tc>
          <w:tcPr>
            <w:tcW w:w="40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168,505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Inc.</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5"/>
        </w:trPr>
        <w:tc>
          <w:tcPr>
            <w:tcW w:w="20" w:type="dxa"/>
            <w:vAlign w:val="bottom"/>
          </w:tcPr>
          <w:p>
            <w:pPr>
              <w:spacing w:after="0"/>
              <w:rPr>
                <w:sz w:val="24"/>
                <w:szCs w:val="24"/>
                <w:color w:val="auto"/>
              </w:rPr>
            </w:pPr>
          </w:p>
        </w:tc>
        <w:tc>
          <w:tcPr>
            <w:tcW w:w="6380" w:type="dxa"/>
            <w:vAlign w:val="bottom"/>
            <w:tcBorders>
              <w:top w:val="single" w:sz="8" w:color="CCEEFF"/>
            </w:tcBorders>
          </w:tcPr>
          <w:p>
            <w:pPr>
              <w:jc w:val="center"/>
              <w:ind w:left="4910"/>
              <w:spacing w:after="0"/>
              <w:rPr>
                <w:sz w:val="20"/>
                <w:szCs w:val="20"/>
                <w:color w:val="auto"/>
              </w:rPr>
            </w:pPr>
            <w:r>
              <w:rPr>
                <w:rFonts w:ascii="Arial" w:cs="Arial" w:eastAsia="Arial" w:hAnsi="Arial"/>
                <w:sz w:val="18"/>
                <w:szCs w:val="18"/>
                <w:color w:val="auto"/>
                <w:w w:val="96"/>
              </w:rPr>
              <w:t>F-3</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985" w:right="19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4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8460" w:type="dxa"/>
            <w:vAlign w:val="bottom"/>
            <w:gridSpan w:val="6"/>
          </w:tcPr>
          <w:p>
            <w:pPr>
              <w:jc w:val="center"/>
              <w:ind w:left="2830"/>
              <w:spacing w:after="0"/>
              <w:rPr>
                <w:sz w:val="20"/>
                <w:szCs w:val="20"/>
                <w:color w:val="auto"/>
              </w:rPr>
            </w:pPr>
            <w:r>
              <w:rPr>
                <w:rFonts w:ascii="Arial" w:cs="Arial" w:eastAsia="Arial" w:hAnsi="Arial"/>
                <w:sz w:val="18"/>
                <w:szCs w:val="18"/>
                <w:b w:val="1"/>
                <w:bCs w:val="1"/>
                <w:color w:val="auto"/>
              </w:rPr>
              <w:t>COMBINED STATEMENTS OF COMPREHENSIVE INCOME</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jc w:val="center"/>
              <w:ind w:left="493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245,942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(167,712)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167,712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Comprehensive income attributable to Accommodations Business of Oil States</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14,255</w:t>
            </w:r>
          </w:p>
        </w:tc>
        <w:tc>
          <w:tcPr>
            <w:tcW w:w="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261,623</w:t>
            </w: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171,742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International, Inc.</w:t>
            </w:r>
          </w:p>
        </w:tc>
        <w:tc>
          <w:tcPr>
            <w:tcW w:w="34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5"/>
        </w:trPr>
        <w:tc>
          <w:tcPr>
            <w:tcW w:w="20" w:type="dxa"/>
            <w:vAlign w:val="bottom"/>
          </w:tcPr>
          <w:p>
            <w:pPr>
              <w:spacing w:after="0"/>
              <w:rPr>
                <w:sz w:val="24"/>
                <w:szCs w:val="24"/>
                <w:color w:val="auto"/>
              </w:rPr>
            </w:pPr>
          </w:p>
        </w:tc>
        <w:tc>
          <w:tcPr>
            <w:tcW w:w="6380" w:type="dxa"/>
            <w:vAlign w:val="bottom"/>
            <w:tcBorders>
              <w:top w:val="single" w:sz="8" w:color="CCEEFF"/>
            </w:tcBorders>
          </w:tcPr>
          <w:p>
            <w:pPr>
              <w:jc w:val="center"/>
              <w:ind w:left="4910"/>
              <w:spacing w:after="0"/>
              <w:rPr>
                <w:sz w:val="20"/>
                <w:szCs w:val="20"/>
                <w:color w:val="auto"/>
              </w:rPr>
            </w:pPr>
            <w:r>
              <w:rPr>
                <w:rFonts w:ascii="Arial" w:cs="Arial" w:eastAsia="Arial" w:hAnsi="Arial"/>
                <w:sz w:val="18"/>
                <w:szCs w:val="18"/>
                <w:color w:val="auto"/>
                <w:w w:val="96"/>
              </w:rPr>
              <w:t>F-4</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69" w:right="19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46"/>
        </w:trPr>
        <w:tc>
          <w:tcPr>
            <w:tcW w:w="3420" w:type="dxa"/>
            <w:vAlign w:val="bottom"/>
          </w:tcPr>
          <w:p>
            <w:pPr>
              <w:spacing w:after="0"/>
              <w:rPr>
                <w:sz w:val="24"/>
                <w:szCs w:val="24"/>
                <w:color w:val="auto"/>
              </w:rPr>
            </w:pPr>
          </w:p>
        </w:tc>
        <w:tc>
          <w:tcPr>
            <w:tcW w:w="5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COMBINED BALANCE SHEETS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5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(In thousands)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r>
      <w:tr>
        <w:trPr>
          <w:trHeight w:val="210"/>
        </w:trPr>
        <w:tc>
          <w:tcPr>
            <w:tcW w:w="3420" w:type="dxa"/>
            <w:vAlign w:val="bottom"/>
            <w:shd w:val="clear" w:color="auto" w:fill="CCEEFF"/>
          </w:tcPr>
          <w:p>
            <w:pPr>
              <w:spacing w:after="0"/>
              <w:rPr>
                <w:sz w:val="18"/>
                <w:szCs w:val="18"/>
                <w:color w:val="auto"/>
              </w:rPr>
            </w:pPr>
          </w:p>
        </w:tc>
        <w:tc>
          <w:tcPr>
            <w:tcW w:w="47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5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161,396</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208,581</w:t>
            </w: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19,654</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w w:val="93"/>
              </w:rPr>
              <w:t>Prepaid expenses and other 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7,336</w:t>
            </w:r>
          </w:p>
        </w:tc>
      </w:tr>
      <w:tr>
        <w:trPr>
          <w:trHeight w:val="210"/>
        </w:trPr>
        <w:tc>
          <w:tcPr>
            <w:tcW w:w="3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7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396,967</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60"/>
          </w:cols>
          <w:pgMar w:left="240" w:top="769" w:right="1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1,317,532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295,132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75,675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97,569</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20,895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25,725</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2,132,925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-719455</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40"/>
          </w:cols>
          <w:pgMar w:left="240" w:top="769"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45,376</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Current portion of long-term debt and capitalized leases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affiliates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Long-term debt to third-parties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18,530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Oil States International, Inc.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1,651,013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1,302,664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Oil States International, Inc. net investment</w:t>
            </w: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1,591,034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1,410,397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Total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1,411,645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net investment</w:t>
            </w: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20" w:type="dxa"/>
            <w:vAlign w:val="bottom"/>
          </w:tcPr>
          <w:p>
            <w:pPr>
              <w:spacing w:after="0"/>
              <w:rPr>
                <w:sz w:val="24"/>
                <w:szCs w:val="24"/>
                <w:color w:val="auto"/>
              </w:rPr>
            </w:pPr>
          </w:p>
        </w:tc>
        <w:tc>
          <w:tcPr>
            <w:tcW w:w="6960" w:type="dxa"/>
            <w:vAlign w:val="bottom"/>
          </w:tcPr>
          <w:p>
            <w:pPr>
              <w:ind w:left="5560"/>
              <w:spacing w:after="0"/>
              <w:rPr>
                <w:sz w:val="20"/>
                <w:szCs w:val="20"/>
                <w:color w:val="auto"/>
              </w:rPr>
            </w:pPr>
            <w:r>
              <w:rPr>
                <w:rFonts w:ascii="Arial" w:cs="Arial" w:eastAsia="Arial" w:hAnsi="Arial"/>
                <w:sz w:val="18"/>
                <w:szCs w:val="18"/>
                <w:color w:val="auto"/>
              </w:rPr>
              <w:t>F-5</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69" w:right="199" w:bottom="1440" w:gutter="0" w:footer="0" w:header="0"/>
          <w:type w:val="continuous"/>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gridSpan w:val="11"/>
          </w:tcPr>
          <w:p>
            <w:pPr>
              <w:jc w:val="center"/>
              <w:ind w:left="249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8800" w:type="dxa"/>
            <w:vAlign w:val="bottom"/>
            <w:gridSpan w:val="11"/>
          </w:tcPr>
          <w:p>
            <w:pPr>
              <w:jc w:val="center"/>
              <w:ind w:left="2490"/>
              <w:spacing w:after="0"/>
              <w:rPr>
                <w:sz w:val="20"/>
                <w:szCs w:val="20"/>
                <w:color w:val="auto"/>
              </w:rPr>
            </w:pPr>
            <w:r>
              <w:rPr>
                <w:rFonts w:ascii="Arial" w:cs="Arial" w:eastAsia="Arial" w:hAnsi="Arial"/>
                <w:sz w:val="18"/>
                <w:szCs w:val="18"/>
                <w:b w:val="1"/>
                <w:bCs w:val="1"/>
                <w:color w:val="auto"/>
              </w:rPr>
              <w:t>COMBINED STATEMENT OF CHANGES IN NET INVESTMENT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Total Oil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Oil States Net</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States Net</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 Net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872,225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959,823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168,505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Oil States International, Inc.</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Balance, December 31, 2011</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1,031,375</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90,814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1,122,189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1,123,096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244,721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16,919</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16,919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26,568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1,302,664</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107,733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1,410,397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1,411,645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181,876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181,876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(167,712)</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2013</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1,651,013</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(59,979)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1,591,034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1,592,745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left="450"/>
              <w:spacing w:after="0"/>
              <w:rPr>
                <w:sz w:val="20"/>
                <w:szCs w:val="20"/>
                <w:color w:val="auto"/>
              </w:rPr>
            </w:pPr>
            <w:r>
              <w:rPr>
                <w:rFonts w:ascii="Arial" w:cs="Arial" w:eastAsia="Arial" w:hAnsi="Arial"/>
                <w:sz w:val="18"/>
                <w:szCs w:val="18"/>
                <w:color w:val="auto"/>
                <w:w w:val="96"/>
              </w:rPr>
              <w:t>F-6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69" w:right="19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20" w:type="dxa"/>
            <w:vAlign w:val="bottom"/>
            <w:gridSpan w:val="9"/>
          </w:tcPr>
          <w:p>
            <w:pPr>
              <w:jc w:val="center"/>
              <w:ind w:left="167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7820" w:type="dxa"/>
            <w:vAlign w:val="bottom"/>
            <w:gridSpan w:val="5"/>
          </w:tcPr>
          <w:p>
            <w:pPr>
              <w:jc w:val="center"/>
              <w:ind w:left="3490"/>
              <w:spacing w:after="0"/>
              <w:rPr>
                <w:sz w:val="20"/>
                <w:szCs w:val="20"/>
                <w:color w:val="auto"/>
              </w:rPr>
            </w:pPr>
            <w:r>
              <w:rPr>
                <w:rFonts w:ascii="Arial" w:cs="Arial" w:eastAsia="Arial" w:hAnsi="Arial"/>
                <w:sz w:val="18"/>
                <w:szCs w:val="18"/>
                <w:b w:val="1"/>
                <w:bCs w:val="1"/>
                <w:color w:val="auto"/>
                <w:w w:val="99"/>
              </w:rPr>
              <w:t>COMBINED STATEMENTS OF CASH FLOWS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(In thousands)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8"/>
                <w:szCs w:val="18"/>
                <w:b w:val="1"/>
                <w:bCs w:val="1"/>
                <w:color w:val="auto"/>
                <w:w w:val="91"/>
              </w:rPr>
              <w:t>Year Ended December 31,</w:t>
            </w:r>
          </w:p>
        </w:tc>
        <w:tc>
          <w:tcPr>
            <w:tcW w:w="1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183,312</w:t>
            </w:r>
          </w:p>
        </w:tc>
        <w:tc>
          <w:tcPr>
            <w:tcW w:w="14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245,942</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167,213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139,047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provision</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Non-cash compensation charge</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Gains on disposals of assets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Fair value adjustment of contingent consideration</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27,188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Other current assets and liabilities, net</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(21,341)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flows provided by operating activities</w:t>
            </w:r>
          </w:p>
        </w:tc>
        <w:tc>
          <w:tcPr>
            <w:tcW w:w="1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 including capitalized interest</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(291,694)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(314,047)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w w:val="97"/>
              </w:rPr>
              <w:t>Proceeds from disposition of property, plant and equipment</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8,346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flows used in investing activities</w:t>
            </w:r>
          </w:p>
        </w:tc>
        <w:tc>
          <w:tcPr>
            <w:tcW w:w="1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Revolving credit borrowings and (repayments), net</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(47,901)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 loan repayments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Borrowings of long-term debt from Oil States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(distributions to) Oil States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Debt and capital lease repayments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financing costs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Net cash flows provided by financing activities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(20,775)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161,396</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5"/>
        </w:trPr>
        <w:tc>
          <w:tcPr>
            <w:tcW w:w="20" w:type="dxa"/>
            <w:vAlign w:val="bottom"/>
          </w:tcPr>
          <w:p>
            <w:pPr>
              <w:spacing w:after="0"/>
              <w:rPr>
                <w:sz w:val="24"/>
                <w:szCs w:val="24"/>
                <w:color w:val="auto"/>
              </w:rPr>
            </w:pPr>
          </w:p>
        </w:tc>
        <w:tc>
          <w:tcPr>
            <w:tcW w:w="480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center"/>
              <w:ind w:left="370"/>
              <w:spacing w:after="0"/>
              <w:rPr>
                <w:sz w:val="20"/>
                <w:szCs w:val="20"/>
                <w:color w:val="auto"/>
              </w:rPr>
            </w:pPr>
            <w:r>
              <w:rPr>
                <w:rFonts w:ascii="Arial" w:cs="Arial" w:eastAsia="Arial" w:hAnsi="Arial"/>
                <w:sz w:val="18"/>
                <w:szCs w:val="18"/>
                <w:color w:val="auto"/>
                <w:w w:val="96"/>
              </w:rPr>
              <w:t>F-7</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8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32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70" w:right="199" w:bottom="1440" w:gutter="0" w:footer="0" w:header="0"/>
        </w:sectPr>
      </w:pPr>
    </w:p>
    <w:bookmarkStart w:id="149" w:name="page150"/>
    <w:bookmarkEnd w:id="149"/>
    <w:p>
      <w:pPr>
        <w:jc w:val="center"/>
        <w:ind w:right="-79"/>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ind w:left="360" w:hanging="352"/>
        <w:spacing w:after="0"/>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Spin-off,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July 30, 2013, Oil States International, Inc. (“Oil States”) announced that its board of directors had unanimously approved pursuing a plan to separate its Accommodations Segment (“Accommodations”) into a standalone, publicly traded company, SpinCo (“SpinCo”), generally through a spin-off that is expected to be completed in accordance with a separation and distribution agreement between Oil States and SpinCo (the “Spin-Off”). The Spin-Off will be tax free to the stockholders, Oil States and SpinCo. Oil States intends to distribute, on a pro rata basis, shares of SpinCo common stock to the Oil States stockholders as of the record date for the Spin-Off. Upon completion of the Spin-Off, Oil States and SpinCo will each be independent and have separate public ownership, boards of directors and management. The Spin-Off is subject to final approval by Oil States’ board of directors, which approval is subject to, among other things, receipt of a private letter ruling from the Internal Revenue Service and an opinion of tax counsel, in each case with respect to the tax-free nature of the Spin-Off. SpinCo was incorporated in Delaware as a wholly owned subsidiary of Oil States on October 8, 2013.</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combined financial statements to “us,” “our” or “we” mean the Accommodations Segment. All subsidiaries and equity method investments not contributed by Oil States to SpinCo will remain with Oil States and, together with Oil States, are referred to as “Oil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temporary and long-term work force accommodations where traditional infrastructure is not accessible or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Accommodations operates in three principal reportable business segments – Canadian, Australian and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These combined financial statements have been prepared on a stand-alone basis and are derived from the consolidated financial statements and accounting records of Oil States. The combined financial statements reflect our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5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These expenses have been allocated to us on the basis of direct usage when identifiable, with the remainder allocated based on estimated time spent by Oil States personnel, a pro-rata basis of headcount or other relevant measures of Accommodations and Oil States and its subsidiaries. Both Accommodations and Oil States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Accommodations will perform these functions using its own resources or purchased services. For an interim period, however, some of these functions will continue to be provided by Oil States under a Transition Services Agreement, which are planned to extend for a period of 6 to 12 months.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769" w:right="299" w:bottom="1440" w:gutter="0" w:footer="0" w:header="0"/>
        </w:sectPr>
      </w:pPr>
    </w:p>
    <w:bookmarkStart w:id="150" w:name="page151"/>
    <w:bookmarkEnd w:id="150"/>
    <w:p>
      <w:pPr>
        <w:jc w:val="center"/>
        <w:ind w:right="2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We record noncontrolling interest in our combined financial statements to recognize the minority ownership interest in our combined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the earnings and losses of subsidiaries represent the share of net income or loss allocated to these subsidiaries.</w:t>
      </w:r>
    </w:p>
    <w:p>
      <w:pPr>
        <w:spacing w:after="0" w:line="207" w:lineRule="exact"/>
        <w:rPr>
          <w:sz w:val="20"/>
          <w:szCs w:val="20"/>
          <w:color w:val="auto"/>
        </w:rPr>
      </w:pPr>
    </w:p>
    <w:p>
      <w:pPr>
        <w:ind w:left="360" w:hanging="352"/>
        <w:spacing w:after="0"/>
        <w:tabs>
          <w:tab w:leader="none" w:pos="3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Accommodations considers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Accommodations’ financial instruments consist of cash, investments, receivables, payables, and debt instruments. Accommodations believes that the carrying values of these instruments, other than our long-term debt to affiliates, on the combined balance sheets approximate their fair values.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values of our long-term debt with affiliates are estimated based on analysis of similar instruments (Level 2 fair value measurements). The carrying values and fair values of this debt are as follows for the periods indicated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2012</w:t>
            </w: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r>
      <w:tr>
        <w:trPr>
          <w:trHeight w:val="210"/>
        </w:trPr>
        <w:tc>
          <w:tcPr>
            <w:tcW w:w="27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361,264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380,296</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 standard cost, average cost or specific-identification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151" w:name="page152"/>
    <w:bookmarkEnd w:id="151"/>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combined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recognize initial estimated asset retirement obligations (ARO) related to properties as liabilities, with an associated increase in property and equipment for the asset’s estimated retirement cost.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Accommodations relieves ARO liabilities when the related obligations are settled. At December 31, 2013 and 2012, $6.1 million and $5.5 million, respectively, of ARO was included in the Balance Sheet in “Other noncurrent liabilities.” The ARO liability reflects the estimated present value of the amount of asset removal and site reclamation costs related to the retirement of Accommodations’ assets. Total expense related to the ARO was $0.3 million in 2013 and 2012. There was no accretion expense related to the ARO in 2011. Accommodations utilizes current retirement costs to estimate the expected cash outflows for retirement obligations. Accommodations estimates the ultimate productive life of the properties and a risk-adjusted discount rate in order to determine the current present value of the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Goodwill represents the excess of the purchase price paid for acquired businesses over the allocated fair value of the related net assets after impairments, if applicable.</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evaluate goodwill for impairment annually and when an event occurs or circumstances change to suggest that the carrying amount may not be recoverable. All three of our reporting units have goodwill. In accordance with current accounting standards, 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we assessed separately and different relevant events and circumstances. Current accounting standards also give us the option to bypass the qualitative assessment for any reporting unit in any period and proceed directly to performing the first step of the two-step goodwill impairment test. In 2013, Accommodations chose to bypass the qualitative assessment and perform the two-step impairment test. In performing the two-step impairment test, we compare reporting unit’s carrying amount, including goodwill, to the implied fair value (IFV) of the reporting unit. The IFV of the reporting unit is estimated using an analysis of trading multiples of comparable companies to ours. We also utilize discounted projected cash flows and acquisition multiples analyses in certain circumstances. We discount our projected cash flows using a long-term weighted average cost of capital based on our estimate of investment returns that would be required by a market participant. If the carrying amount of the reporting unit exceeds its fair value, goodwill is considered impaired, and a second step is performed to determine the amount of impairment, if any. We conduct our annual impairment test as of December of each year. In 2011, 2012 and 2013, our goodwill impairment tests indicated that the fair value of each of our reporting units is greater than its carrying amount.</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 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with the measurement of the impairment based on the excess of the carrying value over its fair value.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52" w:name="page153"/>
    <w:bookmarkEnd w:id="152"/>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See Note 7 –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compliance with current accounting standards regarding the accounting for the impairment or disposal of long-lived assets at the asset group level, the recoverability of the carrying values of long-lived assets, including finite-lived intangible assets, is assessed at a minimum annually, or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 Based on Accommodations’ review, the carrying values of its asset groups are recoverable, and no impairment losses have been recorded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Comprehensive Income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Gains and losses resulting from combined balance sheet translation of foreign operations where a foreign currency is the functional currency are included as a separate component of accumulated other comprehensive income within the net investment account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the net investment account. Gains and losses resulting from combined balance sheet remeasurements of assets and liabilities denominated in a different currency than the functional currency, other than intercompany loans that are of a long-term investment nature, are included in the combined statements of income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Capitalization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costs for the construction of certain long-term assets are capitalized and amortized over the related assets’ estimated useful lives. For the years ended December 31, 2013, 2012, and 2011, $0.8 million, $3.5 million and $5.1 million were capitalized,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Accommodations derives the majority of its revenue from lodging and related ancillary services. In each of Accommodations’ operating segments, revenue is recognized in the period in which services are provided pursuant to the terms of Accommodations’ contractual relationships with its customers. In some contracts, rates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reasonably assured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53" w:name="page154"/>
    <w:bookmarkEnd w:id="153"/>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the accommodations facilities of Accommodations.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Accommodations’ operations are subject to United States federal, state and local, and foreign income taxes. In the U.S., Accommodations’ operations have historically been included in Oil States’ income tax returns. In preparing its combined financial statements, Accommodations has determined its tax provision on a separate return, stand-alone basis.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portions of Accommodations’ operations are included in Oil States’ tax returns, payments to certain tax authorities are made by Oil States, and not by Accommodations. With the exception of certain dedicated foreign entities, we do not maintain taxes payable to/from our Parent and we are deemed to settle the annual current tax balances immediately with the legal tax-paying entities in the respective jurisdictions. These settlements are reflected as changes in the Oil States International, Inc. net investment account.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combined financial statements from such positions are measured based on the largest benefit that has a greater than 50% likelihood of being realized upon ultimate settlement.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Concentration of Credit Risk</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Based on the nature of its customer base, Accommodations does not believe that it has any significant concentrations of credit risk other than its concentration in the worldwide oil and gas and Australian mining industries. Accommodations evaluates the credit-worthiness of its significant, new and existing customers’ financial condition and, generally, Accommodations does not require significant collateral from its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Accommodations maintains allowances for doubtful accounts for estimated losses resulting from the inability of Accommodations’ customers to make required payments. If a trade receivable is deemed to be uncollectible, such receivable is charged-off against the allowance for doubtful accounts. Accommodations considers the following factors when determining if collection of revenue is reasonably assured: customer credit-worthiness, past transaction history with the customer, current economic industry trends, customer solvency and changes in customer payment terms. If Accommodations has no previous experience with the customer, Accommodations typically obtains reports from various credit organizations to ensure that the customer has a history of paying its creditors. Accommodations may also request financial information, including combined financial statements or other documents to ensure that the customer has the means of making payment. If these factors do not indicate collection is reasonably assured, Accommodations would require a prepayment or other arrangement to support revenue recognition and recording of a trade receivable. If the financial condition of Accommodations’ customers were to deteriorate, adversely affecting their ability to make payments, additional allowances would be required.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0" w:right="239" w:bottom="1440" w:gutter="0" w:footer="0" w:header="0"/>
        </w:sectPr>
      </w:pPr>
    </w:p>
    <w:bookmarkStart w:id="154" w:name="page155"/>
    <w:bookmarkEnd w:id="154"/>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Oil States sponsors the equity participation plan in which certain employees of Accommodations participate. Current accounting standards regarding share-based payments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 During 2013 and 2012, Oil States also granted phantom shares under the newly created Canadian Long-Term Incentive Plan, which provides for the granting of units of phantom shares to key Canadian employees of Accommodations. These awards vest in equal annual installments and are accounted for as a liability based on the fair value of Oil States stock price. Participants granted units of phantom shares are entitled to a lump sum cash payment equal to the fair market value of a share of Oil States’ common stock on the vesting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Accommodations offers a defined contribution retirement plan to its Canadian employees. In Canada, Accommodations contributes, on a matched basis, an amount up to 5% of each Canadian based, salaried employee’s earnings (base salary plus annual incentive compensation) to the legislated maximum for a Deferred Profit Sharing Plan (DPSP – Maximum for 2013 - $12,135).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$23,820 in 2013 as set out in the Canadian Tax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Retirement Savings Plan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Australian affiliate contributes to various defined contribution plans for its employee’s in accordance with legislation governing the calculation of the Superannuation Guarantee Surcharge (“SGC”). SGC is contributed by the employer at a rate of 9% of the base salary of an employee, capped at the legislated maximum contribution base which is indexed annually.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defined contribution plan is a post-employment benefit plan under which an entity pays fixed contributions into a separate entity and will have no legal or constructive obligation to pay further amounts. Our Australian affiliate makes no investment decisions on behalf of the employee and has no obligations other than to remit the defined contributions to the plan selected by each individual employee.</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Obligations for contributions to defined contribution plans are recognized as an employee benefit expense in profit or loss in the periods during which services are rendered by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Retirement Savings Plan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Oil States offers a defined contribution 401(k) retirement plan to substantially all of the U.S. employees of Accommodations. Participants may contribute from 1% to 75% of their base and cash incentive compensation (subject to Internal Revenue Service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0" w:right="239" w:bottom="1440" w:gutter="0" w:footer="0" w:header="0"/>
        </w:sectPr>
      </w:pPr>
    </w:p>
    <w:bookmarkStart w:id="155" w:name="page156"/>
    <w:bookmarkEnd w:id="155"/>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Substantially all of Accommodations’ Canadian and U.S. subsidiaries are guarantors under the Oil States Credit facility. All of Accommodations’ Australian subsidiaries are guarantors under Accommodations’ Australian credit facility. See Note 8.</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Some of our products are sold with a warranty, generally 12 months. Parts and labor are covered under the terms of the warranty agreement. Warranty provisions are estimated based upon historical experience by product, configuration and geographic region. Our total liability related to warranties was $0.2 million and less than $0.1 million at December 31, 2013 and 2012, respectively.</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ordinary course of business, Accommodations also provides standby letters of credit or other guarantee instruments to certain parties as required for certain transactions initiated by either Accommodations or its subsidiaries. As of December 31, 2013, the maximum potential amount of future payments that Accommodations could be required to make under these guarantee agreements (letters of credit) was approximately $4.9 million. Accommodations has not recorded any liability in connection with these guarantee arrangements. Accommodations does not believe, based on historical experience and information currently available, that it is likely that any amounts will be required to be paid under these guarantee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preparation of combined financial statements in conformity with accounting principles generally accepted in the United States requires the use of estimates and assumptions by management in determining the reported amounts of assets and liabilities and disclosures of contingent assets and liabilities at the date of the combined financial statements and the reported amounts of revenues and expenses during the reporting period. Examples of a few such estimates include potential future adjustments as a result of contingent consideration arrangements pursuant to business combinations and other contractual agreements, revenue and income recognized on the percentage-of-completion method, estimates of the amount and timing of costs to be incurred for asset retirement obligations, any valuation allowance recorded on net deferred tax assets, warranty and allowance for doubtful accounts. Actual results could materially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warranty claims and contract claims and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right="200" w:firstLine="243"/>
        <w:spacing w:after="0" w:line="259" w:lineRule="auto"/>
        <w:rPr>
          <w:sz w:val="20"/>
          <w:szCs w:val="20"/>
          <w:color w:val="auto"/>
        </w:rPr>
      </w:pPr>
      <w:r>
        <w:rPr>
          <w:rFonts w:ascii="Arial" w:cs="Arial" w:eastAsia="Arial" w:hAnsi="Arial"/>
          <w:sz w:val="18"/>
          <w:szCs w:val="18"/>
          <w:color w:val="auto"/>
        </w:rPr>
        <w:t>In accordance with authoritative guidance, Accommodations evaluates all events and transactions that occur after the combined balance sheet date, but before combined financial statements are issued for possible recognition or disclosure. In connection with preparation of the combined financial statements, the Company evaluated subsequent events after the balance sheet date of December 31, 2013 through March 18, 2014, the date these combined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56" w:name="page157"/>
    <w:bookmarkEnd w:id="156"/>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Combined Balance Sheet Accounts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selected combined balance sheet accounts at December 31, 2013 and 2012 is presented below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Trade</w:t>
            </w:r>
          </w:p>
        </w:tc>
        <w:tc>
          <w:tcPr>
            <w:tcW w:w="3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128,781</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revenue</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accounts receivable</w:t>
            </w:r>
          </w:p>
        </w:tc>
        <w:tc>
          <w:tcPr>
            <w:tcW w:w="27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60"/>
          </w:cols>
          <w:pgMar w:left="240" w:top="769" w:right="199" w:bottom="1440" w:gutter="0" w:footer="0" w:header="0"/>
        </w:sect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Finished goods and purchased products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Raw materials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4,558</w:t>
            </w: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7,150</w:t>
            </w: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7,946</w:t>
            </w:r>
          </w:p>
        </w:tc>
      </w:tr>
      <w:tr>
        <w:trPr>
          <w:trHeight w:val="210"/>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19,654</w:t>
            </w:r>
          </w:p>
        </w:tc>
        <w:tc>
          <w:tcPr>
            <w:tcW w:w="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820" w:type="dxa"/>
            <w:vAlign w:val="bottom"/>
            <w:gridSpan w:val="4"/>
          </w:tcPr>
          <w:p>
            <w:pPr>
              <w:ind w:left="280"/>
              <w:spacing w:after="0"/>
              <w:rPr>
                <w:sz w:val="20"/>
                <w:szCs w:val="20"/>
                <w:color w:val="auto"/>
              </w:rPr>
            </w:pPr>
            <w:r>
              <w:rPr>
                <w:rFonts w:ascii="Arial" w:cs="Arial" w:eastAsia="Arial" w:hAnsi="Arial"/>
                <w:sz w:val="18"/>
                <w:szCs w:val="18"/>
                <w:b w:val="1"/>
                <w:bCs w:val="1"/>
                <w:color w:val="auto"/>
              </w:rPr>
              <w:t>Estimated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Useful Life</w:t>
            </w:r>
          </w:p>
        </w:tc>
        <w:tc>
          <w:tcPr>
            <w:tcW w:w="120" w:type="dxa"/>
            <w:vAlign w:val="bottom"/>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-1139825</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-865505</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-582295</wp:posOffset>
            </wp:positionV>
            <wp:extent cx="724662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820"/>
          </w:cols>
          <w:pgMar w:left="240" w:top="769"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Land</w:t>
            </w:r>
          </w:p>
        </w:tc>
        <w:tc>
          <w:tcPr>
            <w:tcW w:w="42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49,384</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41,450</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Accommodations assets</w:t>
            </w:r>
          </w:p>
        </w:tc>
        <w:tc>
          <w:tcPr>
            <w:tcW w:w="4280" w:type="dxa"/>
            <w:vAlign w:val="bottom"/>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86"/>
              </w:rPr>
              <w:t>3-15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1,481,830</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Buildings and leasehold improvements</w:t>
            </w:r>
          </w:p>
        </w:tc>
        <w:tc>
          <w:tcPr>
            <w:tcW w:w="4280" w:type="dxa"/>
            <w:vAlign w:val="bottom"/>
            <w:gridSpan w:val="2"/>
          </w:tcPr>
          <w:p>
            <w:pPr>
              <w:jc w:val="center"/>
              <w:ind w:left="1730"/>
              <w:spacing w:after="0"/>
              <w:rPr>
                <w:sz w:val="20"/>
                <w:szCs w:val="20"/>
                <w:color w:val="auto"/>
              </w:rPr>
            </w:pPr>
            <w:r>
              <w:rPr>
                <w:rFonts w:ascii="Arial" w:cs="Arial" w:eastAsia="Arial" w:hAnsi="Arial"/>
                <w:sz w:val="18"/>
                <w:szCs w:val="18"/>
                <w:color w:val="auto"/>
                <w:w w:val="86"/>
              </w:rPr>
              <w:t>3-20 years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45,538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44,849</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4280" w:type="dxa"/>
            <w:vAlign w:val="bottom"/>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86"/>
              </w:rPr>
              <w:t>4-15 years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10,316</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4280" w:type="dxa"/>
            <w:vAlign w:val="bottom"/>
            <w:gridSpan w:val="2"/>
          </w:tcPr>
          <w:p>
            <w:pPr>
              <w:jc w:val="center"/>
              <w:ind w:left="1730"/>
              <w:spacing w:after="0"/>
              <w:rPr>
                <w:sz w:val="20"/>
                <w:szCs w:val="20"/>
                <w:color w:val="auto"/>
              </w:rPr>
            </w:pPr>
            <w:r>
              <w:rPr>
                <w:rFonts w:ascii="Arial" w:cs="Arial" w:eastAsia="Arial" w:hAnsi="Arial"/>
                <w:sz w:val="18"/>
                <w:szCs w:val="18"/>
                <w:color w:val="auto"/>
                <w:w w:val="87"/>
              </w:rPr>
              <w:t>3-7 years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28,755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23,311</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Vehicles</w:t>
            </w:r>
          </w:p>
        </w:tc>
        <w:tc>
          <w:tcPr>
            <w:tcW w:w="4280" w:type="dxa"/>
            <w:vAlign w:val="bottom"/>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88"/>
              </w:rPr>
              <w:t>3-5years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111,952</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property, plant and equipment</w:t>
            </w:r>
          </w:p>
        </w:tc>
        <w:tc>
          <w:tcPr>
            <w:tcW w:w="38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1,731,103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Accumulated depreciation</w:t>
            </w: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(495,260)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(413,571)</w:t>
            </w:r>
          </w:p>
        </w:tc>
        <w:tc>
          <w:tcPr>
            <w:tcW w:w="40" w:type="dxa"/>
            <w:vAlign w:val="bottom"/>
          </w:tcPr>
          <w:p>
            <w:pPr>
              <w:spacing w:after="0"/>
              <w:rPr>
                <w:sz w:val="18"/>
                <w:szCs w:val="18"/>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1,325,867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1,317,532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845"/>
        </w:trPr>
        <w:tc>
          <w:tcPr>
            <w:tcW w:w="4280" w:type="dxa"/>
            <w:vAlign w:val="bottom"/>
          </w:tcPr>
          <w:p>
            <w:pPr>
              <w:spacing w:after="0"/>
              <w:rPr>
                <w:sz w:val="24"/>
                <w:szCs w:val="24"/>
                <w:color w:val="auto"/>
              </w:rPr>
            </w:pPr>
          </w:p>
        </w:tc>
        <w:tc>
          <w:tcPr>
            <w:tcW w:w="4280" w:type="dxa"/>
            <w:vAlign w:val="bottom"/>
            <w:gridSpan w:val="2"/>
          </w:tcPr>
          <w:p>
            <w:pPr>
              <w:jc w:val="right"/>
              <w:ind w:right="2605"/>
              <w:spacing w:after="0"/>
              <w:rPr>
                <w:sz w:val="20"/>
                <w:szCs w:val="20"/>
                <w:color w:val="auto"/>
              </w:rPr>
            </w:pPr>
            <w:r>
              <w:rPr>
                <w:rFonts w:ascii="Arial" w:cs="Arial" w:eastAsia="Arial" w:hAnsi="Arial"/>
                <w:sz w:val="18"/>
                <w:szCs w:val="18"/>
                <w:color w:val="auto"/>
              </w:rPr>
              <w:t>F-15</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1"/>
        </w:trPr>
        <w:tc>
          <w:tcPr>
            <w:tcW w:w="4280" w:type="dxa"/>
            <w:vAlign w:val="bottom"/>
          </w:tcPr>
          <w:p>
            <w:pPr>
              <w:spacing w:after="0"/>
              <w:rPr>
                <w:sz w:val="7"/>
                <w:szCs w:val="7"/>
                <w:color w:val="auto"/>
              </w:rPr>
            </w:pPr>
          </w:p>
        </w:tc>
        <w:tc>
          <w:tcPr>
            <w:tcW w:w="3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61"/>
        </w:trPr>
        <w:tc>
          <w:tcPr>
            <w:tcW w:w="4280" w:type="dxa"/>
            <w:vAlign w:val="bottom"/>
            <w:shd w:val="clear" w:color="auto" w:fill="808080"/>
          </w:tcPr>
          <w:p>
            <w:pPr>
              <w:spacing w:after="0"/>
              <w:rPr>
                <w:sz w:val="5"/>
                <w:szCs w:val="5"/>
                <w:color w:val="auto"/>
              </w:rPr>
            </w:pPr>
          </w:p>
        </w:tc>
        <w:tc>
          <w:tcPr>
            <w:tcW w:w="38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9" w:right="199" w:bottom="1440" w:gutter="0" w:footer="0" w:header="0"/>
          <w:type w:val="continuous"/>
        </w:sectPr>
      </w:pPr>
    </w:p>
    <w:bookmarkStart w:id="157" w:name="page158"/>
    <w:bookmarkEnd w:id="157"/>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21,988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26,891</w:t>
            </w:r>
          </w:p>
        </w:tc>
      </w:tr>
      <w:tr>
        <w:trPr>
          <w:trHeight w:val="216"/>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taxes, other than income taxes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812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22,436</w:t>
            </w:r>
          </w:p>
        </w:tc>
      </w:tr>
      <w:tr>
        <w:trPr>
          <w:trHeight w:val="216"/>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26,874</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52,704</w:t>
            </w:r>
          </w:p>
        </w:tc>
      </w:tr>
      <w:tr>
        <w:trPr>
          <w:trHeight w:val="20"/>
        </w:trPr>
        <w:tc>
          <w:tcPr>
            <w:tcW w:w="8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$157.0 million, $128.2 million and $99.9 million for the years ended December 31, 2013, 2012 and 2011, respectively.</w:t>
      </w:r>
    </w:p>
    <w:p>
      <w:pPr>
        <w:spacing w:after="0" w:line="233" w:lineRule="exact"/>
        <w:rPr>
          <w:sz w:val="20"/>
          <w:szCs w:val="20"/>
          <w:color w:val="auto"/>
        </w:rPr>
      </w:pPr>
    </w:p>
    <w:p>
      <w:pPr>
        <w:ind w:left="360" w:hanging="352"/>
        <w:spacing w:after="0"/>
        <w:tabs>
          <w:tab w:leader="none" w:pos="3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Accommodations as of the specified effective date. Unless otherwise discussed, management believes that the impact of recently issued standards, which are not yet effective, will not have a material impact on Accommodations’ combined financial statements upon adoption.</w:t>
      </w:r>
    </w:p>
    <w:p>
      <w:pPr>
        <w:spacing w:after="0" w:line="177" w:lineRule="exact"/>
        <w:rPr>
          <w:sz w:val="20"/>
          <w:szCs w:val="20"/>
          <w:color w:val="auto"/>
        </w:rPr>
      </w:pPr>
    </w:p>
    <w:p>
      <w:pPr>
        <w:ind w:left="360" w:hanging="352"/>
        <w:spacing w:after="0"/>
        <w:tabs>
          <w:tab w:leader="none" w:pos="3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Supplemental Combined Cash Flow Information</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November 1, 2011, we purchased an open camp accommodations facility located in Carrizo Springs, Texas for total consideration of $2.2 million. The fair value of assets acquired including intangibles was $2.2 million. This facility provides accommodations support to customers working in the Eagle Ford Shale oil and gas basin in Texas. The operations of the Carrizo Springs facility have been included in our U.S. segment since the acquisition date.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58" w:name="page159"/>
    <w:bookmarkEnd w:id="158"/>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Combined Cash Flow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paid during the years ended December 31, 2013, 2012 and 2011 for interest and income taxes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amounts capitalized)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43,610</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23,239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65,875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42,138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through lease incentives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Mountain West Contingent Consideration</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December 20, 2010, we acquired all of the operating assets of Mountain West Oilfield Service and Supplies, Inc. and Ufford Leasing LLC (Mountain West) for total consideration of $47.1 million including estimated contingent consideration of $4.0 million. Headquartered in Vernal, Utah, with operations in the Rockies and the Bakken Shale region, Mountain West provides remote site workforce accommodations to the oil and gas industry. Mountain West has been included in the U.S. segment since the acquisition date. In December 2010, Accommodations recorded a $4.0 million liability representing the estimated fair value of the contingent consideration expected to be payable to the sellers of Mountain West on the third anniversary of the acquisition date. The contingent consideration was based on achieving a level of earnings as defined in the acquisition agreement. Defined earnings were to be adjusted prospectively for the amount of capital expenditures made in the former Mountain West business. Accommodations periodically reviewed the estimated liability for contingent consideration based on historical and forecasted earnings and capital spending based on the three-year earnout period. The total liability for this contingent consideration as of December 31, 2012 and 2011 was $4.0 million and $3.6 million, respectively. During the first quarter of 2013, the liability for the estimated contingent consideration recorded in connection with this transaction was adjusted to its estimated fair value of zero considering deteriorating market conditions for accommodations in the U.S. The earn out provision of the Mountain West acquisition expired in 2013.</w:t>
      </w:r>
    </w:p>
    <w:p>
      <w:pPr>
        <w:spacing w:after="0" w:line="169" w:lineRule="exact"/>
        <w:rPr>
          <w:sz w:val="20"/>
          <w:szCs w:val="20"/>
          <w:color w:val="auto"/>
        </w:rPr>
      </w:pPr>
    </w:p>
    <w:p>
      <w:pPr>
        <w:ind w:left="360" w:hanging="352"/>
        <w:spacing w:after="0"/>
        <w:tabs>
          <w:tab w:leader="none" w:pos="3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Accommodations does not amortize goodwill but tests for impairment using a fair value approach, at the “reporting unit” level. A reporting unit is the operating segment, or a business one level below that operating segment (the “component” level) if discrete financial information is prepared and regularly reviewed by management at the component level. Accommodations has three reporting units with goodwill as of December 31, 2013 and 2012. Accommodations recognizes an impairment loss for any amount by which the carrying amount of a reporting unit’s goodwill exceeds the reporting unit’s IFV of goodwill. If our initial qualitative assessment of potential goodwill impairment indicates that it is more likely than not that the fair value of a reporting unit is less than its carrying amount, including goodwill, Accommodations uses, as appropriate in the current circumstance, comparative market multiples, discounted cash flow calculations and acquisition comparables to establish the reporting unit’s fair value (a Level 3 fair value measurement). As of December 31, 2013, no provision for impairment of goodwill was required.</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Accommodations amortizes the cost of other intangibles over their estimated useful lives unless such lives are deemed indefinite. Amortizable intangible assets are reviewed for impairment if there are indicators of impairment based on undiscounted cash flows and, if impaired, written down to fair value based on either discounted cash flows or appraised values. Intangible assets with indefinite lives are tested for impairment annually by comparing the fair value of the indefinite-lived intangible asset to its carrying value with the measurement of the impairment based on the excess of the carrying value over its fair value. As of December 31, 2013, no provision for impairment of other intangible assets was required.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70" w:right="239" w:bottom="1440" w:gutter="0" w:footer="0" w:header="0"/>
        </w:sectPr>
      </w:pPr>
    </w:p>
    <w:bookmarkStart w:id="159" w:name="page160"/>
    <w:bookmarkEnd w:id="159"/>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9"/>
          </w:tcPr>
          <w:p>
            <w:pPr>
              <w:jc w:val="right"/>
              <w:ind w:right="125"/>
              <w:spacing w:after="0"/>
              <w:rPr>
                <w:sz w:val="20"/>
                <w:szCs w:val="20"/>
                <w:color w:val="auto"/>
              </w:rPr>
            </w:pPr>
            <w:r>
              <w:rPr>
                <w:rFonts w:ascii="Arial" w:cs="Arial" w:eastAsia="Arial" w:hAnsi="Arial"/>
                <w:sz w:val="18"/>
                <w:szCs w:val="18"/>
                <w:color w:val="auto"/>
                <w:w w:val="90"/>
              </w:rPr>
              <w:t>Changes in the carrying amount of goodwill for the years ended December 31, 2013 and 2012 are as follows (in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Canadian</w:t>
            </w: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Australian</w:t>
            </w:r>
          </w:p>
        </w:tc>
        <w:tc>
          <w:tcPr>
            <w:tcW w:w="24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18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291,322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Foreign currency translation and other changes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3,101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51,594</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226,906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295,132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Foreign currency translation and other changes</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(31,967)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(34,076)</w:t>
            </w:r>
          </w:p>
        </w:tc>
      </w:tr>
      <w:tr>
        <w:trPr>
          <w:trHeight w:val="250"/>
        </w:trPr>
        <w:tc>
          <w:tcPr>
            <w:tcW w:w="18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total amount of intangibles assigned and the total accumulated amortization for major intangible asset classes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9"/>
              </w:rPr>
              <w:t>As of December 31,</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8"/>
                <w:szCs w:val="18"/>
                <w:b w:val="1"/>
                <w:bCs w:val="1"/>
                <w:color w:val="auto"/>
              </w:rPr>
              <w:t>2012</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4"/>
        </w:trPr>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Other Intangible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Amortizable intangible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Customer relationships</w:t>
            </w:r>
          </w:p>
        </w:tc>
        <w:tc>
          <w:tcPr>
            <w:tcW w:w="378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50,980</w:t>
            </w:r>
          </w:p>
        </w:tc>
        <w:tc>
          <w:tcPr>
            <w:tcW w:w="400" w:type="dxa"/>
            <w:vAlign w:val="bottom"/>
            <w:tcBorders>
              <w:top w:val="single" w:sz="8" w:color="CCEEFF"/>
            </w:tcBorders>
            <w:gridSpan w:val="2"/>
          </w:tcPr>
          <w:p>
            <w:pPr>
              <w:jc w:val="right"/>
              <w:ind w:right="11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14,875</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57,494</w:t>
            </w:r>
          </w:p>
        </w:tc>
        <w:tc>
          <w:tcPr>
            <w:tcW w:w="480" w:type="dxa"/>
            <w:vAlign w:val="bottom"/>
            <w:tcBorders>
              <w:top w:val="single" w:sz="8" w:color="CCEEFF"/>
            </w:tcBorders>
            <w:gridSpan w:val="2"/>
          </w:tcPr>
          <w:p>
            <w:pPr>
              <w:jc w:val="right"/>
              <w:ind w:right="19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Contracts/Agreements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ind w:left="180"/>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Indefinite-lived intangible assets not subject to amortization:</w:t>
            </w:r>
          </w:p>
        </w:tc>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ind w:left="180"/>
              <w:spacing w:after="0"/>
              <w:rPr>
                <w:sz w:val="20"/>
                <w:szCs w:val="20"/>
                <w:color w:val="auto"/>
              </w:rPr>
            </w:pPr>
            <w:r>
              <w:rPr>
                <w:rFonts w:ascii="Arial" w:cs="Arial" w:eastAsia="Arial" w:hAnsi="Arial"/>
                <w:sz w:val="18"/>
                <w:szCs w:val="18"/>
                <w:color w:val="auto"/>
              </w:rPr>
              <w:t>Brand names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Total indefinite-lived intangible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Total other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weighted average remaining amortization period for all intangible assets, other than goodwill and indefinite- lived intangibles, was 6.3 years as of December 31, 2013 and 7.3 years as of December 31, 2012. Total amortization expense is expected to be $9.5 million in each of 2014 and 2015, $9.4 million in 2016 and $9.3 million in each of 2017 and 2018. Amortization expense was $10.2 million, $10.9 million and $10.8 million in the years ended December 31, 2013, 2012 and 2011,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70" w:right="1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4"/>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8.   Long-term Debt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60" w:type="dxa"/>
            <w:vAlign w:val="bottom"/>
            <w:gridSpan w:val="3"/>
          </w:tcPr>
          <w:p>
            <w:pPr>
              <w:spacing w:after="0"/>
              <w:rPr>
                <w:sz w:val="20"/>
                <w:szCs w:val="20"/>
                <w:color w:val="auto"/>
              </w:rPr>
            </w:pPr>
            <w:r>
              <w:rPr>
                <w:rFonts w:ascii="Arial" w:cs="Arial" w:eastAsia="Arial" w:hAnsi="Arial"/>
                <w:sz w:val="18"/>
                <w:szCs w:val="18"/>
                <w:color w:val="auto"/>
              </w:rPr>
              <w:t>As of December 31, 2013 and 2012, long-term debt consisted of the following (in thousands):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December 10, 2015, with available commitments up to</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$250 million; secured by substantially all of Oil States’ and our U.S. and Canadian assets; commitment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fee on unused portion was 0.375% per annum in 2013 and 2012; variable interest rate payable monthly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based on the Canadian prime rate or Bankers Acceptance discount rate plus applicable percentage; no</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borrowings were outstanding during 2013; weighted average rate was 4.3% for 2012</w:t>
            </w:r>
          </w:p>
        </w:tc>
        <w:tc>
          <w:tcPr>
            <w:tcW w:w="7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tcPr>
          <w:p>
            <w:pPr>
              <w:spacing w:after="0" w:line="201" w:lineRule="exact"/>
              <w:rPr>
                <w:sz w:val="20"/>
                <w:szCs w:val="20"/>
                <w:color w:val="auto"/>
              </w:rPr>
            </w:pPr>
            <w:r>
              <w:rPr>
                <w:rFonts w:ascii="Arial" w:cs="Arial" w:eastAsia="Arial" w:hAnsi="Arial"/>
                <w:sz w:val="18"/>
                <w:szCs w:val="18"/>
                <w:color w:val="auto"/>
                <w:w w:val="95"/>
              </w:rPr>
              <w:t>Canadian term loan, which was repaid in full in 2013, original principal of $100 million; weighted average</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tcPr>
          <w:p>
            <w:pPr>
              <w:ind w:left="180"/>
              <w:spacing w:after="0"/>
              <w:rPr>
                <w:sz w:val="20"/>
                <w:szCs w:val="20"/>
                <w:color w:val="auto"/>
              </w:rPr>
            </w:pPr>
            <w:r>
              <w:rPr>
                <w:rFonts w:ascii="Arial" w:cs="Arial" w:eastAsia="Arial" w:hAnsi="Arial"/>
                <w:sz w:val="18"/>
                <w:szCs w:val="18"/>
                <w:color w:val="auto"/>
              </w:rPr>
              <w:t>rate was 3.3% for 2013 and 3.4% for 2012</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85,786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Australian revolving credit facility, which matures December 10, 2015, with available commitments up to</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A$300 million; secured by substantially all of our Australian assets; commitment fee on unused portion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was 0.375% per annum in 2013 and 2012; variable interest rate payable monthly based on the Australian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prime rate plus applicable percentage; weighted average rate was 5.1% for 2013 and 5.4% for 2012</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Affiliate debt with Oil States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335,171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960" w:type="dxa"/>
            <w:vAlign w:val="bottom"/>
            <w:gridSpan w:val="3"/>
          </w:tcPr>
          <w:p>
            <w:pPr>
              <w:spacing w:after="0"/>
              <w:rPr>
                <w:sz w:val="20"/>
                <w:szCs w:val="20"/>
                <w:color w:val="auto"/>
              </w:rPr>
            </w:pPr>
            <w:r>
              <w:rPr>
                <w:rFonts w:ascii="Arial" w:cs="Arial" w:eastAsia="Arial" w:hAnsi="Arial"/>
                <w:sz w:val="18"/>
                <w:szCs w:val="18"/>
                <w:color w:val="auto"/>
                <w:w w:val="94"/>
              </w:rPr>
              <w:t>Scheduled maturities of combined long-term debt as of December 31, 2013, are as follows (in thousands):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gridSpan w:val="2"/>
            <w:vMerge w:val="restart"/>
          </w:tcPr>
          <w:p>
            <w:pPr>
              <w:spacing w:after="0"/>
              <w:rPr>
                <w:sz w:val="18"/>
                <w:szCs w:val="18"/>
                <w:color w:val="auto"/>
              </w:rPr>
            </w:pPr>
          </w:p>
        </w:tc>
        <w:tc>
          <w:tcPr>
            <w:tcW w:w="68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335,171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Accommodations is a party to a credit facility agreement together with Oil States that has separate Canadian borrowing limits that serve as debt financing for the Canadian operations of Accommodations (“Oil States Credit Facility”) as described below. Additionally, Accommodations has a separate Australian credit facility (“The MAC Group Credit Facility”) also described below that is used exclusively to support our Australian operations. It is expected that Accommodations will replace some or all of these facilities in connection with the consummation of any Spin-off transaction.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61" w:name="page162"/>
    <w:bookmarkEnd w:id="161"/>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10, 2010, Oil States replaced its existing $500 million bank credit facility with $1.05 billion in senior credit facilities governed by the Amended and Restated Credit Agreement. The new Oil States credit facilities totaled $1.05 billion of available commitments consisting of revolving borrowings, up to $750 million, and term borrowings, of $300 million. Oil States and Accommodations borrowed all of the term commitment ($200 million by Oil States and $100 million by Accommodations) in connection with the acquisition of The MAC. Under these senior secured revolving credit facilities with a group of banks, up to $350 million is available in the form of loans denominated in Canadian dollars and may be made to the Oil States’ principal Canadian operating subsidiaries, i.e. Accommodations. The facilities mature on December 10, 2015. The December 31, 2013 principal balance of the term loans is repayable at a rate of 2.5% per quarter of the aggregate principal amount until maturity on December 10, 2015 when the remaining principal is due. Amounts borrowed under these facilities bear interest, at Accommodations’ election, at either:</w:t>
      </w:r>
    </w:p>
    <w:p>
      <w:pPr>
        <w:spacing w:after="0" w:line="179" w:lineRule="exact"/>
        <w:rPr>
          <w:sz w:val="20"/>
          <w:szCs w:val="20"/>
          <w:color w:val="auto"/>
        </w:rPr>
      </w:pPr>
    </w:p>
    <w:p>
      <w:pPr>
        <w:ind w:left="340" w:right="60" w:hanging="332"/>
        <w:spacing w:after="0" w:line="277"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variable rate equal to LIBOR (or, in the case of Canadian dollar denominated loans, the Bankers’ Acceptance discount rate) plus a margin ranging from 2.0% to 3.0%; or</w:t>
      </w:r>
    </w:p>
    <w:p>
      <w:pPr>
        <w:spacing w:after="0" w:line="170"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alternate base rate equal to the higher of the bank’s prime rate and the federal funds effective rate (or, in the case of Canadian dollar denominated loans, the Canadian Prime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Commitment fees ranging from 0.375% to 0.50% per year are paid on the undrawn portion of the facilities, depending upon our leverage ratio.</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Canadian portion of the credit facilities are guaranteed by all of Oil States’ active foreign subsidiaries. The credit facilities are secured by a first priority lien on all Oil States’ inventory, accounts receivable and other material tangible and intangible assets, as well as those of Oil States’ active subsidiaries, including Accommodations. However, no more than 65% of the voting stock of any foreign subsidiary is required to be pledged if the pledge of any greater percentage would result in adverse tax consequences.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Oil States Credit Agreement contains customary financial covenants and restrictions applicable to Oil States. As of December 31, 2013, Oil States was in compliance with all debt covenants. The credit facilities also contain negative covenants that limit Oil States’ or Accommodations’ ability to borrow additional funds, encumber assets, sell assets and enter into other significant transactions.</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Oil States’ credit facilities, the occurrence of specified change of control events involving their shareholders would constitute an event of default that would permit the banks to, among other things, accelerate the maturity of the facilities and cause them to become immediately due and payable in full.</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2013, we had no outstanding balance under these facilities and an additional $4.9 million of outstanding letters of credit, leaving $249.1 million available to be drawn under the facilities by Accommodations.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September 18, 2012, Accommodations’ Australian accommodations subsidiary, The MAC Services Group Pty Limited (The MAC), entered into a A$300 million revolving loan facility governed by a Syndicated Facility Agreement (“The MAC Group Facility Agreement”), between The MAC, J.P. Morgan Australia Limited, as Australian agent and security trustee, JPMorgan Chase Bank, N.A., as U.S. agent, and the lenders party thereto, which is guaranteed by Oil States and The MAC’s subsidiaries. The maturity date of The MAC Group Facility Agreement is December 10, 2015. Under the terms of the MAC Group Facility Agreement, loans bear interest for a particular interest period at a rate per annum equal to the sum of the average interest rate paid by banks for loans of the equivalent period and an applicable percentage ranging from 2.00% to 3.00% based upon the Australian Borrower’s leverage ratio. The MAC Group Facility Agreement contains representations, warranties and covenants that are customary for similar credit arrangements, including, among other things, covenants relating to financial reporting and notification, payment of obligations, and notification of certain events. The MAC Group Facility Agreement has customary financial covenants and restrictions. As of December 31, 2013, we were in compliance with our Australian debt covenants. As of December 31, 2013, we had no outstanding balance under the Australian credit facility leaving A$300 million available to be drawn under this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Debt with Oil States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9, 2010 Accommodations entered into an affiliate term loan agreement with Oil States with a principal amount of C$227 million. The loan matures on December 31, 2020 and bears interest equal to LIBOR plus 3.75%, which is payable annually. The outstanding principal amount can be prepaid at any time without penalty. Upon completion of the spin off transaction this affiliate term loan is expected to be a contribution to the equity of Accommodations by Oil States.</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June 27, 2011 Accommodations entered into an affiliate term loan agreement with Oil States with a principal amount of C$130 million. The loan matures on June 1, 2021 and bears interest at a fixed rate of 7.25%. The outstanding principal amount can be prepaid at any time without penalty. Upon completion of the spin off transaction this affiliate term loan is expected to be a contribution to the equity of Accommodations by Oil States.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2" w:name="page163"/>
    <w:bookmarkEnd w:id="162"/>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Accommodations sponsors defined contribution plans. Participation in these plans is available to substantially all employees. Accommodations recognized expense of $18.6 million, $17.0 million and $11.5 million, respectively, related to matching contributions under its various defined contribution plans during the years ended December 31, 2013, 2012 and 2011, respectively.</w:t>
      </w:r>
    </w:p>
    <w:p>
      <w:pPr>
        <w:spacing w:after="0" w:line="177"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Pre-tax income (loss) for the years ended December 31, 2013, 2012 and 2011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US operations</w:t>
            </w:r>
          </w:p>
        </w:tc>
        <w:tc>
          <w:tcPr>
            <w:tcW w:w="13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Foreign operations</w:t>
            </w:r>
          </w:p>
        </w:tc>
        <w:tc>
          <w:tcPr>
            <w:tcW w:w="1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241,422</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300,314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206,971</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239,368</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330,208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for the years ended December 31, 2013, 2012 and 2011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(7,525)</w:t>
            </w:r>
          </w:p>
        </w:tc>
        <w:tc>
          <w:tcPr>
            <w:tcW w:w="106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8,495</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51,962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61,261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44,448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70,454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Deferred:</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4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11,607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13,812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Total Provision</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56,055</w:t>
            </w:r>
          </w:p>
        </w:tc>
        <w:tc>
          <w:tcPr>
            <w:tcW w:w="120" w:type="dxa"/>
            <w:vAlign w:val="bottom"/>
          </w:tcPr>
          <w:p>
            <w:pPr>
              <w:spacing w:after="0"/>
              <w:rPr>
                <w:sz w:val="18"/>
                <w:szCs w:val="18"/>
                <w:color w:val="auto"/>
              </w:rPr>
            </w:pPr>
          </w:p>
        </w:tc>
        <w:tc>
          <w:tcPr>
            <w:tcW w:w="106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84,266</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55,110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provision for taxes differs from an amount computed at U.S. statutory rates as follows for the years ended December 31, 2013, 2010 and 2011 consisted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Federal tax expense at statutory rates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115,571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78,589</w:t>
            </w: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Effect of foreign income tax, net</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(27,051)</w:t>
            </w:r>
          </w:p>
        </w:tc>
        <w:tc>
          <w:tcPr>
            <w:tcW w:w="9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(31,200)</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(26,403)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State tax expense, net of federal benefits</w:t>
            </w: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Domestic manufacturing deduction</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Uncertain tax positions adjustments, net</w:t>
            </w: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Net income tax provision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56,056</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84,266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55,110</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56"/>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F-21</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63" w:name="page164"/>
    <w:bookmarkEnd w:id="163"/>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items giving rise to the deferred tax assets and liabilities as of December 31, 2013 and 2012 are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3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22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inventory reserves</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Employee benefits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Deductible goodwill and other intangibles</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Other reserves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Deferred revenue $1,152</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22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18,383</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14,990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3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2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(78,518)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(67,558)</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(6,686)</w:t>
            </w: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(3,161)</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(2,899)</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w:t>
            </w: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(90,361)</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(79,131)</w:t>
            </w: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deferred tax liability</w:t>
            </w:r>
          </w:p>
        </w:tc>
        <w:tc>
          <w:tcPr>
            <w:tcW w:w="1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(71,978)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Reclassifications of Accommodations’ deferred tax balance based on net current items and net non-current items as of December 31, 2013 and 2012 are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w:t>
            </w:r>
          </w:p>
        </w:tc>
        <w:tc>
          <w:tcPr>
            <w:tcW w:w="1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(72,284)</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(64,486)</w:t>
            </w:r>
          </w:p>
        </w:tc>
      </w:tr>
      <w:tr>
        <w:trPr>
          <w:trHeight w:val="250"/>
        </w:trPr>
        <w:tc>
          <w:tcPr>
            <w:tcW w:w="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(71,978)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primary deferred tax assets at December 31, 2013, were related to deductible goodwill and other intangibles.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income tax provision for the year ended December 31, 2013 totaled $56.1 million, or 23.4% of pretax income, compared to $84.3 million, or 25.5% of pretax income, for the year ended December 31, 2012.</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Appropriate U.S. and foreign income taxes have been provided for earnings of foreign subsidiary companies that are expected to be remitted in the near future. The cumulative amount of undistributed earnings of foreign subsidiaries that Accommodations intends to permanently reinvest, and upon which foreign taxes have been accrued or paid but no deferred US income taxes have been provided is $1,027 million at December 31, 2013, the majority of which has been generated in Canada. Upon distribution of these earnings in the form of dividends or otherwise, Accommodations may be subject to US income taxes (subject to adjustment for foreign tax credits) and foreign withholding taxes. It is not practical, however, to estimate the amount of taxes that may be payable on the eventual remittance of these earnings after consideration of available foreign tax credits.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Accommodations files tax returns in the jurisdictions in which they are required. All of these returns are subject to examination or audit and possible adjustment as a result of assessments by taxing authorities. Accommodations believes that it has recorded sufficient tax liabilities and does not expect the resolution of any examination or audit of its tax returns would have a material adverse effect on its operating results, financial condition or liquidity.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Canadian federal tax returns subsequent to 2008 are subject to audit by the Canada Revenue Agency. Our Australian subsidiary’s federal tax returns subsequent to 2007 are subject to audit by the Australian Taxation Office.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uncertain tax positions using a recognition threshold and a measurement attribute for the combined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amount of benefit that is greater than 50 percent likely of being realized upon ultimate settlement.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4" w:name="page165"/>
    <w:bookmarkEnd w:id="164"/>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as of December 31, 2013 and 2012 were $0.7 million. The unrecognized tax benefits, if recognized, would affect the effective tax rate. Accommodations accrues interest and penalties related to unrecognized tax benefits as a component of the Company's provision for income taxes. As of December 31, 2013 and 2012, Accommodations had accrued $0.3 million and $0.3 million, respectively, of interest expense and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560" w:type="dxa"/>
            <w:vAlign w:val="bottom"/>
            <w:gridSpan w:val="2"/>
          </w:tcPr>
          <w:p>
            <w:pPr>
              <w:jc w:val="right"/>
              <w:ind w:right="105"/>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128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Balance as of January 1</w:t>
            </w:r>
            <w:r>
              <w:rPr>
                <w:rFonts w:ascii="Arial" w:cs="Arial" w:eastAsia="Arial" w:hAnsi="Arial"/>
                <w:sz w:val="24"/>
                <w:szCs w:val="24"/>
                <w:color w:val="auto"/>
                <w:vertAlign w:val="superscript"/>
              </w:rPr>
              <w:t>st</w:t>
            </w:r>
          </w:p>
        </w:tc>
        <w:tc>
          <w:tcPr>
            <w:tcW w:w="4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Lapse of the applicable statute of limitations</w:t>
            </w:r>
          </w:p>
        </w:tc>
        <w:tc>
          <w:tcPr>
            <w:tcW w:w="4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Balance as of December 31</w:t>
            </w:r>
            <w:r>
              <w:rPr>
                <w:rFonts w:ascii="Arial" w:cs="Arial" w:eastAsia="Arial" w:hAnsi="Arial"/>
                <w:sz w:val="24"/>
                <w:szCs w:val="24"/>
                <w:color w:val="auto"/>
                <w:vertAlign w:val="superscript"/>
              </w:rPr>
              <w:t>st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reasonably possible that the amount of unrecognized tax benefits will change during the next twelve months due to the closing of the statute of limitations and that change, if it were to occur, could have a favorable or unfavorable impact on our results of operation.</w:t>
      </w:r>
    </w:p>
    <w:p>
      <w:pPr>
        <w:spacing w:after="0" w:line="166" w:lineRule="exact"/>
        <w:rPr>
          <w:sz w:val="20"/>
          <w:szCs w:val="20"/>
          <w:color w:val="auto"/>
        </w:rPr>
      </w:pPr>
    </w:p>
    <w:p>
      <w:pPr>
        <w:ind w:left="440" w:hanging="432"/>
        <w:spacing w:after="0"/>
        <w:tabs>
          <w:tab w:leader="none" w:pos="4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Accommodations leases a portion of its equipment, office space, computer equipment, automobiles and trucks under leases which expire at various dates.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Minimum future operating lease obligations in effect at December 31, 2013, were as follows (in thousands):</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r>
      <w:tr>
        <w:trPr>
          <w:trHeight w:val="210"/>
        </w:trPr>
        <w:tc>
          <w:tcPr>
            <w:tcW w:w="8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18,729</w:t>
            </w:r>
          </w:p>
        </w:tc>
        <w:tc>
          <w:tcPr>
            <w:tcW w:w="1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under operating leases was $7.1 million, $5.3 million and $5.1 million for the years ended December 31, 2013, 2012 and 2011, respectively.</w:t>
      </w:r>
    </w:p>
    <w:p>
      <w:pPr>
        <w:spacing w:after="0" w:line="24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Accommodations is a party to various pending or threatened claims, lawsuits and administrative proceedings seeking damages or other remedies concerning its commercial operations, products, employees and other matters, including warranty and product liability claims as a result of its products or operations. In certain cases, Accommodations is entitled to indemnification from the sellers of businesses. Although Accommodations can give no assurance about the outcome of pending legal and administrative proceedings and the effect such outcomes may have on it, management believes that any ultimate liability resulting from the outcome of such proceedings, to the extent not otherwise provided for or covered by insurance, will not have a material adverse effect on its combined financial position, results of operations or liquidity.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5" w:name="page166"/>
    <w:bookmarkEnd w:id="165"/>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ind w:left="440" w:hanging="432"/>
        <w:spacing w:after="0"/>
        <w:tabs>
          <w:tab w:leader="none" w:pos="4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Accumulated other comprehensive income decreased from $107.7 million at December 31, 2012 to a loss of $60.0 million at December 31, 2013, a net change of $167.7 million, as a result of decreases in the Canadian and Australian dollar exchange rates compared to the U.S. dollar. The Canadian dollar was valued at an exchange rate of U.S. $0.94 at December 31, 2013 compared to U.S. $1.01 at December 31, 2012, a decrease of 6%. The Australian dollar was valued at an exchange rate of U.S. $0.89 at December 31, 2013 compared to U.S. $1.04 at December 31, 2012, a decrease of 14%. Excluding intercompany balances, our Canadian dollar and Australian dollar functional currency net assets total approximately C$574 million and A$957 million, respectively, 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3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Certain employees of Accommodations participate in Oil States’ Equity Participation Plan. The expense associated with these employees of Accommodations is reflected in the historical combined income statements of Accommodations. The expense associated with the allocation of stock compensation expense for Accommodations’ employees is included as a component of the Oil States International, Inc. net investment account.</w:t>
      </w:r>
    </w:p>
    <w:p>
      <w:pPr>
        <w:spacing w:after="0" w:line="16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Current accounting standards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66"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Stock-based compensation pre-tax expense recognized by Accommodations in the years ended December 31, 2013, 2012 and 2011 totaled $6.4 million, $3.3 million and $2.3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is assumed to be zero since they do not pay dividends and have no current plans to do so in the future. The expected market price volatility of Oil States’ common stock is based on an estimate made by them that considers the historical and implied volatility of its common stock as well as a peer group of companies over a time period equal to the expected term of the option. The expected life of the options awarded in 2013, 2012 and 2011 was based on a formula considering the vesting period, term of the options awarded and past experience.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728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weighted interest rate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18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0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675"/>
        </w:trPr>
        <w:tc>
          <w:tcPr>
            <w:tcW w:w="180" w:type="dxa"/>
            <w:vAlign w:val="bottom"/>
          </w:tcPr>
          <w:p>
            <w:pPr>
              <w:spacing w:after="0"/>
              <w:rPr>
                <w:sz w:val="24"/>
                <w:szCs w:val="24"/>
                <w:color w:val="auto"/>
              </w:rPr>
            </w:pPr>
          </w:p>
        </w:tc>
        <w:tc>
          <w:tcPr>
            <w:tcW w:w="7280" w:type="dxa"/>
            <w:vAlign w:val="bottom"/>
            <w:gridSpan w:val="2"/>
          </w:tcPr>
          <w:p>
            <w:pPr>
              <w:ind w:left="5360"/>
              <w:spacing w:after="0"/>
              <w:rPr>
                <w:sz w:val="20"/>
                <w:szCs w:val="20"/>
                <w:color w:val="auto"/>
              </w:rPr>
            </w:pPr>
            <w:r>
              <w:rPr>
                <w:rFonts w:ascii="Arial" w:cs="Arial" w:eastAsia="Arial" w:hAnsi="Arial"/>
                <w:sz w:val="18"/>
                <w:szCs w:val="18"/>
                <w:color w:val="auto"/>
              </w:rPr>
              <w:t>F-24</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6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66" w:name="page167"/>
    <w:bookmarkEnd w:id="166"/>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the changes in stock options outstanding and related information for Accommodations’ employees for each of the three years ended December 31, 2013, 2012 and 2011:</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598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(thousands)</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421,250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80,250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75.41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30.29</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(29,125)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48.16</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84.63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80.68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80.25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(160,626)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38.59</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(7,250)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68.55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Exercisable Options at December 31, 2012</w:t>
            </w:r>
          </w:p>
        </w:tc>
        <w:tc>
          <w:tcPr>
            <w:tcW w:w="1160" w:type="dxa"/>
            <w:vAlign w:val="bottom"/>
          </w:tcPr>
          <w:p>
            <w:pPr>
              <w:jc w:val="right"/>
              <w:spacing w:after="0"/>
              <w:rPr>
                <w:sz w:val="20"/>
                <w:szCs w:val="20"/>
                <w:color w:val="auto"/>
              </w:rPr>
            </w:pPr>
            <w:r>
              <w:rPr>
                <w:rFonts w:ascii="Arial" w:cs="Arial" w:eastAsia="Arial" w:hAnsi="Arial"/>
                <w:sz w:val="18"/>
                <w:szCs w:val="18"/>
                <w:color w:val="auto"/>
              </w:rPr>
              <w:t>132,938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33.40</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5,110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58,625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weighted average fair values of options granted to Accommodations’ employees during 2013, 2012 and 2011 were $28.31, $37.43 and $33.27 per share, respectively. All options awarded in 2013 had a term of ten years and were granted with exercise prices at the grant date closing market price. The total intrinsic value of options exercised by Accommodations’ employees during 2013, 2012 and 2011 were $8.2 million, $6.2 million and $3.2 million, respectively. Oil States received all cash from option exercises during 2013, 2012 and 2011. The tax benefits realized for the tax deduction from stock options exercised during 2013, 2012 and 2011 totaled $0.6 million, $0.2 million and $0.2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outstanding stock options of Accommodations’ employees at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Options Outstanding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6"/>
          </w:tcPr>
          <w:p>
            <w:pPr>
              <w:jc w:val="right"/>
              <w:ind w:right="1120"/>
              <w:spacing w:after="0"/>
              <w:rPr>
                <w:sz w:val="20"/>
                <w:szCs w:val="20"/>
                <w:color w:val="auto"/>
              </w:rPr>
            </w:pPr>
            <w:r>
              <w:rPr>
                <w:rFonts w:ascii="Arial" w:cs="Arial" w:eastAsia="Arial" w:hAnsi="Arial"/>
                <w:sz w:val="18"/>
                <w:szCs w:val="18"/>
                <w:b w:val="1"/>
                <w:bCs w:val="1"/>
                <w:color w:val="auto"/>
              </w:rPr>
              <w:t>Options Exercisable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4"/>
              </w:rPr>
              <w:t>Number</w:t>
            </w: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Outstanding as of</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Number Exercisable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Weighted Average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Range of Exercise Prices</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12/31/2013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Exercise Price</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as of 12/31/2013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Exercise Price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94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7"/>
              </w:rPr>
              <w:t>$16.65 - $16.65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16.65</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jc w:val="right"/>
              <w:ind w:right="930"/>
              <w:spacing w:after="0"/>
              <w:rPr>
                <w:sz w:val="20"/>
                <w:szCs w:val="20"/>
                <w:color w:val="auto"/>
              </w:rPr>
            </w:pPr>
            <w:r>
              <w:rPr>
                <w:rFonts w:ascii="Arial" w:cs="Arial" w:eastAsia="Arial" w:hAnsi="Arial"/>
                <w:sz w:val="18"/>
                <w:szCs w:val="18"/>
                <w:color w:val="auto"/>
                <w:w w:val="87"/>
              </w:rPr>
              <w:t>$37.67 - $37.67</w:t>
            </w: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51,000</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2.12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37.67</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25,375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87"/>
              </w:rPr>
              <w:t>$75.41 - $84.63</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1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77.31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gridSpan w:val="2"/>
          </w:tcPr>
          <w:p>
            <w:pPr>
              <w:jc w:val="right"/>
              <w:ind w:right="930"/>
              <w:spacing w:after="0"/>
              <w:rPr>
                <w:sz w:val="20"/>
                <w:szCs w:val="20"/>
                <w:color w:val="auto"/>
              </w:rPr>
            </w:pPr>
            <w:r>
              <w:rPr>
                <w:rFonts w:ascii="Arial" w:cs="Arial" w:eastAsia="Arial" w:hAnsi="Arial"/>
                <w:sz w:val="18"/>
                <w:szCs w:val="18"/>
                <w:color w:val="auto"/>
                <w:w w:val="88"/>
              </w:rPr>
              <w:t>$16.65 - $84.63</w:t>
            </w: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117,624</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3.55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44.56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58,625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vMerge w:val="restart"/>
          </w:tcPr>
          <w:p>
            <w:pPr>
              <w:ind w:left="1440"/>
              <w:spacing w:after="0"/>
              <w:rPr>
                <w:sz w:val="20"/>
                <w:szCs w:val="20"/>
                <w:color w:val="auto"/>
              </w:rPr>
            </w:pPr>
            <w:r>
              <w:rPr>
                <w:rFonts w:ascii="Arial" w:cs="Arial" w:eastAsia="Arial" w:hAnsi="Arial"/>
                <w:sz w:val="18"/>
                <w:szCs w:val="18"/>
                <w:color w:val="auto"/>
                <w:w w:val="97"/>
              </w:rPr>
              <w:t>F-25</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67" w:name="page168"/>
    <w:bookmarkEnd w:id="167"/>
    <w:p>
      <w:pPr>
        <w:jc w:val="center"/>
        <w:ind w:left="260" w:right="260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of restricted stock awards and related information for Accommodations’ employees for 2013: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Weighted Average</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Grant Date Fair</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Number of Awards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Value Per Share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January 1, 2013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26,200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84.63</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2013</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During 2013, Oil States granted restricted stock awards to Accommodations’ employees totaling 26,200 shares valued at a total of $2.1 million. All of the restricted stock awards granted to Accommodations’ employees vest in four equal annual installments beginning in February 2014. During 2013, Oil States also granted 70,500 units of phantom shares under the newly created Canadian Long-Term Incentive Plan, which provides for the granting of units of phantom shares to key Canadian employees of Accommodations. These awards vest in three equal annual installments beginning in February 2014 and are accounted for as a liability based on the market price of Oil States shares. Participants granted units of phantom shares are entitled to a lump sum cash payment equal to the fair market value of a share of Oil States’ common stock on the vesting date. At December 31, 2013, the balance of the liability for the phantom shares was $3.4 million. A total of 19,800 and 26,104 shares of restricted stock were awarded to Accommodations’ employees in 2012 and 2011,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 with aggregate values of $1.6 million and $2.0 million, respectively.</w:t>
      </w: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weighted average grant date fair value per share for restricted stock awards granted in 2013, 2012 and 2011 was $80.25, $81.35 and $74.81, respectively. The total fair value of restricted stock awards vested in 2013, 2012 and 2011 was $1.0, $0.8 million and $0.4 million, respectively. As of December 31, 2013, there was $4.2 million of total compensation cost related to nonvested stock awards not yet recognized, which is expected to be recognized over a weighted average period of 2.4 years.</w:t>
      </w:r>
    </w:p>
    <w:p>
      <w:pPr>
        <w:spacing w:after="0" w:line="183"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Accommodations has identified the following reportable segments: Canadian, Australian and U.S., which represent our strategic focus on work force accommodations.</w:t>
      </w:r>
    </w:p>
    <w:p>
      <w:pPr>
        <w:spacing w:after="0" w:line="12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Financial information for our segment for each of the three years ended December 31, 2013, 2012 and 2011, is summarized in the following table in thousands. The accounting policies of the segment are the same as those described in the summary of significant accounting policies.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08" w:right="299" w:bottom="1440" w:gutter="0" w:footer="0" w:header="0"/>
        </w:sectPr>
      </w:pPr>
    </w:p>
    <w:bookmarkStart w:id="168" w:name="page169"/>
    <w:bookmarkEnd w:id="168"/>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Revenues from</w:t>
            </w:r>
          </w:p>
        </w:tc>
        <w:tc>
          <w:tcPr>
            <w:tcW w:w="2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Depreciation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unaffiliated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customers</w:t>
            </w:r>
          </w:p>
        </w:tc>
        <w:tc>
          <w:tcPr>
            <w:tcW w:w="26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amortization</w:t>
            </w:r>
          </w:p>
        </w:tc>
        <w:tc>
          <w:tcPr>
            <w:tcW w:w="8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income (loss)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expenditures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Canadian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710,538</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85,180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190,801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155,556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997,542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Australian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255,457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75,197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894,227</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U.S.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75,109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17,488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61,989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234,049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Stand-alone adjustments and eliminations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tcPr>
          <w:p>
            <w:pPr>
              <w:ind w:left="500"/>
              <w:spacing w:after="0" w:line="195" w:lineRule="exact"/>
              <w:rPr>
                <w:sz w:val="20"/>
                <w:szCs w:val="20"/>
                <w:color w:val="auto"/>
              </w:rPr>
            </w:pPr>
            <w:r>
              <w:rPr>
                <w:rFonts w:ascii="Arial" w:cs="Arial" w:eastAsia="Arial" w:hAnsi="Arial"/>
                <w:sz w:val="18"/>
                <w:szCs w:val="18"/>
                <w:color w:val="auto"/>
                <w:w w:val="97"/>
              </w:rPr>
              <w:t>Accommodations Business of Oil States International,</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1,041,104</w:t>
            </w:r>
          </w:p>
        </w:tc>
        <w:tc>
          <w:tcPr>
            <w:tcW w:w="5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167,213</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259,456</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291,694</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2,127,050</w:t>
            </w:r>
          </w:p>
        </w:tc>
        <w:tc>
          <w:tcPr>
            <w:tcW w:w="0" w:type="dxa"/>
            <w:vAlign w:val="bottom"/>
          </w:tcPr>
          <w:p>
            <w:pPr>
              <w:spacing w:after="0"/>
              <w:rPr>
                <w:sz w:val="1"/>
                <w:szCs w:val="1"/>
                <w:color w:val="auto"/>
              </w:rPr>
            </w:pPr>
          </w:p>
        </w:tc>
      </w:tr>
      <w:tr>
        <w:trPr>
          <w:trHeight w:val="190"/>
        </w:trPr>
        <w:tc>
          <w:tcPr>
            <w:tcW w:w="4700" w:type="dxa"/>
            <w:vAlign w:val="bottom"/>
          </w:tcPr>
          <w:p>
            <w:pPr>
              <w:ind w:left="500"/>
              <w:spacing w:after="0" w:line="190" w:lineRule="exact"/>
              <w:rPr>
                <w:sz w:val="20"/>
                <w:szCs w:val="20"/>
                <w:color w:val="auto"/>
              </w:rPr>
            </w:pPr>
            <w:r>
              <w:rPr>
                <w:rFonts w:ascii="Arial" w:cs="Arial" w:eastAsia="Arial" w:hAnsi="Arial"/>
                <w:sz w:val="18"/>
                <w:szCs w:val="18"/>
                <w:color w:val="auto"/>
              </w:rPr>
              <w:t>Inc.</w:t>
            </w: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Canadian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717,160</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226,403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954,295</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Australian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276,214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55,443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99,213</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145,766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992,665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and 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31,358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178,229</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Stand-alone adjustments and eliminations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(4,045)</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shd w:val="clear" w:color="auto" w:fill="CCEEFF"/>
          </w:tcPr>
          <w:p>
            <w:pPr>
              <w:ind w:left="500"/>
              <w:spacing w:after="0" w:line="195" w:lineRule="exact"/>
              <w:rPr>
                <w:sz w:val="20"/>
                <w:szCs w:val="20"/>
                <w:color w:val="auto"/>
              </w:rPr>
            </w:pPr>
            <w:r>
              <w:rPr>
                <w:rFonts w:ascii="Arial" w:cs="Arial" w:eastAsia="Arial" w:hAnsi="Arial"/>
                <w:sz w:val="18"/>
                <w:szCs w:val="18"/>
                <w:color w:val="auto"/>
                <w:w w:val="97"/>
              </w:rPr>
              <w:t>Accommodations Business of Oil States International,</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1,108,875</w:t>
            </w:r>
          </w:p>
        </w:tc>
        <w:tc>
          <w:tcPr>
            <w:tcW w:w="5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139,047</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352,929</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314,047</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2,128,895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500"/>
              <w:spacing w:after="0" w:line="190" w:lineRule="exact"/>
              <w:rPr>
                <w:sz w:val="20"/>
                <w:szCs w:val="20"/>
                <w:color w:val="auto"/>
              </w:rPr>
            </w:pPr>
            <w:r>
              <w:rPr>
                <w:rFonts w:ascii="Arial" w:cs="Arial" w:eastAsia="Arial" w:hAnsi="Arial"/>
                <w:sz w:val="18"/>
                <w:szCs w:val="18"/>
                <w:color w:val="auto"/>
              </w:rPr>
              <w:t>Inc.</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2011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Canadian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579,857</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54,281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162,323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173,194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765,842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Australian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197,095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881,155</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U.S.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12,511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19,554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143,101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Stand-alone adjustments and eliminations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tcPr>
          <w:p>
            <w:pPr>
              <w:ind w:left="500"/>
              <w:spacing w:after="0" w:line="195" w:lineRule="exact"/>
              <w:rPr>
                <w:sz w:val="20"/>
                <w:szCs w:val="20"/>
                <w:color w:val="auto"/>
              </w:rPr>
            </w:pPr>
            <w:r>
              <w:rPr>
                <w:rFonts w:ascii="Arial" w:cs="Arial" w:eastAsia="Arial" w:hAnsi="Arial"/>
                <w:sz w:val="18"/>
                <w:szCs w:val="18"/>
                <w:color w:val="auto"/>
                <w:w w:val="97"/>
              </w:rPr>
              <w:t>Accommodations Business of Oil States International,</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864,701</w:t>
            </w:r>
          </w:p>
        </w:tc>
        <w:tc>
          <w:tcPr>
            <w:tcW w:w="5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110,708</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242,159</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348,504</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1,799,894</w:t>
            </w:r>
          </w:p>
        </w:tc>
        <w:tc>
          <w:tcPr>
            <w:tcW w:w="0" w:type="dxa"/>
            <w:vAlign w:val="bottom"/>
          </w:tcPr>
          <w:p>
            <w:pPr>
              <w:spacing w:after="0"/>
              <w:rPr>
                <w:sz w:val="1"/>
                <w:szCs w:val="1"/>
                <w:color w:val="auto"/>
              </w:rPr>
            </w:pPr>
          </w:p>
        </w:tc>
      </w:tr>
      <w:tr>
        <w:trPr>
          <w:trHeight w:val="190"/>
        </w:trPr>
        <w:tc>
          <w:tcPr>
            <w:tcW w:w="4700" w:type="dxa"/>
            <w:vAlign w:val="bottom"/>
          </w:tcPr>
          <w:p>
            <w:pPr>
              <w:ind w:left="500"/>
              <w:spacing w:after="0" w:line="190" w:lineRule="exact"/>
              <w:rPr>
                <w:sz w:val="20"/>
                <w:szCs w:val="20"/>
                <w:color w:val="auto"/>
              </w:rPr>
            </w:pPr>
            <w:r>
              <w:rPr>
                <w:rFonts w:ascii="Arial" w:cs="Arial" w:eastAsia="Arial" w:hAnsi="Arial"/>
                <w:sz w:val="18"/>
                <w:szCs w:val="18"/>
                <w:color w:val="auto"/>
              </w:rPr>
              <w:t>Inc.</w:t>
            </w: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Financial information by geographic segment for each of the three years ended December 31, 2013, 2012 and 2011, is summarized below in thousands. Revenues in the United States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United States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Canada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Australia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and Other</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Revenues from unaffiliated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710,538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255,457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75,109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1,041,104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198,594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Revenues from unaffiliated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717,160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276,214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115,501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1,108,875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Revenues from unaffiliated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579,550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197,095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88,056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109,677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Imperial Oil accounted for more than 10% of Accommodations’ revenues in the years ended December 31, 2013, 2012 and 2011. BHP Billiton Mitsubishi Alliance accounted for more than 10% of Accommodations’ revenues in the years ended December 31, 2013 and 2011. Suncor Energy Oil Sands LP</w:t>
      </w:r>
    </w:p>
    <w:p>
      <w:pPr>
        <w:spacing w:after="0"/>
        <w:rPr>
          <w:sz w:val="20"/>
          <w:szCs w:val="20"/>
          <w:color w:val="auto"/>
        </w:rPr>
      </w:pPr>
      <w:r>
        <w:rPr>
          <w:rFonts w:ascii="Arial" w:cs="Arial" w:eastAsia="Arial" w:hAnsi="Arial"/>
          <w:sz w:val="18"/>
          <w:szCs w:val="18"/>
          <w:color w:val="auto"/>
        </w:rPr>
        <w:t>accounted for more than 10% of Accommodations’ revenues in the year ended December 31, 2011.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9" w:name="page170"/>
    <w:bookmarkEnd w:id="169"/>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15.  Asset Retirement Obligations</w:t>
            </w: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rPr>
              <w:t>Asset retirement obligations at December 31 were (in thousands):</w:t>
            </w: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7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Asset retirement obligations due within one year*</w:t>
            </w: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asset retirement obligations</w:t>
            </w:r>
          </w:p>
        </w:tc>
        <w:tc>
          <w:tcPr>
            <w:tcW w:w="1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Classified as a current liability on the combined balance sheets, under the caption “Other accruals.”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record the fair value of a liability for an asset retirement obligation when it is incurred (typically when the asset is installed). When the liability is initially recorded, we capitalize the associated asset retirement cost by increasing the carrying amount of the related properties, plants and equipment. Over time, the liability increases for the change in its present value, while the capitalized cost depreciates over the useful life of the related asset.</w:t>
      </w:r>
    </w:p>
    <w:p>
      <w:pPr>
        <w:spacing w:after="0" w:line="16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have asset removal obligations that we are required to perform under law or contract once an asset is permanently taken out of service. Most of these obligations are not expected to be paid until several years in the future and will be funded from general company resources at the time of removal.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During 2013 and 2012, our overall asset retirement obligation changed as follows (in thousands):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Accretion of discount</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New obligations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Changes in estimates of existing obligations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6,095</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Parent Company Investment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2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Historically, Oil States has provided services to and funded certain expenditures of Accommodations. The most significant of these services and expenditures were: (1) funding expenditures to settle domestic accounts payable; (2) funding and processing of domestic payroll; (3) share-based compensation; and (4) certain transaction-related expenditures. The combined financial statements of Accommodations reflect these expenditures. During the years ended December 31, 2013, 2012 and 2011, $130.2 million, $88.9 million and $41.0 million, respectively, of expenditures for services received from Oil States or</w:t>
      </w:r>
    </w:p>
    <w:p>
      <w:pPr>
        <w:spacing w:after="0"/>
        <w:rPr>
          <w:sz w:val="20"/>
          <w:szCs w:val="20"/>
          <w:color w:val="auto"/>
        </w:rPr>
      </w:pPr>
      <w:r>
        <w:rPr>
          <w:rFonts w:ascii="Arial" w:cs="Arial" w:eastAsia="Arial" w:hAnsi="Arial"/>
          <w:sz w:val="18"/>
          <w:szCs w:val="18"/>
          <w:color w:val="auto"/>
        </w:rPr>
        <w:t>funding for expenditures provided by Oil States were included in the combined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0" w:name="page171"/>
    <w:bookmarkEnd w:id="170"/>
    <w:p>
      <w:pPr>
        <w:jc w:val="center"/>
        <w:ind w:right="2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combined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years ended December 31, 2013, 2012 and 2011, we were allocated $6.1 million, $5.0 million and $3.9 million, respectively, in respect of these corporate expenses which are included within selling, general and administrative expenses in the combined statements of income. These expenses have been allocated to us on the basis of direct usage when identifiable, with the remainder allocated based on estimated time spent by Oil States personnel, a pro rata basis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headcount or other relevant measures of Accommodations and Oil States and its other subsidiaries.</w:t>
      </w:r>
    </w:p>
    <w:p>
      <w:pPr>
        <w:spacing w:after="0" w:line="23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service charges and corporate expense allocations have been determined on a basis that we consider to be a reasonable reflection of the utilization of services provided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States Net Investment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combined statements of net investment. The components of the change in Oil States net investment for the years ended December 31, 2013, 2012 and 2011 are as follows (in thousands):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transfers and general financing activities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29,098</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(75,457)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Services received or funding for expenditures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130,159</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88,877</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40,993</w:t>
            </w:r>
          </w:p>
        </w:tc>
      </w:tr>
      <w:tr>
        <w:trPr>
          <w:trHeight w:val="216"/>
        </w:trPr>
        <w:tc>
          <w:tcPr>
            <w:tcW w:w="51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Corporate allocations, including income tax provision</w:t>
            </w:r>
            <w:r>
              <w:rPr>
                <w:rFonts w:ascii="Arial" w:cs="Arial" w:eastAsia="Arial" w:hAnsi="Arial"/>
                <w:sz w:val="25"/>
                <w:szCs w:val="25"/>
                <w:color w:val="auto"/>
                <w:vertAlign w:val="superscript"/>
              </w:rPr>
              <w:t>(1)</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13,148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Cash transfers for acquisitions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Oil States net investment</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166,473</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26,568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40" w:right="80" w:hanging="332"/>
        <w:spacing w:after="0" w:line="279" w:lineRule="auto"/>
        <w:tabs>
          <w:tab w:leader="none" w:pos="3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Corporate allocations includes the general corporate expense allocations of $6.1 million, $5.0 million and $3.9 million for the years ended December 31, 2013, 2012 and 2011,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Accommodations’ combined balance sheets.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in the presented combined balance sheets primarily represents cash held locally by entities included in Accommodations’ combined financial statements. Transfers of cash to and from Oil States’ are reflected as a component of Oil States net investment on the combined balance sheets. All significant intercompany transactions between Accommodations and Oil States have been included in these combined financial statements. The total net effect of the settlement of these intercompany transactions is reflected in the combined statements of cash flow as a financing activity and in the combined balance sheets as Oil States net investment.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71" w:name="page172"/>
    <w:bookmarkEnd w:id="171"/>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Allowances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valuation accounts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(net of</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 of</w:t>
            </w:r>
          </w:p>
        </w:tc>
        <w:tc>
          <w:tcPr>
            <w:tcW w:w="4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recoveries)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4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3,656</w:t>
            </w: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40" w:type="dxa"/>
            <w:vAlign w:val="bottom"/>
          </w:tcPr>
          <w:p>
            <w:pPr>
              <w:spacing w:after="0"/>
              <w:rPr>
                <w:sz w:val="20"/>
                <w:szCs w:val="20"/>
                <w:color w:val="auto"/>
              </w:rPr>
            </w:pPr>
          </w:p>
        </w:tc>
      </w:tr>
      <w:tr>
        <w:trPr>
          <w:trHeight w:val="661"/>
        </w:trPr>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F-30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9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72" w:name="page173"/>
    <w:bookmarkEnd w:id="17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Oil States International, Inc.:</w:t>
      </w:r>
    </w:p>
    <w:p>
      <w:pPr>
        <w:spacing w:after="0" w:line="200" w:lineRule="exact"/>
        <w:rPr>
          <w:sz w:val="20"/>
          <w:szCs w:val="20"/>
          <w:color w:val="auto"/>
        </w:rPr>
      </w:pPr>
    </w:p>
    <w:p>
      <w:pPr>
        <w:spacing w:after="0" w:line="24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audited the accompanying balance sheet of OIS Accommodations SpinCo Inc. (SpinCo) as of December 31, 2013 and the statements of changes in stockholder’s equity and cash flows. These financial statements are the responsibility of SpinCo’s management. Our responsibility is to express an opinion on these financial statements based on our audit.</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SpinCo’s internal control over financial reporting. Our audit included consideration of internal control over financial reporting as a basis for designing audit procedures that are appropriate in the circumstances, but not for the purpose of expressing an opinion on the effectiveness of SpinCo's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 a reasonable basis for our opinion.</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financial statements referred to above presents fairly, in all material respects, the financial position of OIS Accommodations SpinCo Inc. at December 31, 2013 and its cash flows for the period from October 8, 2013 (date of inception) to December 31, 2013, in conformity with U.S. generally accepted accounting principles</w:t>
      </w:r>
      <w:r>
        <w:rPr>
          <w:rFonts w:ascii="Arial" w:cs="Arial" w:eastAsia="Arial" w:hAnsi="Arial"/>
          <w:sz w:val="18"/>
          <w:szCs w:val="18"/>
          <w:b w:val="1"/>
          <w:bCs w:val="1"/>
          <w:color w:val="auto"/>
        </w:rPr>
        <w: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18, 2014</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1" w:right="25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6"/>
        </w:trPr>
        <w:tc>
          <w:tcPr>
            <w:tcW w:w="9840" w:type="dxa"/>
            <w:vAlign w:val="bottom"/>
          </w:tcPr>
          <w:p>
            <w:pPr>
              <w:jc w:val="center"/>
              <w:ind w:left="1510"/>
              <w:spacing w:after="0"/>
              <w:rPr>
                <w:sz w:val="20"/>
                <w:szCs w:val="20"/>
                <w:color w:val="auto"/>
              </w:rPr>
            </w:pPr>
            <w:r>
              <w:rPr>
                <w:rFonts w:ascii="Arial" w:cs="Arial" w:eastAsia="Arial" w:hAnsi="Arial"/>
                <w:sz w:val="18"/>
                <w:szCs w:val="18"/>
                <w:b w:val="1"/>
                <w:bCs w:val="1"/>
                <w:color w:val="auto"/>
              </w:rPr>
              <w:t>OIS ACCOMMODATIONS SPINCO INC.</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4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BALANCE SHEET</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840" w:type="dxa"/>
            <w:vAlign w:val="bottom"/>
          </w:tcPr>
          <w:p>
            <w:pPr>
              <w:jc w:val="center"/>
              <w:ind w:left="1510"/>
              <w:spacing w:after="0"/>
              <w:rPr>
                <w:sz w:val="20"/>
                <w:szCs w:val="20"/>
                <w:color w:val="auto"/>
              </w:rPr>
            </w:pPr>
            <w:r>
              <w:rPr>
                <w:rFonts w:ascii="Arial" w:cs="Arial" w:eastAsia="Arial" w:hAnsi="Arial"/>
                <w:sz w:val="18"/>
                <w:szCs w:val="18"/>
                <w:b w:val="1"/>
                <w:bCs w:val="1"/>
                <w:color w:val="auto"/>
                <w:w w:val="96"/>
              </w:rPr>
              <w:t>DECEMBER 31, 2013</w:t>
            </w: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ind w:left="5320"/>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70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8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840" w:type="dxa"/>
            <w:vAlign w:val="bottom"/>
          </w:tcPr>
          <w:p>
            <w:pPr>
              <w:ind w:left="4500"/>
              <w:spacing w:after="0"/>
              <w:rPr>
                <w:sz w:val="20"/>
                <w:szCs w:val="20"/>
                <w:color w:val="auto"/>
              </w:rPr>
            </w:pPr>
            <w:r>
              <w:rPr>
                <w:rFonts w:ascii="Arial" w:cs="Arial" w:eastAsia="Arial" w:hAnsi="Arial"/>
                <w:sz w:val="18"/>
                <w:szCs w:val="18"/>
                <w:b w:val="1"/>
                <w:bCs w:val="1"/>
                <w:color w:val="auto"/>
              </w:rPr>
              <w:t>STOCKHOLDER'S EQUITY</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par value $.01, 1,000 shares authorized, issued and outstanding</w:t>
            </w:r>
          </w:p>
        </w:tc>
        <w:tc>
          <w:tcPr>
            <w:tcW w:w="70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84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4" w:name="page175"/>
    <w:bookmarkEnd w:id="174"/>
    <w:p>
      <w:pPr>
        <w:jc w:val="center"/>
        <w:spacing w:after="0" w:line="266" w:lineRule="auto"/>
        <w:rPr>
          <w:sz w:val="20"/>
          <w:szCs w:val="20"/>
          <w:color w:val="auto"/>
        </w:rPr>
      </w:pPr>
      <w:r>
        <w:rPr>
          <w:rFonts w:ascii="Arial" w:cs="Arial" w:eastAsia="Arial" w:hAnsi="Arial"/>
          <w:sz w:val="18"/>
          <w:szCs w:val="18"/>
          <w:b w:val="1"/>
          <w:bCs w:val="1"/>
          <w:color w:val="auto"/>
        </w:rPr>
        <w:t>OIS ACCOMMODATIONS SPINCO INC. STATEMENT OF CHANGES IN STOCKHOLDER’S EQUITY For the Period from October 8, 2013 (date of inception) to December 31,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8, 2013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October 8, 2013 (date of inception) to December 31,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collection of related party note receivable</w:t>
            </w:r>
          </w:p>
        </w:tc>
        <w:tc>
          <w:tcPr>
            <w:tcW w:w="70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Net change in cash</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Cash at the beginning of the period</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the end of the period</w:t>
            </w:r>
          </w:p>
        </w:tc>
        <w:tc>
          <w:tcPr>
            <w:tcW w:w="70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activity:</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200"/>
              <w:spacing w:after="0"/>
              <w:rPr>
                <w:sz w:val="20"/>
                <w:szCs w:val="20"/>
                <w:color w:val="auto"/>
              </w:rPr>
            </w:pPr>
            <w:r>
              <w:rPr>
                <w:rFonts w:ascii="Arial" w:cs="Arial" w:eastAsia="Arial" w:hAnsi="Arial"/>
                <w:sz w:val="18"/>
                <w:szCs w:val="18"/>
                <w:color w:val="auto"/>
              </w:rPr>
              <w:t>Issuance of stock for note receivable</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6" w:name="page177"/>
    <w:bookmarkEnd w:id="176"/>
    <w:p>
      <w:pPr>
        <w:jc w:val="center"/>
        <w:ind w:right="-51"/>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23" w:lineRule="exact"/>
        <w:rPr>
          <w:sz w:val="20"/>
          <w:szCs w:val="20"/>
          <w:color w:val="auto"/>
        </w:rPr>
      </w:pPr>
    </w:p>
    <w:p>
      <w:pPr>
        <w:ind w:left="352" w:hanging="352"/>
        <w:spacing w:after="0"/>
        <w:tabs>
          <w:tab w:leader="none" w:pos="352"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Organization, Operations and Basis of Presentation</w:t>
      </w:r>
    </w:p>
    <w:p>
      <w:pPr>
        <w:spacing w:after="0" w:line="200" w:lineRule="exact"/>
        <w:rPr>
          <w:sz w:val="20"/>
          <w:szCs w:val="20"/>
          <w:color w:val="auto"/>
        </w:rPr>
      </w:pPr>
    </w:p>
    <w:p>
      <w:pPr>
        <w:spacing w:after="0" w:line="245" w:lineRule="exact"/>
        <w:rPr>
          <w:sz w:val="20"/>
          <w:szCs w:val="20"/>
          <w:color w:val="auto"/>
        </w:rPr>
      </w:pPr>
    </w:p>
    <w:p>
      <w:pPr>
        <w:ind w:left="332" w:right="20" w:firstLine="324"/>
        <w:spacing w:after="0" w:line="302" w:lineRule="auto"/>
        <w:rPr>
          <w:sz w:val="20"/>
          <w:szCs w:val="20"/>
          <w:color w:val="auto"/>
        </w:rPr>
      </w:pPr>
      <w:r>
        <w:rPr>
          <w:rFonts w:ascii="Arial" w:cs="Arial" w:eastAsia="Arial" w:hAnsi="Arial"/>
          <w:sz w:val="16"/>
          <w:szCs w:val="16"/>
          <w:color w:val="auto"/>
        </w:rPr>
        <w:t>OIS Accommodations SpinCo Inc. (“SpinCo”) is a Delaware corporation formed on October 8, 2013 to operate the accommodations business of Oil States International, Inc. (Oil States), which provides remote site accommodations, logistics and facility management services to the global natural resource industry, with operations primarily focused in Canada, Australia and the United States. In connection with its formation, SpinCo issued 1,000 shares of its common stock, representing a 100% interest, to Oil States for total consideration of $10 in the form of a promissory note. See Note 3.</w:t>
      </w:r>
    </w:p>
    <w:p>
      <w:pPr>
        <w:spacing w:after="0" w:line="181" w:lineRule="exact"/>
        <w:rPr>
          <w:sz w:val="20"/>
          <w:szCs w:val="20"/>
          <w:color w:val="auto"/>
        </w:rPr>
      </w:pPr>
    </w:p>
    <w:p>
      <w:pPr>
        <w:ind w:left="332" w:firstLine="324"/>
        <w:spacing w:after="0" w:line="297" w:lineRule="auto"/>
        <w:rPr>
          <w:sz w:val="20"/>
          <w:szCs w:val="20"/>
          <w:color w:val="auto"/>
        </w:rPr>
      </w:pPr>
      <w:r>
        <w:rPr>
          <w:rFonts w:ascii="Arial" w:cs="Arial" w:eastAsia="Arial" w:hAnsi="Arial"/>
          <w:sz w:val="16"/>
          <w:szCs w:val="16"/>
          <w:color w:val="auto"/>
        </w:rPr>
        <w:t>Oil States intends to distribute, on a pro rata, basis, shares of SpinCo common stock to the Oil States stockholders to be completed in accordance with a separation and distribution agreement between Oil States and SpinCo. (the “Spin-off.”). The separation and distribution agreement will govern the terms of the separation of the accommodations business from Oil States’ other businesses. The separation and distribution agreement will provide for Oil States and SpinCo to transfer specified assets and liabilities between the companies that will operate the accommodations business after the distribution. As a result of this transfer, SpinCo will own all assets and liabilities primary related to the accommodations business.</w:t>
      </w:r>
    </w:p>
    <w:p>
      <w:pPr>
        <w:spacing w:after="0" w:line="158" w:lineRule="exact"/>
        <w:rPr>
          <w:sz w:val="20"/>
          <w:szCs w:val="20"/>
          <w:color w:val="auto"/>
        </w:rPr>
      </w:pPr>
    </w:p>
    <w:p>
      <w:pPr>
        <w:ind w:left="332" w:right="20" w:firstLine="324"/>
        <w:spacing w:after="0" w:line="302" w:lineRule="auto"/>
        <w:rPr>
          <w:sz w:val="20"/>
          <w:szCs w:val="20"/>
          <w:color w:val="auto"/>
        </w:rPr>
      </w:pPr>
      <w:r>
        <w:rPr>
          <w:rFonts w:ascii="Arial" w:cs="Arial" w:eastAsia="Arial" w:hAnsi="Arial"/>
          <w:sz w:val="16"/>
          <w:szCs w:val="16"/>
          <w:color w:val="auto"/>
        </w:rPr>
        <w:t>Subsequent to the spin-off, SpinCo will immediately begin to operate the accommodations business and begin to incur costs as a result of becoming an independent, publicly traded company. Accordingly, these financial statements are not indicative of our future performance and do not reflect what SpinCo’s results of operations, financial position and cash flows would have been had SpinCo operated the accommodations business and operated as an independent, publicly traded company during the period from October 8, 2013 (date of inception) to December 31, 2013.</w:t>
      </w:r>
    </w:p>
    <w:p>
      <w:pPr>
        <w:spacing w:after="0" w:line="161" w:lineRule="exact"/>
        <w:rPr>
          <w:sz w:val="20"/>
          <w:szCs w:val="20"/>
          <w:color w:val="auto"/>
        </w:rPr>
      </w:pPr>
    </w:p>
    <w:p>
      <w:pPr>
        <w:ind w:left="332" w:right="460" w:firstLine="324"/>
        <w:spacing w:after="0" w:line="276" w:lineRule="auto"/>
        <w:rPr>
          <w:sz w:val="20"/>
          <w:szCs w:val="20"/>
          <w:color w:val="auto"/>
        </w:rPr>
      </w:pPr>
      <w:r>
        <w:rPr>
          <w:rFonts w:ascii="Arial" w:cs="Arial" w:eastAsia="Arial" w:hAnsi="Arial"/>
          <w:sz w:val="22"/>
          <w:szCs w:val="22"/>
          <w:color w:val="auto"/>
        </w:rPr>
        <w:t>Other than the settlement of the note receivable from Oil States described below, there have been no other transactions involving SpinCo as of December 31, 2013.</w:t>
      </w:r>
    </w:p>
    <w:p>
      <w:pPr>
        <w:spacing w:after="0" w:line="191" w:lineRule="exact"/>
        <w:rPr>
          <w:sz w:val="20"/>
          <w:szCs w:val="20"/>
          <w:color w:val="auto"/>
        </w:rPr>
      </w:pPr>
    </w:p>
    <w:p>
      <w:pPr>
        <w:ind w:left="352" w:hanging="352"/>
        <w:spacing w:after="0"/>
        <w:tabs>
          <w:tab w:leader="none" w:pos="352"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Summary of Significant Accounting Principles</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Our significant accounting policies are summarized below.</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Basis of accounting</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financial statements are prepared in accordance with U.S. generally accepted accounting principles (“GAAP”).</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left="332" w:right="2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revenues and expenses, and related disclosures of contingent liabilities in the financial statements and accompanying notes. Actual results could differ from those estimates.</w:t>
      </w:r>
    </w:p>
    <w:p>
      <w:pPr>
        <w:spacing w:after="0" w:line="181"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Cash includes demand deposits with financial institutions.</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left="332" w:right="40"/>
        <w:spacing w:after="0" w:line="277" w:lineRule="auto"/>
        <w:rPr>
          <w:sz w:val="20"/>
          <w:szCs w:val="20"/>
          <w:color w:val="auto"/>
        </w:rPr>
      </w:pPr>
      <w:r>
        <w:rPr>
          <w:rFonts w:ascii="Arial" w:cs="Arial" w:eastAsia="Arial" w:hAnsi="Arial"/>
          <w:sz w:val="18"/>
          <w:szCs w:val="18"/>
          <w:color w:val="auto"/>
        </w:rPr>
        <w:t>The fair value of financial instruments, which primarily include cash are carried at amounts that approximate their fair value due to the short-term nature of these amounts.</w:t>
      </w:r>
    </w:p>
    <w:p>
      <w:pPr>
        <w:spacing w:after="0" w:line="170"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Commitments and contingencies</w:t>
      </w:r>
    </w:p>
    <w:p>
      <w:pPr>
        <w:spacing w:after="0" w:line="225" w:lineRule="exact"/>
        <w:rPr>
          <w:sz w:val="20"/>
          <w:szCs w:val="20"/>
          <w:color w:val="auto"/>
        </w:rPr>
      </w:pPr>
    </w:p>
    <w:p>
      <w:pPr>
        <w:ind w:left="332" w:right="60"/>
        <w:spacing w:after="0" w:line="264" w:lineRule="auto"/>
        <w:rPr>
          <w:sz w:val="20"/>
          <w:szCs w:val="20"/>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We are not aware of any litigation or other contingencies that would have an adverse impact on our financial statements.</w:t>
      </w:r>
    </w:p>
    <w:p>
      <w:pPr>
        <w:spacing w:after="0" w:line="177" w:lineRule="exact"/>
        <w:rPr>
          <w:sz w:val="20"/>
          <w:szCs w:val="20"/>
          <w:color w:val="auto"/>
        </w:rPr>
      </w:pPr>
    </w:p>
    <w:p>
      <w:pPr>
        <w:ind w:left="352" w:hanging="352"/>
        <w:spacing w:after="0"/>
        <w:tabs>
          <w:tab w:leader="none" w:pos="352"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Note Receivable from Parent</w:t>
      </w:r>
    </w:p>
    <w:p>
      <w:pPr>
        <w:spacing w:after="0" w:line="229" w:lineRule="exact"/>
        <w:rPr>
          <w:sz w:val="20"/>
          <w:szCs w:val="20"/>
          <w:color w:val="auto"/>
        </w:rPr>
      </w:pPr>
    </w:p>
    <w:p>
      <w:pPr>
        <w:jc w:val="both"/>
        <w:ind w:left="332" w:right="200" w:firstLine="324"/>
        <w:spacing w:after="0" w:line="312" w:lineRule="auto"/>
        <w:rPr>
          <w:sz w:val="20"/>
          <w:szCs w:val="20"/>
          <w:color w:val="auto"/>
        </w:rPr>
      </w:pPr>
      <w:r>
        <w:rPr>
          <w:rFonts w:ascii="Arial" w:cs="Arial" w:eastAsia="Arial" w:hAnsi="Arial"/>
          <w:sz w:val="16"/>
          <w:szCs w:val="16"/>
          <w:color w:val="auto"/>
        </w:rPr>
        <w:t>On October 8, 2013, in connection with the initial capitalization of SpinCo, Oil States International, Inc. issued SpinCo a promissory note for the principal sum of $10 in exchange for 1,000 shares of SpinCo common stock. The promissory note is accounted for at cost, which approximates its fair value, had an annual interest rate of 2.75% and was due on demand. This note was paid in full by Oil States on October 14, 2013.</w:t>
      </w:r>
    </w:p>
    <w:p>
      <w:pPr>
        <w:spacing w:after="0" w:line="39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52"/>
          </w:cols>
          <w:pgMar w:left="248" w:top="634" w:right="299" w:bottom="1440" w:gutter="0" w:footer="0" w:header="0"/>
        </w:sectPr>
      </w:pPr>
    </w:p>
    <w:bookmarkStart w:id="177" w:name="page178"/>
    <w:bookmarkEnd w:id="177"/>
    <w:p>
      <w:pPr>
        <w:ind w:left="352" w:hanging="352"/>
        <w:spacing w:after="0"/>
        <w:tabs>
          <w:tab w:leader="none" w:pos="352"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270" w:lineRule="exact"/>
        <w:rPr>
          <w:sz w:val="20"/>
          <w:szCs w:val="20"/>
          <w:color w:val="auto"/>
        </w:rPr>
      </w:pPr>
    </w:p>
    <w:p>
      <w:pPr>
        <w:ind w:left="652"/>
        <w:spacing w:after="0"/>
        <w:rPr>
          <w:sz w:val="20"/>
          <w:szCs w:val="20"/>
          <w:color w:val="auto"/>
        </w:rPr>
      </w:pPr>
      <w:r>
        <w:rPr>
          <w:rFonts w:ascii="Arial" w:cs="Arial" w:eastAsia="Arial" w:hAnsi="Arial"/>
          <w:sz w:val="16"/>
          <w:szCs w:val="16"/>
          <w:color w:val="auto"/>
        </w:rPr>
        <w:t>We evaluated subsequent events through March 18, 2014;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12"/>
        <w:spacing w:after="0"/>
        <w:rPr>
          <w:sz w:val="20"/>
          <w:szCs w:val="20"/>
          <w:color w:val="auto"/>
        </w:rPr>
      </w:pPr>
      <w:r>
        <w:rPr>
          <w:rFonts w:ascii="Arial" w:cs="Arial" w:eastAsia="Arial" w:hAnsi="Arial"/>
          <w:sz w:val="22"/>
          <w:szCs w:val="22"/>
          <w:color w:val="auto"/>
        </w:rPr>
        <w:t>F-36</w:t>
      </w:r>
    </w:p>
    <w:sectPr>
      <w:pgSz w:w="11900" w:h="16838" w:orient="portrait"/>
      <w:cols w:equalWidth="0" w:num="1">
        <w:col w:w="10211"/>
      </w:cols>
      <w:pgMar w:left="248" w:top="5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lowerLetter"/>
      <w:start w:val="1"/>
    </w:lvl>
  </w:abstractNum>
  <w:abstractNum w:abstractNumId="1">
    <w:nsid w:val="11447B73"/>
    <w:multiLevelType w:val="hybridMultilevel"/>
    <w:lvl w:ilvl="0">
      <w:lvlJc w:val="left"/>
      <w:lvlText w:val="(%1)"/>
      <w:numFmt w:val="lowerLetter"/>
      <w:start w:val="2"/>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1:"/>
      <w:numFmt w:val="upperLetter"/>
      <w:start w:val="17"/>
    </w:lvl>
  </w:abstractNum>
  <w:abstractNum w:abstractNumId="4">
    <w:nsid w:val="8F2B15E"/>
    <w:multiLevelType w:val="hybridMultilevel"/>
    <w:lvl w:ilvl="0">
      <w:lvlJc w:val="left"/>
      <w:lvlText w:val="%1:"/>
      <w:numFmt w:val="upperLetter"/>
      <w:start w:val="1"/>
    </w:lvl>
  </w:abstractNum>
  <w:abstractNum w:abstractNumId="5">
    <w:nsid w:val="1A32234B"/>
    <w:multiLevelType w:val="hybridMultilevel"/>
    <w:lvl w:ilvl="0">
      <w:lvlJc w:val="left"/>
      <w:lvlText w:val="%1:"/>
      <w:numFmt w:val="upperLetter"/>
      <w:start w:val="17"/>
    </w:lvl>
  </w:abstractNum>
  <w:abstractNum w:abstractNumId="6">
    <w:nsid w:val="3B0FD379"/>
    <w:multiLevelType w:val="hybridMultilevel"/>
    <w:lvl w:ilvl="0">
      <w:lvlJc w:val="left"/>
      <w:lvlText w:val="%1:"/>
      <w:numFmt w:val="upperLetter"/>
      <w:start w:val="17"/>
    </w:lvl>
  </w:abstractNum>
  <w:abstractNum w:abstractNumId="7">
    <w:nsid w:val="68EB2F63"/>
    <w:multiLevelType w:val="hybridMultilevel"/>
    <w:lvl w:ilvl="0">
      <w:lvlJc w:val="left"/>
      <w:lvlText w:val="%1:"/>
      <w:numFmt w:val="upperLetter"/>
      <w:start w:val="1"/>
    </w:lvl>
  </w:abstractNum>
  <w:abstractNum w:abstractNumId="8">
    <w:nsid w:val="4962813B"/>
    <w:multiLevelType w:val="hybridMultilevel"/>
    <w:lvl w:ilvl="0">
      <w:lvlJc w:val="left"/>
      <w:lvlText w:val="%1:"/>
      <w:numFmt w:val="upperLetter"/>
      <w:start w:val="17"/>
    </w:lvl>
  </w:abstractNum>
  <w:abstractNum w:abstractNumId="9">
    <w:nsid w:val="60B6DF70"/>
    <w:multiLevelType w:val="hybridMultilevel"/>
    <w:lvl w:ilvl="0">
      <w:lvlJc w:val="left"/>
      <w:lvlText w:val="%1:"/>
      <w:numFmt w:val="upperLetter"/>
      <w:start w:val="17"/>
    </w:lvl>
  </w:abstractNum>
  <w:abstractNum w:abstractNumId="10">
    <w:nsid w:val="6A5EE64"/>
    <w:multiLevelType w:val="hybridMultilevel"/>
    <w:lvl w:ilvl="0">
      <w:lvlJc w:val="left"/>
      <w:lvlText w:val="%1:"/>
      <w:numFmt w:val="upperLetter"/>
      <w:start w:val="1"/>
    </w:lvl>
  </w:abstractNum>
  <w:abstractNum w:abstractNumId="11">
    <w:nsid w:val="14330624"/>
    <w:multiLevelType w:val="hybridMultilevel"/>
    <w:lvl w:ilvl="0">
      <w:lvlJc w:val="left"/>
      <w:lvlText w:val="%1:"/>
      <w:numFmt w:val="upperLetter"/>
      <w:start w:val="17"/>
    </w:lvl>
  </w:abstractNum>
  <w:abstractNum w:abstractNumId="12">
    <w:nsid w:val="7FFFCA11"/>
    <w:multiLevelType w:val="hybridMultilevel"/>
    <w:lvl w:ilvl="0">
      <w:lvlJc w:val="left"/>
      <w:lvlText w:val="%1:"/>
      <w:numFmt w:val="upperLetter"/>
      <w:start w:val="1"/>
    </w:lvl>
  </w:abstractNum>
  <w:abstractNum w:abstractNumId="13">
    <w:nsid w:val="1A27709E"/>
    <w:multiLevelType w:val="hybridMultilevel"/>
    <w:lvl w:ilvl="0">
      <w:lvlJc w:val="left"/>
      <w:lvlText w:val="%1:"/>
      <w:numFmt w:val="upperLetter"/>
      <w:start w:val="17"/>
    </w:lvl>
  </w:abstractNum>
  <w:abstractNum w:abstractNumId="14">
    <w:nsid w:val="71EA1109"/>
    <w:multiLevelType w:val="hybridMultilevel"/>
    <w:lvl w:ilvl="0">
      <w:lvlJc w:val="left"/>
      <w:lvlText w:val="%1:"/>
      <w:numFmt w:val="upperLetter"/>
      <w:start w:val="17"/>
    </w:lvl>
  </w:abstractNum>
  <w:abstractNum w:abstractNumId="15">
    <w:nsid w:val="100F59DC"/>
    <w:multiLevelType w:val="hybridMultilevel"/>
    <w:lvl w:ilvl="0">
      <w:lvlJc w:val="left"/>
      <w:lvlText w:val="%1:"/>
      <w:numFmt w:val="upperLetter"/>
      <w:start w:val="1"/>
    </w:lvl>
  </w:abstractNum>
  <w:abstractNum w:abstractNumId="16">
    <w:nsid w:val="7FB7E0AA"/>
    <w:multiLevelType w:val="hybridMultilevel"/>
    <w:lvl w:ilvl="0">
      <w:lvlJc w:val="left"/>
      <w:lvlText w:val="%1:"/>
      <w:numFmt w:val="upperLetter"/>
      <w:start w:val="17"/>
    </w:lvl>
  </w:abstractNum>
  <w:abstractNum w:abstractNumId="17">
    <w:nsid w:val="6EB5BD4"/>
    <w:multiLevelType w:val="hybridMultilevel"/>
    <w:lvl w:ilvl="0">
      <w:lvlJc w:val="left"/>
      <w:lvlText w:val="%1:"/>
      <w:numFmt w:val="upperLetter"/>
      <w:start w:val="1"/>
    </w:lvl>
  </w:abstractNum>
  <w:abstractNum w:abstractNumId="18">
    <w:nsid w:val="6F6DD9AC"/>
    <w:multiLevelType w:val="hybridMultilevel"/>
    <w:lvl w:ilvl="0">
      <w:lvlJc w:val="left"/>
      <w:lvlText w:val="%1:"/>
      <w:numFmt w:val="upperLetter"/>
      <w:start w:val="17"/>
    </w:lvl>
  </w:abstractNum>
  <w:abstractNum w:abstractNumId="19">
    <w:nsid w:val="94211F2"/>
    <w:multiLevelType w:val="hybridMultilevel"/>
    <w:lvl w:ilvl="0">
      <w:lvlJc w:val="left"/>
      <w:lvlText w:val="%1:"/>
      <w:numFmt w:val="upperLetter"/>
      <w:start w:val="1"/>
    </w:lvl>
  </w:abstractNum>
  <w:abstractNum w:abstractNumId="20">
    <w:nsid w:val="885E1B"/>
    <w:multiLevelType w:val="hybridMultilevel"/>
    <w:lvl w:ilvl="0">
      <w:lvlJc w:val="left"/>
      <w:lvlText w:val="%1:"/>
      <w:numFmt w:val="upperLetter"/>
      <w:start w:val="17"/>
    </w:lvl>
  </w:abstractNum>
  <w:abstractNum w:abstractNumId="21">
    <w:nsid w:val="76272110"/>
    <w:multiLevelType w:val="hybridMultilevel"/>
    <w:lvl w:ilvl="0">
      <w:lvlJc w:val="left"/>
      <w:lvlText w:val="%1:"/>
      <w:numFmt w:val="upperLetter"/>
      <w:start w:val="1"/>
    </w:lvl>
  </w:abstractNum>
  <w:abstractNum w:abstractNumId="22">
    <w:nsid w:val="4C04A8AF"/>
    <w:multiLevelType w:val="hybridMultilevel"/>
    <w:lvl w:ilvl="0">
      <w:lvlJc w:val="left"/>
      <w:lvlText w:val="%1:"/>
      <w:numFmt w:val="upperLetter"/>
      <w:start w:val="17"/>
    </w:lvl>
  </w:abstractNum>
  <w:abstractNum w:abstractNumId="23">
    <w:nsid w:val="1716703B"/>
    <w:multiLevelType w:val="hybridMultilevel"/>
    <w:lvl w:ilvl="0">
      <w:lvlJc w:val="left"/>
      <w:lvlText w:val="%1:"/>
      <w:numFmt w:val="upperLetter"/>
      <w:start w:val="1"/>
    </w:lvl>
  </w:abstractNum>
  <w:abstractNum w:abstractNumId="24">
    <w:nsid w:val="14E17E33"/>
    <w:multiLevelType w:val="hybridMultilevel"/>
    <w:lvl w:ilvl="0">
      <w:lvlJc w:val="left"/>
      <w:lvlText w:val="%1:"/>
      <w:numFmt w:val="upperLetter"/>
      <w:start w:val="17"/>
    </w:lvl>
  </w:abstractNum>
  <w:abstractNum w:abstractNumId="25">
    <w:nsid w:val="3222E7CD"/>
    <w:multiLevelType w:val="hybridMultilevel"/>
    <w:lvl w:ilvl="0">
      <w:lvlJc w:val="left"/>
      <w:lvlText w:val="%1:"/>
      <w:numFmt w:val="upperLetter"/>
      <w:start w:val="1"/>
    </w:lvl>
  </w:abstractNum>
  <w:abstractNum w:abstractNumId="26">
    <w:nsid w:val="74DE0EE3"/>
    <w:multiLevelType w:val="hybridMultilevel"/>
    <w:lvl w:ilvl="0">
      <w:lvlJc w:val="left"/>
      <w:lvlText w:val="%1:"/>
      <w:numFmt w:val="upperLetter"/>
      <w:start w:val="17"/>
    </w:lvl>
  </w:abstractNum>
  <w:abstractNum w:abstractNumId="27">
    <w:nsid w:val="68EBC550"/>
    <w:multiLevelType w:val="hybridMultilevel"/>
    <w:lvl w:ilvl="0">
      <w:lvlJc w:val="left"/>
      <w:lvlText w:val="%1:"/>
      <w:numFmt w:val="upperLetter"/>
      <w:start w:val="1"/>
    </w:lvl>
  </w:abstractNum>
  <w:abstractNum w:abstractNumId="28">
    <w:nsid w:val="2DF6D648"/>
    <w:multiLevelType w:val="hybridMultilevel"/>
    <w:lvl w:ilvl="0">
      <w:lvlJc w:val="left"/>
      <w:lvlText w:val="%1:"/>
      <w:numFmt w:val="upperLetter"/>
      <w:start w:val="17"/>
    </w:lvl>
  </w:abstractNum>
  <w:abstractNum w:abstractNumId="29">
    <w:nsid w:val="46B7D447"/>
    <w:multiLevelType w:val="hybridMultilevel"/>
    <w:lvl w:ilvl="0">
      <w:lvlJc w:val="left"/>
      <w:lvlText w:val="%1:"/>
      <w:numFmt w:val="upperLetter"/>
      <w:start w:val="1"/>
    </w:lvl>
  </w:abstractNum>
  <w:abstractNum w:abstractNumId="30">
    <w:nsid w:val="4A2AC315"/>
    <w:multiLevelType w:val="hybridMultilevel"/>
    <w:lvl w:ilvl="0">
      <w:lvlJc w:val="left"/>
      <w:lvlText w:val="%1:"/>
      <w:numFmt w:val="upperLetter"/>
      <w:start w:val="17"/>
    </w:lvl>
  </w:abstractNum>
  <w:abstractNum w:abstractNumId="31">
    <w:nsid w:val="39EE015C"/>
    <w:multiLevelType w:val="hybridMultilevel"/>
    <w:lvl w:ilvl="0">
      <w:lvlJc w:val="left"/>
      <w:lvlText w:val="%1:"/>
      <w:numFmt w:val="upperLetter"/>
      <w:start w:val="1"/>
    </w:lvl>
  </w:abstractNum>
  <w:abstractNum w:abstractNumId="32">
    <w:nsid w:val="57FC4FBB"/>
    <w:multiLevelType w:val="hybridMultilevel"/>
    <w:lvl w:ilvl="0">
      <w:lvlJc w:val="left"/>
      <w:lvlText w:val="%1:"/>
      <w:numFmt w:val="upperLetter"/>
      <w:start w:val="17"/>
    </w:lvl>
  </w:abstractNum>
  <w:abstractNum w:abstractNumId="33">
    <w:nsid w:val="CC1016F"/>
    <w:multiLevelType w:val="hybridMultilevel"/>
    <w:lvl w:ilvl="0">
      <w:lvlJc w:val="left"/>
      <w:lvlText w:val="%1:"/>
      <w:numFmt w:val="upperLetter"/>
      <w:start w:val="1"/>
    </w:lvl>
  </w:abstractNum>
  <w:abstractNum w:abstractNumId="34">
    <w:nsid w:val="43F18422"/>
    <w:multiLevelType w:val="hybridMultilevel"/>
    <w:lvl w:ilvl="0">
      <w:lvlJc w:val="left"/>
      <w:lvlText w:val="%1:"/>
      <w:numFmt w:val="upperLetter"/>
      <w:start w:val="17"/>
    </w:lvl>
  </w:abstractNum>
  <w:abstractNum w:abstractNumId="35">
    <w:nsid w:val="60EF0119"/>
    <w:multiLevelType w:val="hybridMultilevel"/>
    <w:lvl w:ilvl="0">
      <w:lvlJc w:val="left"/>
      <w:lvlText w:val="%1:"/>
      <w:numFmt w:val="upperLetter"/>
      <w:start w:val="1"/>
    </w:lvl>
  </w:abstractNum>
  <w:abstractNum w:abstractNumId="36">
    <w:nsid w:val="26F324BA"/>
    <w:multiLevelType w:val="hybridMultilevel"/>
    <w:lvl w:ilvl="0">
      <w:lvlJc w:val="left"/>
      <w:lvlText w:val="%1:"/>
      <w:numFmt w:val="upperLetter"/>
      <w:start w:val="17"/>
    </w:lvl>
  </w:abstractNum>
  <w:abstractNum w:abstractNumId="37">
    <w:nsid w:val="7F01579B"/>
    <w:multiLevelType w:val="hybridMultilevel"/>
    <w:lvl w:ilvl="0">
      <w:lvlJc w:val="left"/>
      <w:lvlText w:val="%1:"/>
      <w:numFmt w:val="upperLetter"/>
      <w:start w:val="1"/>
    </w:lvl>
  </w:abstractNum>
  <w:abstractNum w:abstractNumId="38">
    <w:nsid w:val="49DA307D"/>
    <w:multiLevelType w:val="hybridMultilevel"/>
    <w:lvl w:ilvl="0">
      <w:lvlJc w:val="left"/>
      <w:lvlText w:val="%1:"/>
      <w:numFmt w:val="upperLetter"/>
      <w:start w:val="17"/>
    </w:lvl>
  </w:abstractNum>
  <w:abstractNum w:abstractNumId="39">
    <w:nsid w:val="7055A5F5"/>
    <w:multiLevelType w:val="hybridMultilevel"/>
    <w:lvl w:ilvl="0">
      <w:lvlJc w:val="left"/>
      <w:lvlText w:val="%1:"/>
      <w:numFmt w:val="upperLetter"/>
      <w:start w:val="1"/>
    </w:lvl>
  </w:abstractNum>
  <w:abstractNum w:abstractNumId="40">
    <w:nsid w:val="5FB8370B"/>
    <w:multiLevelType w:val="hybridMultilevel"/>
    <w:lvl w:ilvl="0">
      <w:lvlJc w:val="left"/>
      <w:lvlText w:val="%1:"/>
      <w:numFmt w:val="upperLetter"/>
      <w:start w:val="17"/>
    </w:lvl>
  </w:abstractNum>
  <w:abstractNum w:abstractNumId="41">
    <w:nsid w:val="50801EE1"/>
    <w:multiLevelType w:val="hybridMultilevel"/>
    <w:lvl w:ilvl="0">
      <w:lvlJc w:val="left"/>
      <w:lvlText w:val="%1:"/>
      <w:numFmt w:val="upperLetter"/>
      <w:start w:val="1"/>
    </w:lvl>
  </w:abstractNum>
  <w:abstractNum w:abstractNumId="42">
    <w:nsid w:val="488AC1A"/>
    <w:multiLevelType w:val="hybridMultilevel"/>
    <w:lvl w:ilvl="0">
      <w:lvlJc w:val="left"/>
      <w:lvlText w:val="•"/>
      <w:numFmt w:val="bullet"/>
      <w:start w:val="1"/>
    </w:lvl>
    <w:lvl w:ilvl="1">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1)"/>
      <w:numFmt w:val="decimal"/>
      <w:start w:val="1"/>
    </w:lvl>
  </w:abstractNum>
  <w:abstractNum w:abstractNumId="47">
    <w:nsid w:val="6A5F7029"/>
    <w:multiLevelType w:val="hybridMultilevel"/>
    <w:lvl w:ilvl="0">
      <w:lvlJc w:val="left"/>
      <w:lvlText w:val="(%1)"/>
      <w:numFmt w:val="decimal"/>
      <w:start w:val="2"/>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abstractNum>
  <w:abstractNum w:abstractNumId="70">
    <w:nsid w:val="415E286C"/>
    <w:multiLevelType w:val="hybridMultilevel"/>
    <w:lvl w:ilvl="0">
      <w:lvlJc w:val="left"/>
      <w:lvlText w:val="(%1)"/>
      <w:numFmt w:val="decimal"/>
      <w:start w:val="1"/>
    </w:lvl>
  </w:abstractNum>
  <w:abstractNum w:abstractNumId="71">
    <w:nsid w:val="7C58FD05"/>
    <w:multiLevelType w:val="hybridMultilevel"/>
    <w:lvl w:ilvl="0">
      <w:lvlJc w:val="left"/>
      <w:lvlText w:val="(%1)"/>
      <w:numFmt w:val="decimal"/>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
      <w:numFmt w:val="bullet"/>
      <w:start w:val="1"/>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
      <w:numFmt w:val="bullet"/>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1)"/>
      <w:numFmt w:val="lowerLetter"/>
      <w:start w:val="1"/>
    </w:lvl>
  </w:abstractNum>
  <w:abstractNum w:abstractNumId="80">
    <w:nsid w:val="2B0D8DBE"/>
    <w:multiLevelType w:val="hybridMultilevel"/>
    <w:lvl w:ilvl="0">
      <w:lvlJc w:val="left"/>
      <w:lvlText w:val="(%1)"/>
      <w:numFmt w:val="lowerLetter"/>
      <w:start w:val="3"/>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
      <w:numFmt w:val="bullet"/>
      <w:start w:val="1"/>
    </w:lvl>
  </w:abstractNum>
  <w:abstractNum w:abstractNumId="83">
    <w:nsid w:val="69E373"/>
    <w:multiLevelType w:val="hybridMultilevel"/>
    <w:lvl w:ilvl="0">
      <w:lvlJc w:val="left"/>
      <w:lvlText w:val="(%1)"/>
      <w:numFmt w:val="lowerLetter"/>
      <w:start w:val="5"/>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1)"/>
      <w:numFmt w:val="lowerLetter"/>
      <w:start w:val="8"/>
    </w:lvl>
  </w:abstractNum>
  <w:abstractNum w:abstractNumId="88">
    <w:nsid w:val="5675FF36"/>
    <w:multiLevelType w:val="hybridMultilevel"/>
    <w:lvl w:ilvl="0">
      <w:lvlJc w:val="left"/>
      <w:lvlText w:val="(%1)"/>
      <w:numFmt w:val="decimal"/>
      <w:start w:val="1"/>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1)"/>
      <w:numFmt w:val="decimal"/>
      <w:start w:val="1"/>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
      <w:numFmt w:val="bullet"/>
      <w:start w:val="1"/>
    </w:lvl>
  </w:abstractNum>
  <w:abstractNum w:abstractNumId="93">
    <w:nsid w:val="175DFCF0"/>
    <w:multiLevelType w:val="hybridMultilevel"/>
    <w:lvl w:ilvl="0">
      <w:lvlJc w:val="left"/>
      <w:lvlText w:val="1"/>
      <w:numFmt w:val="bullet"/>
      <w:start w:val="1"/>
    </w:lvl>
  </w:abstractNum>
  <w:abstractNum w:abstractNumId="94">
    <w:nsid w:val="4F97E3E4"/>
    <w:multiLevelType w:val="hybridMultilevel"/>
    <w:lvl w:ilvl="0">
      <w:lvlJc w:val="left"/>
      <w:lvlText w:val="2"/>
      <w:numFmt w:val="bullet"/>
      <w:start w:val="1"/>
    </w:lvl>
  </w:abstractNum>
  <w:abstractNum w:abstractNumId="95">
    <w:nsid w:val="53B0A9E"/>
    <w:multiLevelType w:val="hybridMultilevel"/>
    <w:lvl w:ilvl="0">
      <w:lvlJc w:val="left"/>
      <w:lvlText w:val="3"/>
      <w:numFmt w:val="bullet"/>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
      <w:numFmt w:val="bullet"/>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
      <w:numFmt w:val="bullet"/>
      <w:start w:val="1"/>
    </w:lvl>
    <w:lvl w:ilvl="1">
      <w:lvlJc w:val="left"/>
      <w:lvlText w:val="●"/>
      <w:numFmt w:val="bullet"/>
      <w:start w:val="1"/>
    </w:lvl>
  </w:abstractNum>
  <w:abstractNum w:abstractNumId="101">
    <w:nsid w:val="17A1B582"/>
    <w:multiLevelType w:val="hybridMultilevel"/>
    <w:lvl w:ilvl="0">
      <w:lvlJc w:val="left"/>
      <w:lvlText w:val="4"/>
      <w:numFmt w:val="bullet"/>
      <w:start w:val="1"/>
    </w:lvl>
  </w:abstractNum>
  <w:abstractNum w:abstractNumId="102">
    <w:nsid w:val="4DF72E4E"/>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03">
    <w:nsid w:val="5046B5A9"/>
    <w:multiLevelType w:val="hybridMultilevel"/>
    <w:lvl w:ilvl="0">
      <w:lvlJc w:val="left"/>
      <w:lvlText w:val="●"/>
      <w:numFmt w:val="bullet"/>
      <w:start w:val="1"/>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abstractNum>
  <w:abstractNum w:abstractNumId="106">
    <w:nsid w:val="5EC6AFD4"/>
    <w:multiLevelType w:val="hybridMultilevel"/>
    <w:lvl w:ilvl="0">
      <w:lvlJc w:val="left"/>
      <w:lvlText w:val="●"/>
      <w:numFmt w:val="bullet"/>
      <w:start w:val="1"/>
    </w:lvl>
  </w:abstractNum>
  <w:abstractNum w:abstractNumId="107">
    <w:nsid w:val="19E21BB2"/>
    <w:multiLevelType w:val="hybridMultilevel"/>
    <w:lvl w:ilvl="0">
      <w:lvlJc w:val="left"/>
      <w:lvlText w:val="(%1)"/>
      <w:numFmt w:val="lowerRoman"/>
      <w:start w:val="1"/>
    </w:lvl>
  </w:abstractNum>
  <w:abstractNum w:abstractNumId="108">
    <w:nsid w:val="75E0858A"/>
    <w:multiLevelType w:val="hybridMultilevel"/>
    <w:lvl w:ilvl="0">
      <w:lvlJc w:val="left"/>
      <w:lvlText w:val="(%1)"/>
      <w:numFmt w:val="lowerRoman"/>
      <w:start w:val="1"/>
    </w:lvl>
  </w:abstractNum>
  <w:abstractNum w:abstractNumId="109">
    <w:nsid w:val="57A61A29"/>
    <w:multiLevelType w:val="hybridMultilevel"/>
    <w:lvl w:ilvl="0">
      <w:lvlJc w:val="left"/>
      <w:lvlText w:val="(%1)"/>
      <w:numFmt w:val="upperLetter"/>
      <w:start w:val="3"/>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1)"/>
      <w:numFmt w:val="decimal"/>
      <w:start w:val="1"/>
    </w:lvl>
  </w:abstractNum>
  <w:abstractNum w:abstractNumId="112">
    <w:nsid w:val="4427069A"/>
    <w:multiLevelType w:val="hybridMultilevel"/>
    <w:lvl w:ilvl="0">
      <w:lvlJc w:val="left"/>
      <w:lvlText w:val="(%1)"/>
      <w:numFmt w:val="lowerLetter"/>
      <w:start w:val="1"/>
    </w:lvl>
  </w:abstractNum>
  <w:abstractNum w:abstractNumId="113">
    <w:nsid w:val="B37E80A"/>
    <w:multiLevelType w:val="hybridMultilevel"/>
    <w:lvl w:ilvl="0">
      <w:lvlJc w:val="left"/>
      <w:lvlText w:val="(%1)"/>
      <w:numFmt w:val="decimal"/>
      <w:start w:val="1"/>
    </w:lvl>
  </w:abstractNum>
  <w:abstractNum w:abstractNumId="114">
    <w:nsid w:val="2157F6BC"/>
    <w:multiLevelType w:val="hybridMultilevel"/>
    <w:lvl w:ilvl="0">
      <w:lvlJc w:val="left"/>
      <w:lvlText w:val="(%1)"/>
      <w:numFmt w:val="decimal"/>
      <w:start w:val="1"/>
    </w:lvl>
  </w:abstractNum>
  <w:abstractNum w:abstractNumId="115">
    <w:nsid w:val="704E1DD5"/>
    <w:multiLevelType w:val="hybridMultilevel"/>
    <w:lvl w:ilvl="0">
      <w:lvlJc w:val="left"/>
      <w:lvlText w:val="(%1)"/>
      <w:numFmt w:val="decimal"/>
      <w:start w:val="1"/>
    </w:lvl>
  </w:abstractNum>
  <w:abstractNum w:abstractNumId="116">
    <w:nsid w:val="57D2F10E"/>
    <w:multiLevelType w:val="hybridMultilevel"/>
    <w:lvl w:ilvl="0">
      <w:lvlJc w:val="left"/>
      <w:lvlText w:val="(%1)"/>
      <w:numFmt w:val="decimal"/>
      <w:start w:val="10"/>
    </w:lvl>
  </w:abstractNum>
  <w:abstractNum w:abstractNumId="117">
    <w:nsid w:val="BFFAE18"/>
    <w:multiLevelType w:val="hybridMultilevel"/>
    <w:lvl w:ilvl="0">
      <w:lvlJc w:val="left"/>
      <w:lvlText w:val="(%1)"/>
      <w:numFmt w:val="decimal"/>
      <w:start w:val="1"/>
    </w:lvl>
  </w:abstractNum>
  <w:abstractNum w:abstractNumId="118">
    <w:nsid w:val="E3E47A8"/>
    <w:multiLevelType w:val="hybridMultilevel"/>
    <w:lvl w:ilvl="0">
      <w:lvlJc w:val="left"/>
      <w:lvlText w:val="(%1)"/>
      <w:numFmt w:val="decimal"/>
      <w:start w:val="1"/>
    </w:lvl>
  </w:abstractNum>
  <w:abstractNum w:abstractNumId="119">
    <w:nsid w:val="2E48F044"/>
    <w:multiLevelType w:val="hybridMultilevel"/>
    <w:lvl w:ilvl="0">
      <w:lvlJc w:val="left"/>
      <w:lvlText w:val="(%1)"/>
      <w:numFmt w:val="lowerRoman"/>
      <w:start w:val="2"/>
    </w:lvl>
  </w:abstractNum>
  <w:abstractNum w:abstractNumId="120">
    <w:nsid w:val="49D0FEAC"/>
    <w:multiLevelType w:val="hybridMultilevel"/>
    <w:lvl w:ilvl="0">
      <w:lvlJc w:val="left"/>
      <w:lvlText w:val="(%1)"/>
      <w:numFmt w:val="lowerRoman"/>
      <w:start w:val="1"/>
    </w:lvl>
  </w:abstractNum>
  <w:abstractNum w:abstractNumId="121">
    <w:nsid w:val="4BEE5A5B"/>
    <w:multiLevelType w:val="hybridMultilevel"/>
    <w:lvl w:ilvl="0">
      <w:lvlJc w:val="left"/>
      <w:lvlText w:val="(%1)"/>
      <w:numFmt w:val="decimal"/>
      <w:start w:val="1"/>
    </w:lvl>
  </w:abstractNum>
  <w:abstractNum w:abstractNumId="122">
    <w:nsid w:val="5551B9F3"/>
    <w:multiLevelType w:val="hybridMultilevel"/>
    <w:lvl w:ilvl="0">
      <w:lvlJc w:val="left"/>
      <w:lvlText w:val="●"/>
      <w:numFmt w:val="bullet"/>
      <w:start w:val="1"/>
    </w:lvl>
  </w:abstractNum>
  <w:abstractNum w:abstractNumId="123">
    <w:nsid w:val="24F6AB8E"/>
    <w:multiLevelType w:val="hybridMultilevel"/>
    <w:lvl w:ilvl="0">
      <w:lvlJc w:val="left"/>
      <w:lvlText w:val="●"/>
      <w:numFmt w:val="bullet"/>
      <w:start w:val="1"/>
    </w:lvl>
    <w:lvl w:ilvl="1">
      <w:lvlJc w:val="left"/>
      <w:lvlText w:val="●"/>
      <w:numFmt w:val="bullet"/>
      <w:start w:val="1"/>
    </w:lvl>
  </w:abstractNum>
  <w:abstractNum w:abstractNumId="124">
    <w:nsid w:val="634C574C"/>
    <w:multiLevelType w:val="hybridMultilevel"/>
    <w:lvl w:ilvl="0">
      <w:lvlJc w:val="left"/>
      <w:lvlText w:val="●"/>
      <w:numFmt w:val="bullet"/>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
      <w:numFmt w:val="bullet"/>
      <w:start w:val="1"/>
    </w:lvl>
  </w:abstractNum>
  <w:abstractNum w:abstractNumId="127">
    <w:nsid w:val="1849C29B"/>
    <w:multiLevelType w:val="hybridMultilevel"/>
    <w:lvl w:ilvl="0">
      <w:lvlJc w:val="left"/>
      <w:lvlText w:val="●"/>
      <w:numFmt w:val="bullet"/>
      <w:start w:val="1"/>
    </w:lvl>
  </w:abstractNum>
  <w:abstractNum w:abstractNumId="128">
    <w:nsid w:val="7DFF9D09"/>
    <w:multiLevelType w:val="hybridMultilevel"/>
    <w:lvl w:ilvl="0">
      <w:lvlJc w:val="left"/>
      <w:lvlText w:val="●"/>
      <w:numFmt w:val="bullet"/>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
      <w:numFmt w:val="bullet"/>
      <w:start w:val="1"/>
    </w:lvl>
  </w:abstractNum>
  <w:abstractNum w:abstractNumId="132">
    <w:nsid w:val="1816F8C4"/>
    <w:multiLevelType w:val="hybridMultilevel"/>
    <w:lvl w:ilvl="0">
      <w:lvlJc w:val="left"/>
      <w:lvlText w:val="%1."/>
      <w:numFmt w:val="decimal"/>
      <w:start w:val="1"/>
    </w:lvl>
  </w:abstractNum>
  <w:abstractNum w:abstractNumId="133">
    <w:nsid w:val="37DF2233"/>
    <w:multiLevelType w:val="hybridMultilevel"/>
    <w:lvl w:ilvl="0">
      <w:lvlJc w:val="left"/>
      <w:lvlText w:val="%1."/>
      <w:numFmt w:val="decimal"/>
      <w:start w:val="2"/>
    </w:lvl>
  </w:abstractNum>
  <w:abstractNum w:abstractNumId="134">
    <w:nsid w:val="7AB49DAF"/>
    <w:multiLevelType w:val="hybridMultilevel"/>
    <w:lvl w:ilvl="0">
      <w:lvlJc w:val="left"/>
      <w:lvlText w:val="%1."/>
      <w:numFmt w:val="decimal"/>
      <w:start w:val="3"/>
    </w:lvl>
  </w:abstractNum>
  <w:abstractNum w:abstractNumId="135">
    <w:nsid w:val="759F82CD"/>
    <w:multiLevelType w:val="hybridMultilevel"/>
    <w:lvl w:ilvl="0">
      <w:lvlJc w:val="left"/>
      <w:lvlText w:val="%1."/>
      <w:numFmt w:val="decimal"/>
      <w:start w:val="4"/>
    </w:lvl>
  </w:abstractNum>
  <w:abstractNum w:abstractNumId="136">
    <w:nsid w:val="61E74EA3"/>
    <w:multiLevelType w:val="hybridMultilevel"/>
    <w:lvl w:ilvl="0">
      <w:lvlJc w:val="left"/>
      <w:lvlText w:val="%1."/>
      <w:numFmt w:val="decimal"/>
      <w:start w:val="5"/>
    </w:lvl>
  </w:abstractNum>
  <w:abstractNum w:abstractNumId="137">
    <w:nsid w:val="597B4D84"/>
    <w:multiLevelType w:val="hybridMultilevel"/>
    <w:lvl w:ilvl="0">
      <w:lvlJc w:val="left"/>
      <w:lvlText w:val="%1."/>
      <w:numFmt w:val="decimal"/>
      <w:start w:val="6"/>
    </w:lvl>
  </w:abstractNum>
  <w:abstractNum w:abstractNumId="138">
    <w:nsid w:val="F819E7F"/>
    <w:multiLevelType w:val="hybridMultilevel"/>
    <w:lvl w:ilvl="0">
      <w:lvlJc w:val="left"/>
      <w:lvlText w:val="%1."/>
      <w:numFmt w:val="decimal"/>
      <w:start w:val="7"/>
    </w:lvl>
  </w:abstractNum>
  <w:abstractNum w:abstractNumId="139">
    <w:nsid w:val="57C7D42D"/>
    <w:multiLevelType w:val="hybridMultilevel"/>
    <w:lvl w:ilvl="0">
      <w:lvlJc w:val="left"/>
      <w:lvlText w:val="●"/>
      <w:numFmt w:val="bullet"/>
      <w:start w:val="1"/>
    </w:lvl>
  </w:abstractNum>
  <w:abstractNum w:abstractNumId="140">
    <w:nsid w:val="312167AD"/>
    <w:multiLevelType w:val="hybridMultilevel"/>
    <w:lvl w:ilvl="0">
      <w:lvlJc w:val="left"/>
      <w:lvlText w:val="%1."/>
      <w:numFmt w:val="decimal"/>
      <w:start w:val="9"/>
    </w:lvl>
  </w:abstractNum>
  <w:abstractNum w:abstractNumId="141">
    <w:nsid w:val="631B64D4"/>
    <w:multiLevelType w:val="hybridMultilevel"/>
    <w:lvl w:ilvl="0">
      <w:lvlJc w:val="left"/>
      <w:lvlText w:val="%1."/>
      <w:numFmt w:val="decimal"/>
      <w:start w:val="10"/>
    </w:lvl>
  </w:abstractNum>
  <w:abstractNum w:abstractNumId="142">
    <w:nsid w:val="78B5E776"/>
    <w:multiLevelType w:val="hybridMultilevel"/>
    <w:lvl w:ilvl="0">
      <w:lvlJc w:val="left"/>
      <w:lvlText w:val="%1."/>
      <w:numFmt w:val="decimal"/>
      <w:start w:val="11"/>
    </w:lvl>
  </w:abstractNum>
  <w:abstractNum w:abstractNumId="143">
    <w:nsid w:val="75486E47"/>
    <w:multiLevelType w:val="hybridMultilevel"/>
    <w:lvl w:ilvl="0">
      <w:lvlJc w:val="left"/>
      <w:lvlText w:val="%1."/>
      <w:numFmt w:val="decimal"/>
      <w:start w:val="12"/>
    </w:lvl>
  </w:abstractNum>
  <w:abstractNum w:abstractNumId="144">
    <w:nsid w:val="6E534CDE"/>
    <w:multiLevelType w:val="hybridMultilevel"/>
    <w:lvl w:ilvl="0">
      <w:lvlJc w:val="left"/>
      <w:lvlText w:val="%1."/>
      <w:numFmt w:val="decimal"/>
      <w:start w:val="13"/>
    </w:lvl>
  </w:abstractNum>
  <w:abstractNum w:abstractNumId="145">
    <w:nsid w:val="1A0DDE32"/>
    <w:multiLevelType w:val="hybridMultilevel"/>
    <w:lvl w:ilvl="0">
      <w:lvlJc w:val="left"/>
      <w:lvlText w:val="%1."/>
      <w:numFmt w:val="decimal"/>
      <w:start w:val="14"/>
    </w:lvl>
  </w:abstractNum>
  <w:abstractNum w:abstractNumId="146">
    <w:nsid w:val="65968C1C"/>
    <w:multiLevelType w:val="hybridMultilevel"/>
    <w:lvl w:ilvl="0">
      <w:lvlJc w:val="left"/>
      <w:lvlText w:val="(%1)"/>
      <w:numFmt w:val="decimal"/>
      <w:start w:val="1"/>
    </w:lvl>
  </w:abstractNum>
  <w:abstractNum w:abstractNumId="147">
    <w:nsid w:val="46263DEC"/>
    <w:multiLevelType w:val="hybridMultilevel"/>
    <w:lvl w:ilvl="0">
      <w:lvlJc w:val="left"/>
      <w:lvlText w:val="%1."/>
      <w:numFmt w:val="decimal"/>
      <w:start w:val="17"/>
    </w:lvl>
  </w:abstractNum>
  <w:abstractNum w:abstractNumId="148">
    <w:nsid w:val="260D8C4A"/>
    <w:multiLevelType w:val="hybridMultilevel"/>
    <w:lvl w:ilvl="0">
      <w:lvlJc w:val="left"/>
      <w:lvlText w:val="%1."/>
      <w:numFmt w:val="decimal"/>
      <w:start w:val="1"/>
    </w:lvl>
  </w:abstractNum>
  <w:abstractNum w:abstractNumId="149">
    <w:nsid w:val="73D4D3C4"/>
    <w:multiLevelType w:val="hybridMultilevel"/>
    <w:lvl w:ilvl="0">
      <w:lvlJc w:val="left"/>
      <w:lvlText w:val="%1."/>
      <w:numFmt w:val="decimal"/>
      <w:start w:val="2"/>
    </w:lvl>
  </w:abstractNum>
  <w:abstractNum w:abstractNumId="150">
    <w:nsid w:val="746F2E30"/>
    <w:multiLevelType w:val="hybridMultilevel"/>
    <w:lvl w:ilvl="0">
      <w:lvlJc w:val="left"/>
      <w:lvlText w:val="%1."/>
      <w:numFmt w:val="decimal"/>
      <w:start w:val="3"/>
    </w:lvl>
  </w:abstractNum>
  <w:abstractNum w:abstractNumId="151">
    <w:nsid w:val="6FDE8AF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2019-12-08T08:57:59Z</dcterms:created>
  <dcterms:modified xsi:type="dcterms:W3CDTF">2019-12-08T08:57:59Z</dcterms:modified>
</cp:coreProperties>
</file>