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Torlowna Investments Ltd.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Lance Torgerson</w:t>
      </w:r>
    </w:p>
    <w:p>
      <w:pPr>
        <w:spacing w:after="0" w:line="315" w:lineRule="exact"/>
        <w:rPr>
          <w:sz w:val="24"/>
          <w:szCs w:val="24"/>
          <w:color w:val="auto"/>
        </w:rPr>
      </w:pPr>
    </w:p>
    <w:p>
      <w:pPr>
        <w:ind w:left="4884"/>
        <w:spacing w:after="0"/>
        <w:rPr>
          <w:sz w:val="20"/>
          <w:szCs w:val="20"/>
          <w:color w:val="auto"/>
        </w:rPr>
      </w:pPr>
      <w:r>
        <w:rPr>
          <w:rFonts w:ascii="Arial" w:cs="Arial" w:eastAsia="Arial" w:hAnsi="Arial"/>
          <w:sz w:val="18"/>
          <w:szCs w:val="18"/>
          <w:b w:val="1"/>
          <w:bCs w:val="1"/>
          <w:color w:val="auto"/>
        </w:rPr>
        <w:t>- with copies to -</w:t>
      </w:r>
    </w:p>
    <w:p>
      <w:pPr>
        <w:spacing w:after="0" w:line="117" w:lineRule="exact"/>
        <w:rPr>
          <w:sz w:val="24"/>
          <w:szCs w:val="24"/>
          <w:color w:val="auto"/>
        </w:rPr>
      </w:pPr>
    </w:p>
    <w:p>
      <w:pPr>
        <w:ind w:left="4664"/>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February 8,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490"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8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8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2"/>
                <w:szCs w:val="12"/>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60" w:type="dxa"/>
            <w:vAlign w:val="bottom"/>
          </w:tcPr>
          <w:p>
            <w:pPr>
              <w:ind w:left="35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989677 Alberta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8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160,104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8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2"/>
                <w:szCs w:val="12"/>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160,104</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160,104</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60" w:type="dxa"/>
            <w:vAlign w:val="bottom"/>
          </w:tcPr>
          <w:p>
            <w:pPr>
              <w:ind w:left="3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8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160,104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8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2"/>
                <w:szCs w:val="12"/>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xml:space="preserve">160,104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19"/>
                <w:szCs w:val="19"/>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5"/>
              </w:rPr>
              <w:t xml:space="preserve">160,104 </w:t>
            </w:r>
            <w:r>
              <w:rPr>
                <w:rFonts w:ascii="Arial" w:cs="Arial" w:eastAsia="Arial" w:hAnsi="Arial"/>
                <w:sz w:val="26"/>
                <w:szCs w:val="26"/>
                <w:color w:val="auto"/>
                <w:w w:val="85"/>
                <w:vertAlign w:val="superscript"/>
              </w:rPr>
              <w:t>(1)</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20" w:hanging="424"/>
        <w:spacing w:after="0" w:line="207" w:lineRule="auto"/>
        <w:tabs>
          <w:tab w:leader="none" w:pos="424"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Svenco Investments Ltd. may be deemed to be the beneficial owner of 160,104 shares held indirectly by Svenco Investments Ltd. as the direct owner of all of the voting shares of 989677 Alberta Ltd.</w:t>
      </w:r>
    </w:p>
    <w:p>
      <w:pPr>
        <w:spacing w:after="0" w:line="13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0"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color w:val="auto"/>
              </w:rPr>
              <w:t>Torlowna Investments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8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1,219,188</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8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2"/>
                <w:szCs w:val="12"/>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1,219,188</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1,219,188</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60" w:type="dxa"/>
            <w:vAlign w:val="bottom"/>
          </w:tcPr>
          <w:p>
            <w:pPr>
              <w:ind w:left="35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Lance Torgerson</w:t>
            </w: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8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9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8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2"/>
                <w:szCs w:val="12"/>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19"/>
                <w:szCs w:val="19"/>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(2)</w:t>
            </w: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0" w:hanging="424"/>
        <w:spacing w:after="0" w:line="207" w:lineRule="auto"/>
        <w:tabs>
          <w:tab w:leader="none" w:pos="4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Lance Torgerson may be deemed to be the beneficial owner of the shares held directly by Torlowna Investments Ltd. and 989677 Alberta Ltd., which are controlled by Lance Torgerson.</w:t>
      </w:r>
    </w:p>
    <w:p>
      <w:pPr>
        <w:spacing w:after="0" w:line="13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4"/>
          </w:cols>
          <w:pgMar w:left="436" w:top="270" w:right="5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Tammy Torgerson</w:t>
            </w: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2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5"/>
                <w:szCs w:val="15"/>
                <w:color w:val="auto"/>
              </w:rPr>
            </w:pPr>
          </w:p>
        </w:tc>
        <w:tc>
          <w:tcPr>
            <w:tcW w:w="8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40" w:type="dxa"/>
            <w:vAlign w:val="bottom"/>
          </w:tcPr>
          <w:p>
            <w:pPr>
              <w:spacing w:after="0"/>
              <w:rPr>
                <w:sz w:val="12"/>
                <w:szCs w:val="12"/>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8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19"/>
                <w:szCs w:val="19"/>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 xml:space="preserve">1,379,292 </w:t>
            </w:r>
            <w:r>
              <w:rPr>
                <w:rFonts w:ascii="Arial" w:cs="Arial" w:eastAsia="Arial" w:hAnsi="Arial"/>
                <w:sz w:val="26"/>
                <w:szCs w:val="26"/>
                <w:color w:val="auto"/>
                <w:vertAlign w:val="superscript"/>
              </w:rPr>
              <w:t>(3)</w:t>
            </w: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  </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64" w:right="2640" w:hanging="5464"/>
        <w:spacing w:after="0" w:line="329" w:lineRule="auto"/>
        <w:tabs>
          <w:tab w:leader="none" w:pos="433"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Mrs. Torgerson may be deemed to be the beneficial owner of the shares held by her spouse Lance Torgerson. 7</w:t>
      </w:r>
    </w:p>
    <w:p>
      <w:pPr>
        <w:sectPr>
          <w:pgSz w:w="11900" w:h="16838" w:orient="portrait"/>
          <w:cols w:equalWidth="0" w:num="1">
            <w:col w:w="10904"/>
          </w:cols>
          <w:pgMar w:left="436" w:top="270"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9"/>
              </w:rPr>
              <w:t>Richard Torgerson</w:t>
            </w: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19"/>
                <w:szCs w:val="19"/>
                <w:color w:val="auto"/>
              </w:rPr>
            </w:pPr>
          </w:p>
        </w:tc>
        <w:tc>
          <w:tcPr>
            <w:tcW w:w="152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20"/>
                <w:szCs w:val="20"/>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2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5"/>
                <w:szCs w:val="15"/>
                <w:color w:val="auto"/>
              </w:rPr>
            </w:pPr>
          </w:p>
        </w:tc>
        <w:tc>
          <w:tcPr>
            <w:tcW w:w="8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9"/>
              </w:rPr>
              <w:t>10</w:t>
            </w:r>
          </w:p>
        </w:tc>
        <w:tc>
          <w:tcPr>
            <w:tcW w:w="140" w:type="dxa"/>
            <w:vAlign w:val="bottom"/>
          </w:tcPr>
          <w:p>
            <w:pPr>
              <w:spacing w:after="0"/>
              <w:rPr>
                <w:sz w:val="12"/>
                <w:szCs w:val="12"/>
                <w:color w:val="auto"/>
              </w:rPr>
            </w:pPr>
          </w:p>
        </w:tc>
        <w:tc>
          <w:tcPr>
            <w:tcW w:w="8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8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  </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tcPr>
          <w:p>
            <w:pPr>
              <w:ind w:left="34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8" w:name="page9"/>
    <w:bookmarkEnd w:id="8"/>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11 TO SCHEDULE 13D</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This Amendment No. 11 to Schedule 13D/A (the “Amendment”) relates to the Common Shares (“Common Shares”) of Civeo Corporation, a British Columbia corporation (the “Issuer” or the “Company”). This Amendment is being filed to amend the Schedule 13D/A that was filed on December 27, 2022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ind w:left="4" w:right="700"/>
        <w:spacing w:after="0" w:line="308" w:lineRule="auto"/>
        <w:rPr>
          <w:sz w:val="20"/>
          <w:szCs w:val="20"/>
          <w:color w:val="auto"/>
        </w:rPr>
      </w:pPr>
      <w:r>
        <w:rPr>
          <w:rFonts w:ascii="Arial" w:cs="Arial" w:eastAsia="Arial" w:hAnsi="Arial"/>
          <w:sz w:val="17"/>
          <w:szCs w:val="17"/>
          <w:color w:val="auto"/>
        </w:rPr>
        <w:t>The ownership percentage is calculated based upon 15,217,501 Common Shares outstanding as of February 8, 2023, as reported in the Issuer’s prospectus supplement filed with the Securities and Exchange Commission (the “SEC”) on February 9,2023.</w:t>
      </w:r>
    </w:p>
    <w:p>
      <w:pPr>
        <w:spacing w:after="0" w:line="146" w:lineRule="exact"/>
        <w:rPr>
          <w:sz w:val="20"/>
          <w:szCs w:val="20"/>
          <w:color w:val="auto"/>
        </w:rPr>
      </w:pPr>
    </w:p>
    <w:p>
      <w:pPr>
        <w:ind w:left="4" w:right="260" w:hanging="4"/>
        <w:spacing w:after="0" w:line="277"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February 8, 2023, Torlowna Investments Ltd. entered into an agreement for the sale of 500,000 Common Shares at a price of $32.00 per share pursuant to a private sale.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60"/>
              <w:spacing w:after="0"/>
              <w:rPr>
                <w:sz w:val="20"/>
                <w:szCs w:val="20"/>
                <w:color w:val="auto"/>
              </w:rPr>
            </w:pPr>
            <w:r>
              <w:rPr>
                <w:rFonts w:ascii="Arial" w:cs="Arial" w:eastAsia="Arial" w:hAnsi="Arial"/>
                <w:sz w:val="18"/>
                <w:szCs w:val="18"/>
                <w:color w:val="auto"/>
              </w:rPr>
              <w:t>Lance Torgerson</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Torlowna Investments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2023-02-10T15:13:14Z</dcterms:created>
  <dcterms:modified xsi:type="dcterms:W3CDTF">2023-02-10T15:13:14Z</dcterms:modified>
</cp:coreProperties>
</file>