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DATE OF REPORT (DATE OF EARLIEST EVENT REPORTED): October 27, 2023</w:t>
      </w:r>
    </w:p>
    <w:p>
      <w:pPr>
        <w:spacing w:after="0" w:line="39"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Civeo Corporation</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320" w:top="1390" w:right="359" w:bottom="1440" w:gutter="0" w:footer="0" w:header="0"/>
        </w:sectPr>
      </w:pPr>
    </w:p>
    <w:p>
      <w:pPr>
        <w:spacing w:after="0" w:line="274" w:lineRule="exact"/>
        <w:rPr>
          <w:sz w:val="24"/>
          <w:szCs w:val="24"/>
          <w:color w:val="auto"/>
        </w:rPr>
      </w:pPr>
    </w:p>
    <w:p>
      <w:pPr>
        <w:ind w:left="620"/>
        <w:spacing w:after="0"/>
        <w:rPr>
          <w:sz w:val="20"/>
          <w:szCs w:val="20"/>
          <w:color w:val="auto"/>
        </w:rPr>
      </w:pPr>
      <w:r>
        <w:rPr>
          <w:rFonts w:ascii="Arial" w:cs="Arial" w:eastAsia="Arial" w:hAnsi="Arial"/>
          <w:sz w:val="19"/>
          <w:szCs w:val="19"/>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1-36246</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98-1253716</w:t>
      </w:r>
    </w:p>
    <w:p>
      <w:pPr>
        <w:spacing w:after="0" w:line="49" w:lineRule="exact"/>
        <w:rPr>
          <w:sz w:val="24"/>
          <w:szCs w:val="24"/>
          <w:color w:val="auto"/>
        </w:rPr>
      </w:pPr>
    </w:p>
    <w:p>
      <w:pPr>
        <w:sectPr>
          <w:pgSz w:w="11900" w:h="16838" w:orient="portrait"/>
          <w:cols w:equalWidth="0" w:num="3">
            <w:col w:w="4440" w:space="720"/>
            <w:col w:w="2620" w:space="720"/>
            <w:col w:w="2720"/>
          </w:cols>
          <w:pgMar w:left="320" w:top="1390" w:right="359" w:bottom="1440" w:gutter="0" w:footer="0" w:header="0"/>
          <w:type w:val="continuous"/>
        </w:sectPr>
      </w:pPr>
    </w:p>
    <w:p>
      <w:pPr>
        <w:jc w:val="center"/>
        <w:ind w:right="40"/>
        <w:spacing w:after="0"/>
        <w:rPr>
          <w:sz w:val="20"/>
          <w:szCs w:val="20"/>
          <w:color w:val="auto"/>
        </w:rPr>
      </w:pPr>
      <w:r>
        <w:rPr>
          <w:rFonts w:ascii="Arial" w:cs="Arial" w:eastAsia="Arial" w:hAnsi="Arial"/>
          <w:sz w:val="18"/>
          <w:szCs w:val="18"/>
          <w:color w:val="auto"/>
        </w:rPr>
        <w:t>(State or other jurisdiction</w:t>
      </w:r>
    </w:p>
    <w:p>
      <w:pPr>
        <w:jc w:val="center"/>
        <w:ind w:right="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6"/>
          <w:szCs w:val="16"/>
          <w:color w:val="auto"/>
        </w:rPr>
        <w:t>(Commission File</w:t>
      </w:r>
    </w:p>
    <w:p>
      <w:pPr>
        <w:spacing w:after="0" w:line="8"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66" w:lineRule="exact"/>
        <w:rPr>
          <w:sz w:val="24"/>
          <w:szCs w:val="24"/>
          <w:color w:val="auto"/>
        </w:rPr>
      </w:pPr>
    </w:p>
    <w:p>
      <w:pPr>
        <w:sectPr>
          <w:pgSz w:w="11900" w:h="16838" w:orient="portrait"/>
          <w:cols w:equalWidth="0" w:num="3">
            <w:col w:w="4160" w:space="720"/>
            <w:col w:w="2560" w:space="720"/>
            <w:col w:w="3060"/>
          </w:cols>
          <w:pgMar w:left="320" w:top="1390" w:right="359" w:bottom="1440" w:gutter="0" w:footer="0" w:header="0"/>
          <w:type w:val="continuous"/>
        </w:sectPr>
      </w:pPr>
    </w:p>
    <w:p>
      <w:pPr>
        <w:ind w:left="4640"/>
        <w:spacing w:after="0"/>
        <w:rPr>
          <w:sz w:val="20"/>
          <w:szCs w:val="20"/>
          <w:color w:val="auto"/>
        </w:rPr>
      </w:pPr>
      <w:r>
        <w:rPr>
          <w:rFonts w:ascii="Arial" w:cs="Arial" w:eastAsia="Arial" w:hAnsi="Arial"/>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Arial" w:cs="Arial" w:eastAsia="Arial" w:hAnsi="Arial"/>
          <w:sz w:val="19"/>
          <w:szCs w:val="19"/>
          <w:b w:val="1"/>
          <w:bCs w:val="1"/>
          <w:color w:val="auto"/>
        </w:rPr>
        <w:t>333 Clay Street, Suite 4980</w:t>
      </w:r>
    </w:p>
    <w:p>
      <w:pPr>
        <w:sectPr>
          <w:pgSz w:w="11900" w:h="16838" w:orient="portrait"/>
          <w:cols w:equalWidth="0" w:num="1">
            <w:col w:w="11220"/>
          </w:cols>
          <w:pgMar w:left="320" w:top="1390" w:right="359" w:bottom="1440" w:gutter="0" w:footer="0" w:header="0"/>
          <w:type w:val="continuous"/>
        </w:sectPr>
      </w:pPr>
    </w:p>
    <w:p>
      <w:pPr>
        <w:spacing w:after="0" w:line="17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77002</w:t>
      </w:r>
    </w:p>
    <w:p>
      <w:pPr>
        <w:spacing w:after="0" w:line="65" w:lineRule="exact"/>
        <w:rPr>
          <w:sz w:val="24"/>
          <w:szCs w:val="24"/>
          <w:color w:val="auto"/>
        </w:rPr>
      </w:pPr>
    </w:p>
    <w:p>
      <w:pPr>
        <w:sectPr>
          <w:pgSz w:w="11900" w:h="16838" w:orient="portrait"/>
          <w:cols w:equalWidth="0" w:num="2">
            <w:col w:w="6080" w:space="360"/>
            <w:col w:w="4780"/>
          </w:cols>
          <w:pgMar w:left="320" w:top="1390"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220"/>
          </w:cols>
          <w:pgMar w:left="320" w:top="1390" w:right="359" w:bottom="1440" w:gutter="0" w:footer="0" w:header="0"/>
          <w:type w:val="continuous"/>
        </w:sectPr>
      </w:pP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5"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r>
        <w:trPr>
          <w:trHeight w:val="224"/>
        </w:trPr>
        <w:tc>
          <w:tcPr>
            <w:tcW w:w="37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CVEO</w:t>
            </w:r>
          </w:p>
        </w:tc>
        <w:tc>
          <w:tcPr>
            <w:tcW w:w="4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0"/>
          <w:szCs w:val="20"/>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jc w:val="both"/>
        <w:ind w:firstLine="301"/>
        <w:spacing w:after="0" w:line="259" w:lineRule="auto"/>
        <w:rPr>
          <w:sz w:val="20"/>
          <w:szCs w:val="20"/>
          <w:color w:val="auto"/>
        </w:rPr>
      </w:pPr>
      <w:r>
        <w:rPr>
          <w:rFonts w:ascii="Arial" w:cs="Arial" w:eastAsia="Arial" w:hAnsi="Arial"/>
          <w:sz w:val="22"/>
          <w:szCs w:val="22"/>
          <w:color w:val="auto"/>
        </w:rPr>
        <w:t>On October 27, 2023, Civeo Corporation (“Civeo”) issued a press release announcing its financial condition and results of operations as of and for the quarter ended September 30, 2023. A copy of the press release is furnished as Exhibit 99.1 to this report on Form 8-K, and is incorporated herein by reference.</w:t>
      </w:r>
    </w:p>
    <w:p>
      <w:pPr>
        <w:spacing w:after="0" w:line="20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53" w:lineRule="exact"/>
        <w:rPr>
          <w:sz w:val="20"/>
          <w:szCs w:val="20"/>
          <w:color w:val="auto"/>
        </w:rPr>
      </w:pPr>
    </w:p>
    <w:p>
      <w:pPr>
        <w:ind w:left="700" w:hanging="476"/>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9480" w:type="dxa"/>
            <w:vAlign w:val="bottom"/>
            <w:gridSpan w:val="3"/>
          </w:tcPr>
          <w:p>
            <w:pPr>
              <w:spacing w:after="0"/>
              <w:rPr>
                <w:sz w:val="20"/>
                <w:szCs w:val="20"/>
                <w:color w:val="auto"/>
              </w:rPr>
            </w:pPr>
            <w:r>
              <w:rPr>
                <w:rFonts w:ascii="Arial" w:cs="Arial" w:eastAsia="Arial" w:hAnsi="Arial"/>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5" w:lineRule="exact"/>
              <w:rPr>
                <w:sz w:val="20"/>
                <w:szCs w:val="20"/>
                <w:color w:val="auto"/>
              </w:rPr>
            </w:pPr>
            <w:r>
              <w:rPr>
                <w:rFonts w:ascii="Arial" w:cs="Arial" w:eastAsia="Arial" w:hAnsi="Arial"/>
                <w:sz w:val="22"/>
                <w:szCs w:val="22"/>
                <w:color w:val="auto"/>
                <w:w w:val="89"/>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620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99.1</w:t>
            </w:r>
          </w:p>
        </w:tc>
        <w:tc>
          <w:tcPr>
            <w:tcW w:w="1020" w:type="dxa"/>
            <w:vAlign w:val="bottom"/>
          </w:tcPr>
          <w:p>
            <w:pPr>
              <w:spacing w:after="0"/>
              <w:rPr>
                <w:sz w:val="24"/>
                <w:szCs w:val="24"/>
                <w:color w:val="auto"/>
              </w:rPr>
            </w:pPr>
          </w:p>
        </w:tc>
        <w:tc>
          <w:tcPr>
            <w:tcW w:w="3280" w:type="dxa"/>
            <w:vAlign w:val="bottom"/>
            <w:tcBorders>
              <w:bottom w:val="single" w:sz="8" w:color="0000FF"/>
            </w:tcBorders>
            <w:gridSpan w:val="2"/>
          </w:tcPr>
          <w:p>
            <w:pPr>
              <w:spacing w:after="0"/>
              <w:rPr>
                <w:sz w:val="20"/>
                <w:szCs w:val="20"/>
                <w:color w:val="auto"/>
              </w:rPr>
            </w:pPr>
            <w:r>
              <w:rPr>
                <w:rFonts w:ascii="Arial" w:cs="Arial" w:eastAsia="Arial" w:hAnsi="Arial"/>
                <w:sz w:val="22"/>
                <w:szCs w:val="22"/>
                <w:color w:val="0000FF"/>
                <w:w w:val="85"/>
              </w:rPr>
              <w:t>Press Release dated October 27, 2023</w:t>
            </w:r>
          </w:p>
        </w:tc>
        <w:tc>
          <w:tcPr>
            <w:tcW w:w="6200" w:type="dxa"/>
            <w:vAlign w:val="bottom"/>
          </w:tcPr>
          <w:p>
            <w:pPr>
              <w:spacing w:after="0"/>
              <w:rPr>
                <w:sz w:val="24"/>
                <w:szCs w:val="24"/>
                <w:color w:val="auto"/>
              </w:rPr>
            </w:pPr>
          </w:p>
        </w:tc>
      </w:tr>
      <w:tr>
        <w:trPr>
          <w:trHeight w:val="449"/>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Arial" w:cs="Arial" w:eastAsia="Arial" w:hAnsi="Arial"/>
                <w:sz w:val="22"/>
                <w:szCs w:val="22"/>
                <w:color w:val="auto"/>
              </w:rPr>
              <w:t>Cover Page Interactive Data File (formatted as Inline XBRL and contained in Exhibit 101)</w:t>
            </w:r>
          </w:p>
        </w:tc>
      </w:tr>
      <w:tr>
        <w:trPr>
          <w:trHeight w:val="1387"/>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5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October 27, 2023</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29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By: /s/ Carolyn J. Stone </w:t>
      </w:r>
      <w:r>
        <w:rPr>
          <w:rFonts w:ascii="Arial" w:cs="Arial" w:eastAsia="Arial" w:hAnsi="Arial"/>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-17780</wp:posOffset>
            </wp:positionV>
            <wp:extent cx="1143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 w:lineRule="exact"/>
        <w:rPr>
          <w:sz w:val="20"/>
          <w:szCs w:val="20"/>
          <w:color w:val="auto"/>
        </w:rPr>
      </w:pPr>
    </w:p>
    <w:p>
      <w:pPr>
        <w:ind w:left="1740"/>
        <w:spacing w:after="0"/>
        <w:tabs>
          <w:tab w:leader="none" w:pos="2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Carolyn J. Stone</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Chief Financial Officer and Treasurer</w:t>
      </w:r>
    </w:p>
    <w:p>
      <w:pPr>
        <w:sectPr>
          <w:pgSz w:w="11900" w:h="16838" w:orient="portrait"/>
          <w:cols w:equalWidth="0" w:num="1">
            <w:col w:w="11220"/>
          </w:cols>
          <w:pgMar w:left="320" w:top="1300"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7"/>
          <w:szCs w:val="27"/>
          <w:b w:val="1"/>
          <w:bCs w:val="1"/>
          <w:color w:val="auto"/>
        </w:rPr>
        <w:t>Civeo Reports Third Quarter 2023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Third Quarter Highlights: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revenues of $183.6 million, net income of $9.0 million and operating cash flow of $36.8 million;</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Adjusted EBITDA of $32.9 million and free cash flow of $31.7 million;</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Reduced total debt by $32.9 million to $103.2 million as of September 30, 2023;</w:t>
      </w:r>
    </w:p>
    <w:p>
      <w:pPr>
        <w:spacing w:after="0" w:line="10" w:lineRule="exact"/>
        <w:rPr>
          <w:rFonts w:ascii="Arial" w:cs="Arial" w:eastAsia="Arial" w:hAnsi="Arial"/>
          <w:sz w:val="22"/>
          <w:szCs w:val="22"/>
          <w:color w:val="auto"/>
        </w:rPr>
      </w:pPr>
    </w:p>
    <w:p>
      <w:pPr>
        <w:ind w:left="660" w:right="720" w:hanging="328"/>
        <w:spacing w:after="0" w:line="25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Returned capital to shareholders through the previously announced initiation of a quarterly dividend and renewal of its share repurchase program;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a definitive agreement to sell McClelland Lake Lodge for approximately C$49 million, or US$36 million.</w:t>
      </w:r>
    </w:p>
    <w:p>
      <w:pPr>
        <w:spacing w:after="0" w:line="24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HOUSTON and CALGARY, October 27, 2023 (BUSINESS WIRE) -- Civeo Corporation (NYSE:CVEO) today reported financial and operating results for the third quarter ended September 30, 2023.</w:t>
      </w:r>
    </w:p>
    <w:p>
      <w:pPr>
        <w:spacing w:after="0" w:line="79"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“On top of solid operating results, we achieved several strategic milestones in the third quarter," said Bradley J. Dodson, Civeo's President and Chief Executive Officer.</w:t>
      </w:r>
    </w:p>
    <w:p>
      <w:pPr>
        <w:spacing w:after="0" w:line="200"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"Canada exceeded our expectations primarily due to stronger-than-expected billed rooms at Sitka Lodge. In Australia, we experienced a second consecutive quarterly record in terms of billed rooms at our villages," said Mr. Dodson.</w:t>
      </w:r>
    </w:p>
    <w:p>
      <w:pPr>
        <w:spacing w:after="0" w:line="20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Mr. Dodson concluded, “The agreement to sell McClelland Lake Lodge is a very positive outcome for the Company and we continue to pursue additional business opportunities related to this sale. We were also pleased to announce our new capital allocation framework, which includes the initiation of a regular quarterly dividend of $0.25 per share and the renewal of our share repurchase program. These strategic announcements reflect our commitment to returning capital to shareholders while maintaining the flexibility to deploy capital to fund growth opportunities and support our existing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2023 Results</w:t>
      </w:r>
    </w:p>
    <w:p>
      <w:pPr>
        <w:spacing w:after="0" w:line="14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the third quarter of 2023, Civeo generated revenues of $ 183.6 million and reported net income of $9.0 million, or $0.61 per diluted share. During the third quarter of 2023, Civeo produced operating cash flow of $36.8 million, Adjusted EBITDA of $32.9 million and free cash flow of $31.7 million.</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By comparison, in the third quarter of 2022, Civeo generated revenues of $184.2 million and reported net income of $5.2 million, or $0.32 per diluted share. During the third quarter of 2022, Civeo produced operating cash flow of $38.7 million, Adjusted EBITDA of $35.0 million and free cash flow of $38.6 million.</w:t>
      </w:r>
    </w:p>
    <w:p>
      <w:pPr>
        <w:spacing w:after="0" w:line="109" w:lineRule="exact"/>
        <w:rPr>
          <w:sz w:val="20"/>
          <w:szCs w:val="20"/>
          <w:color w:val="auto"/>
        </w:rPr>
      </w:pPr>
    </w:p>
    <w:p>
      <w:pPr>
        <w:ind w:right="480"/>
        <w:spacing w:after="0" w:line="247" w:lineRule="auto"/>
        <w:rPr>
          <w:sz w:val="20"/>
          <w:szCs w:val="20"/>
          <w:color w:val="auto"/>
        </w:rPr>
      </w:pPr>
      <w:r>
        <w:rPr>
          <w:rFonts w:ascii="Arial" w:cs="Arial" w:eastAsia="Arial" w:hAnsi="Arial"/>
          <w:sz w:val="17"/>
          <w:szCs w:val="17"/>
          <w:color w:val="auto"/>
        </w:rPr>
        <w:t>The year-over-year decrease in Adjusted EBITDA in the third quarter of 2023 was primarily driven by the wind down of LNG-related Canadian mobile camp activity. This decrease was partially offset by increased billed rooms at the Australian Bowen Basin villages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increased Australian integrated services activity.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6"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(Unless otherwise noted, the following discussion compares the quarterly results for the third quarter of 2023 to the results for the third quarter of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3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During the third quarter of 2023, the Canadian segment generated revenues of $95.1 million, operating income of $10.8 million and Adjusted EBITDA of $23.0 million, compared to revenues of $103.0 million, operating income of $7.8 million and Adjusted EBITDA of $ 25.6 million in the third quarter of 2022. Results for the third quarter of 2023 reflect the impact of a weakened Canadian dollar relative to the U.S. dollar, which decreased revenues and Adjusted EBITDA by $2.6 million and $0.7 million, respectively. The third quarter of 2023 Adjusted EBITDA excluded $4.9 million of other expenses related to the demobilization of McClelland Lake Lodge.</w:t>
      </w:r>
    </w:p>
    <w:p>
      <w:pPr>
        <w:spacing w:after="0" w:line="2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 constant currency basis, the Canadian segment experienced a 5% period-over-period decrease in revenues primarily related to Canadian mobile camp activity winding down, partially offset by an increased average daily rate on relatively flat billed rooms year-over-year. Adjusted EBITDA for the Canadian segment decreased 10% primarily due to the aforementioned dynamics.</w:t>
      </w:r>
    </w:p>
    <w:p>
      <w:pPr>
        <w:sectPr>
          <w:pgSz w:w="11900" w:h="16838" w:orient="portrait"/>
          <w:cols w:equalWidth="0" w:num="1">
            <w:col w:w="11220"/>
          </w:cols>
          <w:pgMar w:left="320" w:top="89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During the third quarter of 2023, the Australian segment generated revenues of $87.9 million, operating income of $9.1 million and Adjusted EBITDA of $18.8 million, compared to revenues of $73.8 million, operating income of $5.9 million and Adjusted EBITDA of $16.9 million in the third quarter of 2022. Results for the third quarter of 2023 reflect the impact of a weakened Australian dollar relative to the U.S. dollar, which decreased revenues and Adjusted EBITDA by $3.8 million and $0.8 million, respectively.</w:t>
      </w:r>
    </w:p>
    <w:p>
      <w:pPr>
        <w:spacing w:after="0" w:line="20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On a constant currency basis, the Australian segment experienced a 24% period-over-period increase in revenues primarily driven by a 19% year-over-year increase in village billed rooms as well as increased integrated services revenue related to new contracts. Adjusted EBITDA for the Australian segment increased 11% due to the aforementioned dynamics.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 and Capital Allocation</w:t>
      </w:r>
    </w:p>
    <w:p>
      <w:pPr>
        <w:spacing w:after="0" w:line="15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As of September 30, 2023, Civeo had total liquidity of approximately $110.6 million, consisting of $102.8 million available under its revolving credit facilities and $7.8 million of cash on hand.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Civeo’s total debt outstanding on September 30, 2023 was $103.2 million, a $32.9 million decrease since June 30,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Civeo reported a net leverage ratio of 0.9x as of September 30, 2023.</w:t>
      </w:r>
    </w:p>
    <w:p>
      <w:pPr>
        <w:spacing w:after="0" w:line="14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During the third quarter of 2023, Civeo invested $9.5 million in capital expenditures compared to $8.8 million invested during the third quarter of 2022. Capital expenditures in both periods were primarily related to maintenance spending on the Company’s lodges and villages. Capital expenditures in the third quarter of 2023 also included $3.6 million related to customer-funded infrastructure upgrades at three Australian villages.</w:t>
      </w:r>
    </w:p>
    <w:p>
      <w:pPr>
        <w:spacing w:after="0" w:line="21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Company announced today that its board of directors has declared a quarterly cash dividend of $0.25 per common share, payable on December 18, 2023 to shareholders of record as of close of business on November 27, 2023. For purposes of the Income Tax Act (Canada), the Company has designated this dividend to be an "eligible dividend".</w:t>
      </w:r>
    </w:p>
    <w:p>
      <w:pPr>
        <w:spacing w:after="0" w:line="211"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In the third quarter of 2023, Civeo repurchased approximately 62,000 shares through its share repurchase program for approximately $1.3 million.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2023 Guidance</w:t>
      </w:r>
    </w:p>
    <w:p>
      <w:pPr>
        <w:spacing w:after="0" w:line="144"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For the full year of 2023, Civeo is increasing its previously provided revenue and Adjusted EBITDA guidance ranges. The revised revenue and Adjusted EBITDA guidance ranges are $675 million to $685 million and $95 million to $100 million, respectively. The Company is maintaining its full year 2023 capital expenditure guidance of $35 million to $40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Civeo will host a conference call to discuss its third quarter 2023 financial results today at 11:00 a.m. Eastern time. This call is being webcast and can be accessed at Civeo's website at www.civeo.com. Participants may also join the conference call by dialing (877) 423-9813 in the United States or (201) 689-8573 internationally and asking for the Civeo call or using the conference ID 13742013#. A replay will be available after the call by dialing (844) 512-2921 in the United States or (412) 317-6671 internationally and using the conference ID 13742013#.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58" w:lineRule="exact"/>
        <w:rPr>
          <w:sz w:val="20"/>
          <w:szCs w:val="20"/>
          <w:color w:val="auto"/>
        </w:rPr>
      </w:pPr>
    </w:p>
    <w:p>
      <w:pPr>
        <w:ind w:right="2040"/>
        <w:spacing w:after="0" w:line="254"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24 lodges and villages in Canada, Australia and the U.S., with an aggregate of approximately 26,000 rooms. Civeo is publicly traded under the symbol CVEO on the New York Stock Exchange. For more information, please visit Civeo's website at www.civeo.com.</w:t>
      </w:r>
    </w:p>
    <w:p>
      <w:pPr>
        <w:sectPr>
          <w:pgSz w:w="11900" w:h="16838" w:orient="portrait"/>
          <w:cols w:equalWidth="0" w:num="1">
            <w:col w:w="11240"/>
          </w:cols>
          <w:pgMar w:left="320" w:top="89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ind w:right="1980"/>
        <w:spacing w:after="0" w:line="257"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and are, therefore, inherently subject to risks and uncertainties. The forward-looking statements herein, including the statements regarding Civeo’s future plans and outlook, strategic priorities, guidance, current trends, expectations with respect to share repurchases and dividends, and liquidity needs,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 company’s ability to integrate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geopolitical events, inflation, global weather conditions, natural disasters,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144" w:lineRule="exact"/>
        <w:rPr>
          <w:sz w:val="20"/>
          <w:szCs w:val="20"/>
          <w:color w:val="auto"/>
        </w:rPr>
      </w:pPr>
    </w:p>
    <w:p>
      <w:pPr>
        <w:ind w:right="2020"/>
        <w:spacing w:after="0" w:line="254" w:lineRule="auto"/>
        <w:rPr>
          <w:sz w:val="20"/>
          <w:szCs w:val="20"/>
          <w:color w:val="auto"/>
        </w:rPr>
      </w:pPr>
      <w:r>
        <w:rPr>
          <w:rFonts w:ascii="Arial" w:cs="Arial" w:eastAsia="Arial" w:hAnsi="Arial"/>
          <w:sz w:val="18"/>
          <w:szCs w:val="18"/>
          <w:color w:val="auto"/>
        </w:rPr>
        <w:t>EBITDA, Adjusted EBITDA, free cash flow, net debt, bank-adjusted EBITDA and net leverage ratio are non-GAAP financial measures. See “Non-GAAP Reconciliation” below for definitions and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20"/>
          </w:cols>
          <w:pgMar w:left="320" w:top="896" w:right="3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Nine Months Ended</w:t>
            </w:r>
          </w:p>
        </w:tc>
      </w:tr>
      <w:tr>
        <w:trPr>
          <w:trHeight w:val="200"/>
        </w:trPr>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21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4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r>
      <w:tr>
        <w:trPr>
          <w:trHeight w:val="495"/>
        </w:trPr>
        <w:tc>
          <w:tcPr>
            <w:tcW w:w="4260" w:type="dxa"/>
            <w:vAlign w:val="bottom"/>
          </w:tcPr>
          <w:p>
            <w:pPr>
              <w:spacing w:after="0"/>
              <w:rPr>
                <w:sz w:val="20"/>
                <w:szCs w:val="20"/>
                <w:color w:val="auto"/>
              </w:rPr>
            </w:pPr>
            <w:r>
              <w:rPr>
                <w:rFonts w:ascii="Arial" w:cs="Arial" w:eastAsia="Arial" w:hAnsi="Arial"/>
                <w:sz w:val="14"/>
                <w:szCs w:val="14"/>
                <w:color w:val="auto"/>
              </w:rPr>
              <w:t>Revenues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183,572</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184,227</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530,006</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534,859</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Costs and expenses: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130,296</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133,496</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395,235</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389,392</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20,236</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17,677</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52,885</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50,572</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16,914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22,608</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59,277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65,818</w:t>
            </w:r>
          </w:p>
        </w:tc>
      </w:tr>
      <w:tr>
        <w:trPr>
          <w:trHeight w:val="263"/>
        </w:trPr>
        <w:tc>
          <w:tcPr>
            <w:tcW w:w="4260" w:type="dxa"/>
            <w:vAlign w:val="bottom"/>
          </w:tcPr>
          <w:p>
            <w:pPr>
              <w:ind w:left="120"/>
              <w:spacing w:after="0"/>
              <w:rPr>
                <w:sz w:val="20"/>
                <w:szCs w:val="20"/>
                <w:color w:val="auto"/>
              </w:rPr>
            </w:pPr>
            <w:r>
              <w:rPr>
                <w:rFonts w:ascii="Arial" w:cs="Arial" w:eastAsia="Arial" w:hAnsi="Arial"/>
                <w:sz w:val="14"/>
                <w:szCs w:val="14"/>
                <w:color w:val="auto"/>
              </w:rPr>
              <w:t>Other operating expense (income)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r>
      <w:tr>
        <w:trPr>
          <w:trHeight w:val="237"/>
        </w:trPr>
        <w:tc>
          <w:tcPr>
            <w:tcW w:w="4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167,533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173,442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507,699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505,595</w:t>
            </w:r>
          </w:p>
        </w:tc>
      </w:tr>
      <w:tr>
        <w:trPr>
          <w:trHeight w:val="230"/>
        </w:trPr>
        <w:tc>
          <w:tcPr>
            <w:tcW w:w="4260" w:type="dxa"/>
            <w:vAlign w:val="bottom"/>
          </w:tcPr>
          <w:p>
            <w:pPr>
              <w:spacing w:after="0"/>
              <w:rPr>
                <w:sz w:val="20"/>
                <w:szCs w:val="20"/>
                <w:color w:val="auto"/>
              </w:rPr>
            </w:pPr>
            <w:r>
              <w:rPr>
                <w:rFonts w:ascii="Arial" w:cs="Arial" w:eastAsia="Arial" w:hAnsi="Arial"/>
                <w:sz w:val="14"/>
                <w:szCs w:val="14"/>
                <w:color w:val="auto"/>
              </w:rPr>
              <w:t>Operating income</w:t>
            </w: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16,039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10,785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22,307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29,264</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(3,365)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(3,001)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(10,625)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(8,077)</w:t>
            </w:r>
          </w:p>
        </w:tc>
      </w:tr>
      <w:tr>
        <w:trPr>
          <w:trHeight w:val="257"/>
        </w:trPr>
        <w:tc>
          <w:tcPr>
            <w:tcW w:w="426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w:t>
            </w:r>
          </w:p>
        </w:tc>
      </w:tr>
      <w:tr>
        <w:trPr>
          <w:trHeight w:val="263"/>
        </w:trPr>
        <w:tc>
          <w:tcPr>
            <w:tcW w:w="4260" w:type="dxa"/>
            <w:vAlign w:val="bottom"/>
          </w:tcPr>
          <w:p>
            <w:pPr>
              <w:spacing w:after="0"/>
              <w:rPr>
                <w:sz w:val="20"/>
                <w:szCs w:val="20"/>
                <w:color w:val="auto"/>
              </w:rPr>
            </w:pPr>
            <w:r>
              <w:rPr>
                <w:rFonts w:ascii="Arial" w:cs="Arial" w:eastAsia="Arial" w:hAnsi="Arial"/>
                <w:sz w:val="14"/>
                <w:szCs w:val="14"/>
                <w:color w:val="auto"/>
              </w:rPr>
              <w:t>Other income (expense)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(4,709)</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2,179</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4,290</w:t>
            </w:r>
          </w:p>
        </w:tc>
      </w:tr>
      <w:tr>
        <w:trPr>
          <w:trHeight w:val="230"/>
        </w:trPr>
        <w:tc>
          <w:tcPr>
            <w:tcW w:w="4260" w:type="dxa"/>
            <w:vAlign w:val="bottom"/>
          </w:tcPr>
          <w:p>
            <w:pPr>
              <w:ind w:left="120"/>
              <w:spacing w:after="0"/>
              <w:rPr>
                <w:sz w:val="20"/>
                <w:szCs w:val="20"/>
                <w:color w:val="auto"/>
              </w:rPr>
            </w:pPr>
            <w:r>
              <w:rPr>
                <w:rFonts w:ascii="Arial" w:cs="Arial" w:eastAsia="Arial" w:hAnsi="Arial"/>
                <w:sz w:val="14"/>
                <w:szCs w:val="14"/>
                <w:color w:val="auto"/>
              </w:rPr>
              <w:t>Income before income taxes</w:t>
            </w: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8,009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9,976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9,976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25,492</w:t>
            </w:r>
          </w:p>
        </w:tc>
      </w:tr>
      <w:tr>
        <w:trPr>
          <w:trHeight w:val="262"/>
        </w:trPr>
        <w:tc>
          <w:tcPr>
            <w:tcW w:w="4260" w:type="dxa"/>
            <w:vAlign w:val="bottom"/>
          </w:tcPr>
          <w:p>
            <w:pPr>
              <w:spacing w:after="0"/>
              <w:rPr>
                <w:sz w:val="20"/>
                <w:szCs w:val="20"/>
                <w:color w:val="auto"/>
              </w:rPr>
            </w:pPr>
            <w:r>
              <w:rPr>
                <w:rFonts w:ascii="Arial" w:cs="Arial" w:eastAsia="Arial" w:hAnsi="Arial"/>
                <w:sz w:val="14"/>
                <w:szCs w:val="14"/>
                <w:color w:val="auto"/>
              </w:rPr>
              <w:t>Income tax benefit (expense)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1,214</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(2,897)</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(7,091)</w:t>
            </w:r>
          </w:p>
        </w:tc>
      </w:tr>
      <w:tr>
        <w:trPr>
          <w:trHeight w:val="231"/>
        </w:trPr>
        <w:tc>
          <w:tcPr>
            <w:tcW w:w="4260" w:type="dxa"/>
            <w:vAlign w:val="bottom"/>
          </w:tcPr>
          <w:p>
            <w:pPr>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9,223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6,263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7,079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18,401</w:t>
            </w:r>
          </w:p>
        </w:tc>
      </w:tr>
      <w:tr>
        <w:trPr>
          <w:trHeight w:val="263"/>
        </w:trPr>
        <w:tc>
          <w:tcPr>
            <w:tcW w:w="4260" w:type="dxa"/>
            <w:vAlign w:val="bottom"/>
          </w:tcPr>
          <w:p>
            <w:pPr>
              <w:ind w:left="120"/>
              <w:spacing w:after="0"/>
              <w:rPr>
                <w:sz w:val="20"/>
                <w:szCs w:val="20"/>
                <w:color w:val="auto"/>
              </w:rPr>
            </w:pPr>
            <w:r>
              <w:rPr>
                <w:rFonts w:ascii="Arial" w:cs="Arial" w:eastAsia="Arial" w:hAnsi="Arial"/>
                <w:sz w:val="14"/>
                <w:szCs w:val="14"/>
                <w:color w:val="auto"/>
              </w:rPr>
              <w:t>Less: Net income (loss) attributable to noncontrolling interest</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546</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1,706</w:t>
            </w:r>
          </w:p>
        </w:tc>
      </w:tr>
      <w:tr>
        <w:trPr>
          <w:trHeight w:val="230"/>
        </w:trPr>
        <w:tc>
          <w:tcPr>
            <w:tcW w:w="4260" w:type="dxa"/>
            <w:vAlign w:val="bottom"/>
          </w:tcPr>
          <w:p>
            <w:pPr>
              <w:spacing w:after="0"/>
              <w:rPr>
                <w:sz w:val="20"/>
                <w:szCs w:val="20"/>
                <w:color w:val="auto"/>
              </w:rPr>
            </w:pPr>
            <w:r>
              <w:rPr>
                <w:rFonts w:ascii="Arial" w:cs="Arial" w:eastAsia="Arial" w:hAnsi="Arial"/>
                <w:sz w:val="14"/>
                <w:szCs w:val="14"/>
                <w:color w:val="auto"/>
              </w:rPr>
              <w:t>Net income attributable to Civeo Corporation</w:t>
            </w: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9,022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5,717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7,132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16,695</w:t>
            </w:r>
          </w:p>
        </w:tc>
      </w:tr>
      <w:tr>
        <w:trPr>
          <w:trHeight w:val="263"/>
        </w:trPr>
        <w:tc>
          <w:tcPr>
            <w:tcW w:w="4260" w:type="dxa"/>
            <w:vAlign w:val="bottom"/>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24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492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1,469</w:t>
            </w:r>
          </w:p>
        </w:tc>
      </w:tr>
      <w:tr>
        <w:trPr>
          <w:trHeight w:val="215"/>
        </w:trPr>
        <w:tc>
          <w:tcPr>
            <w:tcW w:w="4260" w:type="dxa"/>
            <w:vAlign w:val="bottom"/>
          </w:tcPr>
          <w:p>
            <w:pPr>
              <w:spacing w:after="0"/>
              <w:rPr>
                <w:sz w:val="20"/>
                <w:szCs w:val="20"/>
                <w:color w:val="auto"/>
              </w:rPr>
            </w:pPr>
            <w:r>
              <w:rPr>
                <w:rFonts w:ascii="Arial" w:cs="Arial" w:eastAsia="Arial" w:hAnsi="Arial"/>
                <w:sz w:val="14"/>
                <w:szCs w:val="14"/>
                <w:color w:val="auto"/>
              </w:rPr>
              <w:t>Net income attributable to Civeo common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9,022</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5,225</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7,132</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15,226</w:t>
            </w:r>
          </w:p>
        </w:tc>
      </w:tr>
      <w:tr>
        <w:trPr>
          <w:trHeight w:val="20"/>
        </w:trPr>
        <w:tc>
          <w:tcPr>
            <w:tcW w:w="42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68"/>
        </w:trPr>
        <w:tc>
          <w:tcPr>
            <w:tcW w:w="5520" w:type="dxa"/>
            <w:vAlign w:val="bottom"/>
            <w:gridSpan w:val="4"/>
          </w:tcPr>
          <w:p>
            <w:pPr>
              <w:spacing w:after="0"/>
              <w:rPr>
                <w:sz w:val="20"/>
                <w:szCs w:val="20"/>
                <w:color w:val="auto"/>
              </w:rPr>
            </w:pPr>
            <w:r>
              <w:rPr>
                <w:rFonts w:ascii="Arial" w:cs="Arial" w:eastAsia="Arial" w:hAnsi="Arial"/>
                <w:sz w:val="14"/>
                <w:szCs w:val="14"/>
                <w:color w:val="auto"/>
              </w:rPr>
              <w:t>Net income per share attributable to Civeo Corporation common shareholders: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0.61</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0.32</w:t>
            </w:r>
          </w:p>
        </w:tc>
        <w:tc>
          <w:tcPr>
            <w:tcW w:w="24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0.48</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0.92</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0.61</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0.32</w:t>
            </w:r>
          </w:p>
        </w:tc>
        <w:tc>
          <w:tcPr>
            <w:tcW w:w="24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0.47</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0.91</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14,814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13,932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14,980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14,058</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14,891</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14,064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15,051</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14,220</w:t>
            </w:r>
          </w:p>
        </w:tc>
      </w:tr>
    </w:tbl>
    <w:p>
      <w:pPr>
        <w:sectPr>
          <w:pgSz w:w="11900" w:h="16838" w:orient="portrait"/>
          <w:cols w:equalWidth="0" w:num="1">
            <w:col w:w="9180"/>
          </w:cols>
          <w:pgMar w:left="1360" w:top="886" w:right="1359" w:bottom="1440" w:gutter="0" w:footer="0" w:header="0"/>
        </w:sectPr>
      </w:pPr>
    </w:p>
    <w:bookmarkStart w:id="8" w:name="page9"/>
    <w:bookmarkEnd w:id="8"/>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189"/>
        </w:trPr>
        <w:tc>
          <w:tcPr>
            <w:tcW w:w="5460" w:type="dxa"/>
            <w:vAlign w:val="bottom"/>
            <w:gridSpan w:val="4"/>
          </w:tcPr>
          <w:p>
            <w:pPr>
              <w:jc w:val="center"/>
              <w:ind w:left="1419"/>
              <w:spacing w:after="0"/>
              <w:rPr>
                <w:sz w:val="20"/>
                <w:szCs w:val="20"/>
                <w:color w:val="auto"/>
              </w:rPr>
            </w:pPr>
            <w:r>
              <w:rPr>
                <w:rFonts w:ascii="Arial" w:cs="Arial" w:eastAsia="Arial" w:hAnsi="Arial"/>
                <w:sz w:val="16"/>
                <w:szCs w:val="16"/>
                <w:b w:val="1"/>
                <w:bCs w:val="1"/>
                <w:color w:val="auto"/>
              </w:rPr>
              <w:t>CIVEO CORPORATION</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gridSpan w:val="4"/>
          </w:tcPr>
          <w:p>
            <w:pPr>
              <w:jc w:val="center"/>
              <w:ind w:left="1439"/>
              <w:spacing w:after="0"/>
              <w:rPr>
                <w:sz w:val="20"/>
                <w:szCs w:val="20"/>
                <w:color w:val="auto"/>
              </w:rPr>
            </w:pPr>
            <w:r>
              <w:rPr>
                <w:rFonts w:ascii="Arial" w:cs="Arial" w:eastAsia="Arial" w:hAnsi="Arial"/>
                <w:sz w:val="16"/>
                <w:szCs w:val="16"/>
                <w:b w:val="1"/>
                <w:bCs w:val="1"/>
                <w:color w:val="auto"/>
              </w:rPr>
              <w:t>CONDENSED CONSOLIDATED BALANCE SHEETS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460" w:type="dxa"/>
            <w:vAlign w:val="bottom"/>
            <w:gridSpan w:val="4"/>
          </w:tcPr>
          <w:p>
            <w:pPr>
              <w:jc w:val="center"/>
              <w:ind w:left="141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60"/>
              <w:spacing w:after="0" w:line="170" w:lineRule="exact"/>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7,817</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7,954</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153,946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119,755</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6,272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6,907</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8,185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10,280</w:t>
            </w:r>
          </w:p>
        </w:tc>
        <w:tc>
          <w:tcPr>
            <w:tcW w:w="0" w:type="dxa"/>
            <w:vAlign w:val="bottom"/>
          </w:tcPr>
          <w:p>
            <w:pPr>
              <w:spacing w:after="0"/>
              <w:rPr>
                <w:sz w:val="1"/>
                <w:szCs w:val="1"/>
                <w:color w:val="auto"/>
              </w:rPr>
            </w:pPr>
          </w:p>
        </w:tc>
      </w:tr>
      <w:tr>
        <w:trPr>
          <w:trHeight w:val="209"/>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190,629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153,549</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263,436</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301,890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7,290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7,672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77,547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81,747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12,866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15,722</w:t>
            </w:r>
          </w:p>
        </w:tc>
        <w:tc>
          <w:tcPr>
            <w:tcW w:w="0" w:type="dxa"/>
            <w:vAlign w:val="bottom"/>
          </w:tcPr>
          <w:p>
            <w:pPr>
              <w:spacing w:after="0"/>
              <w:rPr>
                <w:sz w:val="1"/>
                <w:szCs w:val="1"/>
                <w:color w:val="auto"/>
              </w:rPr>
            </w:pPr>
          </w:p>
        </w:tc>
      </w:tr>
      <w:tr>
        <w:trPr>
          <w:trHeight w:val="219"/>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4,826</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5,604</w:t>
            </w:r>
          </w:p>
        </w:tc>
        <w:tc>
          <w:tcPr>
            <w:tcW w:w="0" w:type="dxa"/>
            <w:vAlign w:val="bottom"/>
          </w:tcPr>
          <w:p>
            <w:pPr>
              <w:spacing w:after="0"/>
              <w:rPr>
                <w:sz w:val="1"/>
                <w:szCs w:val="1"/>
                <w:color w:val="auto"/>
              </w:rPr>
            </w:pPr>
          </w:p>
        </w:tc>
      </w:tr>
      <w:tr>
        <w:trPr>
          <w:trHeight w:val="213"/>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556,594</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566,184</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53,124</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51,087</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48,693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39,211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7,143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28,448</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6,884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9,276</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8,342</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125,293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128,257</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95,852</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102,505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7,017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4,778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10,355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12,771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24,114</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14,172</w:t>
            </w:r>
          </w:p>
        </w:tc>
        <w:tc>
          <w:tcPr>
            <w:tcW w:w="0" w:type="dxa"/>
            <w:vAlign w:val="bottom"/>
          </w:tcPr>
          <w:p>
            <w:pPr>
              <w:spacing w:after="0"/>
              <w:rPr>
                <w:sz w:val="1"/>
                <w:szCs w:val="1"/>
                <w:color w:val="auto"/>
              </w:rPr>
            </w:pPr>
          </w:p>
        </w:tc>
      </w:tr>
      <w:tr>
        <w:trPr>
          <w:trHeight w:val="209"/>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262,631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262,483</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1,627,809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1,624,512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(935,944)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(930,123)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(9,063)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(392,080)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(385,187)</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290,722</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300,139</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3,562</w:t>
            </w:r>
          </w:p>
        </w:tc>
        <w:tc>
          <w:tcPr>
            <w:tcW w:w="0" w:type="dxa"/>
            <w:vAlign w:val="bottom"/>
          </w:tcPr>
          <w:p>
            <w:pPr>
              <w:spacing w:after="0"/>
              <w:rPr>
                <w:sz w:val="1"/>
                <w:szCs w:val="1"/>
                <w:color w:val="auto"/>
              </w:rPr>
            </w:pPr>
          </w:p>
        </w:tc>
      </w:tr>
      <w:tr>
        <w:trPr>
          <w:trHeight w:val="213"/>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293,963</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303,701</w:t>
            </w:r>
          </w:p>
        </w:tc>
        <w:tc>
          <w:tcPr>
            <w:tcW w:w="0" w:type="dxa"/>
            <w:vAlign w:val="bottom"/>
          </w:tcPr>
          <w:p>
            <w:pPr>
              <w:spacing w:after="0"/>
              <w:rPr>
                <w:sz w:val="1"/>
                <w:szCs w:val="1"/>
                <w:color w:val="auto"/>
              </w:rPr>
            </w:pPr>
          </w:p>
        </w:tc>
      </w:tr>
      <w:tr>
        <w:trPr>
          <w:trHeight w:val="213"/>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556,594</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566,184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1"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Nine Months Ended</w:t>
      </w:r>
    </w:p>
    <w:p>
      <w:pPr>
        <w:jc w:val="center"/>
        <w:ind w:left="5800"/>
        <w:spacing w:after="0"/>
        <w:rPr>
          <w:sz w:val="20"/>
          <w:szCs w:val="20"/>
          <w:color w:val="auto"/>
        </w:rPr>
      </w:pPr>
      <w:r>
        <w:rPr>
          <w:rFonts w:ascii="Arial" w:cs="Arial" w:eastAsia="Arial" w:hAnsi="Arial"/>
          <w:sz w:val="16"/>
          <w:szCs w:val="16"/>
          <w:b w:val="1"/>
          <w:bCs w:val="1"/>
          <w:color w:val="auto"/>
        </w:rPr>
        <w:t>September 30,</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58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487"/>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7,079</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18,401</w:t>
            </w:r>
          </w:p>
        </w:tc>
      </w:tr>
      <w:tr>
        <w:trPr>
          <w:trHeight w:val="418"/>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59,277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65,818</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expense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2,688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6,930</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3,297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2,861</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Losses (gains) on disposals of assets</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2,264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(4,069)</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Provision (benefit) for credit losses, net of recoveries</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1,900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2,397</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(37,411)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(19,138)</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(1,557)</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4,767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3,515</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59"/>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and noncurrent assets and liabilities,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12,197</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(12,701)</w:t>
            </w:r>
          </w:p>
        </w:tc>
      </w:tr>
      <w:tr>
        <w:trPr>
          <w:trHeight w:val="233"/>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56,593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62,372</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(21,179)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(17,466)</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dispositions of property, plant and equipment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7,070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11,975</w:t>
            </w:r>
          </w:p>
        </w:tc>
      </w:tr>
      <w:tr>
        <w:trPr>
          <w:trHeight w:val="260"/>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33"/>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(14,109)</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(5,301)</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(22,338)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(23,059)</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(6,732)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(14,824)</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(3,731)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(9,222)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(14,209)</w:t>
            </w:r>
          </w:p>
        </w:tc>
      </w:tr>
      <w:tr>
        <w:trPr>
          <w:trHeight w:val="260"/>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4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(1,013)</w:t>
            </w:r>
          </w:p>
        </w:tc>
      </w:tr>
      <w:tr>
        <w:trPr>
          <w:trHeight w:val="233"/>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(42,023)</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(53,105)</w:t>
            </w:r>
          </w:p>
        </w:tc>
      </w:tr>
      <w:tr>
        <w:trPr>
          <w:trHeight w:val="516"/>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w:t>
            </w:r>
          </w:p>
        </w:tc>
      </w:tr>
      <w:tr>
        <w:trPr>
          <w:trHeight w:val="233"/>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2,079</w:t>
            </w:r>
          </w:p>
        </w:tc>
      </w:tr>
      <w:tr>
        <w:trPr>
          <w:trHeight w:val="516"/>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7,954</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6,282</w:t>
            </w:r>
          </w:p>
        </w:tc>
      </w:tr>
      <w:tr>
        <w:trPr>
          <w:trHeight w:val="226"/>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7,817</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8,361</w:t>
            </w:r>
          </w:p>
        </w:tc>
      </w:tr>
      <w:tr>
        <w:trPr>
          <w:trHeight w:val="20"/>
        </w:trPr>
        <w:tc>
          <w:tcPr>
            <w:tcW w:w="5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1" w:right="1440" w:bottom="1440" w:gutter="0" w:footer="0" w:header="0"/>
        </w:sectPr>
      </w:pPr>
    </w:p>
    <w:bookmarkStart w:id="10" w:name="page11"/>
    <w:bookmarkEnd w:id="10"/>
    <w:p>
      <w:pPr>
        <w:jc w:val="center"/>
        <w:ind w:right="12"/>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2"/>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ind w:right="12"/>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2"/>
        <w:spacing w:after="0"/>
        <w:rPr>
          <w:sz w:val="20"/>
          <w:szCs w:val="20"/>
          <w:color w:val="auto"/>
        </w:rPr>
      </w:pPr>
      <w:r>
        <w:rPr>
          <w:rFonts w:ascii="Arial" w:cs="Arial" w:eastAsia="Arial" w:hAnsi="Arial"/>
          <w:sz w:val="16"/>
          <w:szCs w:val="16"/>
          <w:b w:val="1"/>
          <w:bCs w:val="1"/>
          <w:color w:val="auto"/>
        </w:rPr>
        <w:t>(unaudited)</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2022</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231"/>
        </w:trPr>
        <w:tc>
          <w:tcPr>
            <w:tcW w:w="336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95,144</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103,009</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280,067</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307,984</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87,885</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73,805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247,418</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205,154</w:t>
            </w:r>
          </w:p>
        </w:tc>
        <w:tc>
          <w:tcPr>
            <w:tcW w:w="0" w:type="dxa"/>
            <w:vAlign w:val="bottom"/>
          </w:tcPr>
          <w:p>
            <w:pPr>
              <w:spacing w:after="0"/>
              <w:rPr>
                <w:sz w:val="1"/>
                <w:szCs w:val="1"/>
                <w:color w:val="auto"/>
              </w:rPr>
            </w:pPr>
          </w:p>
        </w:tc>
      </w:tr>
      <w:tr>
        <w:trPr>
          <w:trHeight w:val="260"/>
        </w:trPr>
        <w:tc>
          <w:tcPr>
            <w:tcW w:w="3360" w:type="dxa"/>
            <w:vAlign w:val="bottom"/>
          </w:tcPr>
          <w:p>
            <w:pPr>
              <w:ind w:left="200"/>
              <w:spacing w:after="0"/>
              <w:rPr>
                <w:sz w:val="20"/>
                <w:szCs w:val="20"/>
                <w:color w:val="auto"/>
              </w:rPr>
            </w:pPr>
            <w:r>
              <w:rPr>
                <w:rFonts w:ascii="Arial" w:cs="Arial" w:eastAsia="Arial" w:hAnsi="Arial"/>
                <w:sz w:val="16"/>
                <w:szCs w:val="16"/>
                <w:color w:val="auto"/>
              </w:rPr>
              <w:t>Other (2)</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543</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21,721</w:t>
            </w:r>
          </w:p>
        </w:tc>
        <w:tc>
          <w:tcPr>
            <w:tcW w:w="0" w:type="dxa"/>
            <w:vAlign w:val="bottom"/>
          </w:tcPr>
          <w:p>
            <w:pPr>
              <w:spacing w:after="0"/>
              <w:rPr>
                <w:sz w:val="1"/>
                <w:szCs w:val="1"/>
                <w:color w:val="auto"/>
              </w:rPr>
            </w:pPr>
          </w:p>
        </w:tc>
      </w:tr>
      <w:tr>
        <w:trPr>
          <w:trHeight w:val="212"/>
        </w:trPr>
        <w:tc>
          <w:tcPr>
            <w:tcW w:w="336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183,572</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184,227</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530,006</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534,859</w:t>
            </w: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18,154</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25,567</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49,983</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71,445</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18,785</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16,858</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52,600</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47,832</w:t>
            </w:r>
          </w:p>
        </w:tc>
        <w:tc>
          <w:tcPr>
            <w:tcW w:w="0" w:type="dxa"/>
            <w:vAlign w:val="bottom"/>
          </w:tcPr>
          <w:p>
            <w:pPr>
              <w:spacing w:after="0"/>
              <w:rPr>
                <w:sz w:val="1"/>
                <w:szCs w:val="1"/>
                <w:color w:val="auto"/>
              </w:rPr>
            </w:pPr>
          </w:p>
        </w:tc>
      </w:tr>
      <w:tr>
        <w:trPr>
          <w:trHeight w:val="259"/>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 (2)</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(8,896)</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(7,399)</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(22,778)</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(21,611)</w:t>
            </w:r>
          </w:p>
        </w:tc>
        <w:tc>
          <w:tcPr>
            <w:tcW w:w="0" w:type="dxa"/>
            <w:vAlign w:val="bottom"/>
          </w:tcPr>
          <w:p>
            <w:pPr>
              <w:spacing w:after="0"/>
              <w:rPr>
                <w:sz w:val="1"/>
                <w:szCs w:val="1"/>
                <w:color w:val="auto"/>
              </w:rPr>
            </w:pPr>
          </w:p>
        </w:tc>
      </w:tr>
      <w:tr>
        <w:trPr>
          <w:trHeight w:val="213"/>
        </w:trPr>
        <w:tc>
          <w:tcPr>
            <w:tcW w:w="336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28,043</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35,026</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79,805</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97,666</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4"/>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23,022</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25,567</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54,851</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71,445</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18,785</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16,858</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52,600</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47,832</w:t>
            </w:r>
          </w:p>
        </w:tc>
        <w:tc>
          <w:tcPr>
            <w:tcW w:w="0" w:type="dxa"/>
            <w:vAlign w:val="bottom"/>
          </w:tcPr>
          <w:p>
            <w:pPr>
              <w:spacing w:after="0"/>
              <w:rPr>
                <w:sz w:val="1"/>
                <w:szCs w:val="1"/>
                <w:color w:val="auto"/>
              </w:rPr>
            </w:pPr>
          </w:p>
        </w:tc>
      </w:tr>
      <w:tr>
        <w:trPr>
          <w:trHeight w:val="259"/>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 (2)</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(8,896)</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(7,399)</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(22,778)</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(21,611)</w:t>
            </w:r>
          </w:p>
        </w:tc>
        <w:tc>
          <w:tcPr>
            <w:tcW w:w="0" w:type="dxa"/>
            <w:vAlign w:val="bottom"/>
          </w:tcPr>
          <w:p>
            <w:pPr>
              <w:spacing w:after="0"/>
              <w:rPr>
                <w:sz w:val="1"/>
                <w:szCs w:val="1"/>
                <w:color w:val="auto"/>
              </w:rPr>
            </w:pPr>
          </w:p>
        </w:tc>
      </w:tr>
      <w:tr>
        <w:trPr>
          <w:trHeight w:val="213"/>
        </w:trPr>
        <w:tc>
          <w:tcPr>
            <w:tcW w:w="336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32,911</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35,026</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84,673</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97,666</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10,811</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7,846</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9,486</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23,081</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9,067</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5,859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23,140</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17,446</w:t>
            </w:r>
          </w:p>
        </w:tc>
        <w:tc>
          <w:tcPr>
            <w:tcW w:w="0" w:type="dxa"/>
            <w:vAlign w:val="bottom"/>
          </w:tcPr>
          <w:p>
            <w:pPr>
              <w:spacing w:after="0"/>
              <w:rPr>
                <w:sz w:val="1"/>
                <w:szCs w:val="1"/>
                <w:color w:val="auto"/>
              </w:rPr>
            </w:pPr>
          </w:p>
        </w:tc>
      </w:tr>
      <w:tr>
        <w:trPr>
          <w:trHeight w:val="259"/>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 (2)</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(3,839)</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(10,319)</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(11,263)</w:t>
            </w:r>
          </w:p>
        </w:tc>
        <w:tc>
          <w:tcPr>
            <w:tcW w:w="0" w:type="dxa"/>
            <w:vAlign w:val="bottom"/>
          </w:tcPr>
          <w:p>
            <w:pPr>
              <w:spacing w:after="0"/>
              <w:rPr>
                <w:sz w:val="1"/>
                <w:szCs w:val="1"/>
                <w:color w:val="auto"/>
              </w:rPr>
            </w:pPr>
          </w:p>
        </w:tc>
      </w:tr>
      <w:tr>
        <w:trPr>
          <w:trHeight w:val="213"/>
        </w:trPr>
        <w:tc>
          <w:tcPr>
            <w:tcW w:w="3360" w:type="dxa"/>
            <w:vAlign w:val="bottom"/>
          </w:tcPr>
          <w:p>
            <w:pPr>
              <w:ind w:left="440"/>
              <w:spacing w:after="0"/>
              <w:rPr>
                <w:sz w:val="20"/>
                <w:szCs w:val="20"/>
                <w:color w:val="auto"/>
              </w:rPr>
            </w:pPr>
            <w:r>
              <w:rPr>
                <w:rFonts w:ascii="Arial" w:cs="Arial" w:eastAsia="Arial" w:hAnsi="Arial"/>
                <w:sz w:val="16"/>
                <w:szCs w:val="16"/>
                <w:color w:val="auto"/>
              </w:rPr>
              <w:t>Total operating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16,039</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10,785</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22,307</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29,264</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248" w:hanging="248"/>
        <w:spacing w:after="0"/>
        <w:tabs>
          <w:tab w:leader="none" w:pos="248" w:val="left"/>
        </w:tabs>
        <w:numPr>
          <w:ilvl w:val="0"/>
          <w:numId w:val="4"/>
        </w:numPr>
        <w:rPr>
          <w:rFonts w:ascii="Arial" w:cs="Arial" w:eastAsia="Arial" w:hAnsi="Arial"/>
          <w:sz w:val="16"/>
          <w:szCs w:val="16"/>
          <w:color w:val="auto"/>
        </w:rPr>
      </w:pPr>
      <w:r>
        <w:rPr>
          <w:rFonts w:ascii="Arial" w:cs="Arial" w:eastAsia="Arial" w:hAnsi="Arial"/>
          <w:sz w:val="16"/>
          <w:szCs w:val="16"/>
          <w:color w:val="auto"/>
        </w:rPr>
        <w:t>Please see Non-GAAP Reconciliation Schedule.</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8" w:right="60" w:hanging="8"/>
        <w:spacing w:after="0" w:line="230" w:lineRule="auto"/>
        <w:tabs>
          <w:tab w:leader="none" w:pos="251" w:val="left"/>
        </w:tabs>
        <w:numPr>
          <w:ilvl w:val="0"/>
          <w:numId w:val="4"/>
        </w:numPr>
        <w:rPr>
          <w:rFonts w:ascii="Arial" w:cs="Arial" w:eastAsia="Arial" w:hAnsi="Arial"/>
          <w:sz w:val="16"/>
          <w:szCs w:val="16"/>
          <w:color w:val="auto"/>
        </w:rPr>
      </w:pPr>
      <w:r>
        <w:rPr>
          <w:rFonts w:ascii="Arial" w:cs="Arial" w:eastAsia="Arial" w:hAnsi="Arial"/>
          <w:sz w:val="16"/>
          <w:szCs w:val="16"/>
          <w:color w:val="auto"/>
        </w:rPr>
        <w:t>Prior to the first quarter of 2023, we presented the U.S. operating segment as a separate reportable segment. Our operating segment in the U.S. no longer meets the reportable segment quantitative thresholds, and is included within the Other and Corporate, other and eliminations categories. Prior periods have been adjusted.</w:t>
      </w:r>
    </w:p>
    <w:p>
      <w:pPr>
        <w:sectPr>
          <w:pgSz w:w="11900" w:h="16838" w:orient="portrait"/>
          <w:cols w:equalWidth="0" w:num="1">
            <w:col w:w="9168"/>
          </w:cols>
          <w:pgMar w:left="1372" w:top="891" w:right="1359" w:bottom="1440" w:gutter="0" w:footer="0" w:header="0"/>
        </w:sectPr>
      </w:pPr>
    </w:p>
    <w:bookmarkStart w:id="11" w:name="page12"/>
    <w:bookmarkEnd w:id="11"/>
    <w:p>
      <w:pPr>
        <w:jc w:val="center"/>
        <w:ind w:right="-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(unaudited)</w:t>
      </w:r>
    </w:p>
    <w:p>
      <w:pPr>
        <w:spacing w:after="0" w:line="265" w:lineRule="exact"/>
        <w:rPr>
          <w:sz w:val="20"/>
          <w:szCs w:val="20"/>
          <w:color w:val="auto"/>
        </w:rPr>
      </w:pPr>
    </w:p>
    <w:tbl>
      <w:tblPr>
        <w:tblLayout w:type="fixed"/>
        <w:tblInd w:w="1632"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260" w:type="dxa"/>
            <w:vAlign w:val="bottom"/>
            <w:gridSpan w:val="5"/>
            <w:vMerge w:val="restart"/>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Twelve Months</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227"/>
        </w:trPr>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9"/>
                <w:szCs w:val="19"/>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9"/>
                <w:szCs w:val="19"/>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59"/>
        </w:trPr>
        <w:tc>
          <w:tcPr>
            <w:tcW w:w="1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514"/>
        </w:trPr>
        <w:tc>
          <w:tcPr>
            <w:tcW w:w="164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28,043</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35,026</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79,805</w:t>
            </w:r>
          </w:p>
        </w:tc>
        <w:tc>
          <w:tcPr>
            <w:tcW w:w="16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97,666</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89,187</w:t>
            </w: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32,911</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35,026</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84,673</w:t>
            </w:r>
          </w:p>
        </w:tc>
        <w:tc>
          <w:tcPr>
            <w:tcW w:w="16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97,666</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99,776</w:t>
            </w: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31,721</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38,595</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42,484</w:t>
            </w:r>
          </w:p>
        </w:tc>
        <w:tc>
          <w:tcPr>
            <w:tcW w:w="16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56,881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640" w:type="dxa"/>
            <w:vAlign w:val="bottom"/>
          </w:tcPr>
          <w:p>
            <w:pPr>
              <w:spacing w:after="0" w:line="171" w:lineRule="exact"/>
              <w:rPr>
                <w:sz w:val="20"/>
                <w:szCs w:val="20"/>
                <w:color w:val="auto"/>
              </w:rPr>
            </w:pPr>
            <w:r>
              <w:rPr>
                <w:rFonts w:ascii="Arial" w:cs="Arial" w:eastAsia="Arial" w:hAnsi="Arial"/>
                <w:sz w:val="16"/>
                <w:szCs w:val="16"/>
                <w:color w:val="auto"/>
              </w:rPr>
              <w:t>Net Leverage Ratio</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0.9x</w:t>
            </w:r>
          </w:p>
        </w:tc>
        <w:tc>
          <w:tcPr>
            <w:tcW w:w="0" w:type="dxa"/>
            <w:vAlign w:val="bottom"/>
          </w:tcPr>
          <w:p>
            <w:pPr>
              <w:spacing w:after="0"/>
              <w:rPr>
                <w:sz w:val="1"/>
                <w:szCs w:val="1"/>
                <w:color w:val="auto"/>
              </w:rPr>
            </w:pPr>
          </w:p>
        </w:tc>
      </w:tr>
      <w:tr>
        <w:trPr>
          <w:trHeight w:val="207"/>
        </w:trPr>
        <w:tc>
          <w:tcPr>
            <w:tcW w:w="1640" w:type="dxa"/>
            <w:vAlign w:val="bottom"/>
          </w:tcPr>
          <w:p>
            <w:pPr>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32" w:hanging="332"/>
        <w:spacing w:after="0" w:line="257"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 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16" w:lineRule="exact"/>
        <w:rPr>
          <w:rFonts w:ascii="Arial" w:cs="Arial" w:eastAsia="Arial" w:hAnsi="Arial"/>
          <w:sz w:val="16"/>
          <w:szCs w:val="16"/>
          <w:color w:val="auto"/>
        </w:rPr>
      </w:pPr>
    </w:p>
    <w:p>
      <w:pPr>
        <w:ind w:left="332" w:right="100"/>
        <w:spacing w:after="0" w:line="293"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41" w:lineRule="exact"/>
        <w:rPr>
          <w:sz w:val="20"/>
          <w:szCs w:val="20"/>
          <w:color w:val="auto"/>
        </w:rPr>
      </w:pPr>
    </w:p>
    <w:tbl>
      <w:tblPr>
        <w:tblLayout w:type="fixed"/>
        <w:tblInd w:w="792"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280" w:type="dxa"/>
            <w:vAlign w:val="bottom"/>
            <w:gridSpan w:val="5"/>
            <w:vMerge w:val="restart"/>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Twelve Months</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vMerge w:val="continue"/>
          </w:tcPr>
          <w:p>
            <w:pPr>
              <w:spacing w:after="0"/>
              <w:rPr>
                <w:sz w:val="14"/>
                <w:szCs w:val="14"/>
                <w:color w:val="auto"/>
              </w:rPr>
            </w:pPr>
          </w:p>
        </w:tc>
        <w:tc>
          <w:tcPr>
            <w:tcW w:w="142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Ended September</w:t>
            </w:r>
          </w:p>
        </w:tc>
        <w:tc>
          <w:tcPr>
            <w:tcW w:w="0" w:type="dxa"/>
            <w:vAlign w:val="bottom"/>
          </w:tcPr>
          <w:p>
            <w:pPr>
              <w:spacing w:after="0"/>
              <w:rPr>
                <w:sz w:val="1"/>
                <w:szCs w:val="1"/>
                <w:color w:val="auto"/>
              </w:rPr>
            </w:pPr>
          </w:p>
        </w:tc>
      </w:tr>
      <w:tr>
        <w:trPr>
          <w:trHeight w:val="227"/>
        </w:trPr>
        <w:tc>
          <w:tcPr>
            <w:tcW w:w="3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9"/>
                <w:szCs w:val="19"/>
                <w:color w:val="auto"/>
              </w:rPr>
            </w:pPr>
          </w:p>
        </w:tc>
        <w:tc>
          <w:tcPr>
            <w:tcW w:w="228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9"/>
                <w:szCs w:val="19"/>
                <w:color w:val="auto"/>
              </w:rPr>
            </w:pPr>
          </w:p>
        </w:tc>
        <w:tc>
          <w:tcPr>
            <w:tcW w:w="1300" w:type="dxa"/>
            <w:vAlign w:val="bottom"/>
          </w:tcPr>
          <w:p>
            <w:pPr>
              <w:jc w:val="right"/>
              <w:ind w:right="519"/>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59"/>
        </w:trPr>
        <w:tc>
          <w:tcPr>
            <w:tcW w:w="3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415"/>
        </w:trPr>
        <w:tc>
          <w:tcPr>
            <w:tcW w:w="326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9,022</w:t>
            </w:r>
          </w:p>
        </w:tc>
        <w:tc>
          <w:tcPr>
            <w:tcW w:w="160" w:type="dxa"/>
            <w:vAlign w:val="bottom"/>
          </w:tcPr>
          <w:p>
            <w:pPr>
              <w:spacing w:after="0"/>
              <w:rPr>
                <w:sz w:val="24"/>
                <w:szCs w:val="2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5,717</w:t>
            </w:r>
          </w:p>
        </w:tc>
        <w:tc>
          <w:tcPr>
            <w:tcW w:w="160" w:type="dxa"/>
            <w:vAlign w:val="bottom"/>
          </w:tcPr>
          <w:p>
            <w:pPr>
              <w:spacing w:after="0"/>
              <w:rPr>
                <w:sz w:val="24"/>
                <w:szCs w:val="2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7,132</w:t>
            </w:r>
          </w:p>
        </w:tc>
        <w:tc>
          <w:tcPr>
            <w:tcW w:w="160" w:type="dxa"/>
            <w:vAlign w:val="bottom"/>
          </w:tcPr>
          <w:p>
            <w:pPr>
              <w:spacing w:after="0"/>
              <w:rPr>
                <w:sz w:val="24"/>
                <w:szCs w:val="2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16,695</w:t>
            </w:r>
          </w:p>
        </w:tc>
        <w:tc>
          <w:tcPr>
            <w:tcW w:w="180" w:type="dxa"/>
            <w:vAlign w:val="bottom"/>
          </w:tcPr>
          <w:p>
            <w:pPr>
              <w:spacing w:after="0"/>
              <w:rPr>
                <w:sz w:val="24"/>
                <w:szCs w:val="2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(5,566)</w:t>
            </w:r>
          </w:p>
        </w:tc>
        <w:tc>
          <w:tcPr>
            <w:tcW w:w="0" w:type="dxa"/>
            <w:vAlign w:val="bottom"/>
          </w:tcPr>
          <w:p>
            <w:pPr>
              <w:spacing w:after="0"/>
              <w:rPr>
                <w:sz w:val="1"/>
                <w:szCs w:val="1"/>
                <w:color w:val="auto"/>
              </w:rPr>
            </w:pPr>
          </w:p>
        </w:tc>
      </w:tr>
      <w:tr>
        <w:trPr>
          <w:trHeight w:val="207"/>
        </w:trPr>
        <w:tc>
          <w:tcPr>
            <w:tcW w:w="3260" w:type="dxa"/>
            <w:vAlign w:val="bottom"/>
          </w:tcPr>
          <w:p>
            <w:pPr>
              <w:spacing w:after="0"/>
              <w:rPr>
                <w:sz w:val="20"/>
                <w:szCs w:val="20"/>
                <w:color w:val="auto"/>
              </w:rPr>
            </w:pPr>
            <w:r>
              <w:rPr>
                <w:rFonts w:ascii="Arial" w:cs="Arial" w:eastAsia="Arial" w:hAnsi="Arial"/>
                <w:sz w:val="16"/>
                <w:szCs w:val="16"/>
                <w:color w:val="auto"/>
              </w:rPr>
              <w:t>Corporation</w:t>
            </w:r>
          </w:p>
        </w:tc>
        <w:tc>
          <w:tcPr>
            <w:tcW w:w="2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3,713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2,897</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7,091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16,914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22,608</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59,277</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65,818</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80,673</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73"/>
        </w:trPr>
        <w:tc>
          <w:tcPr>
            <w:tcW w:w="326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3,365</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3,001</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10,625</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8,077</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14,022</w:t>
            </w: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28,043</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35,026</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79,805</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97,666</w:t>
            </w:r>
          </w:p>
        </w:tc>
        <w:tc>
          <w:tcPr>
            <w:tcW w:w="18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89,187</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140"/>
              <w:spacing w:after="0"/>
              <w:rPr>
                <w:sz w:val="20"/>
                <w:szCs w:val="20"/>
                <w:color w:val="auto"/>
              </w:rPr>
            </w:pPr>
            <w:r>
              <w:rPr>
                <w:rFonts w:ascii="Arial" w:cs="Arial" w:eastAsia="Arial" w:hAnsi="Arial"/>
                <w:sz w:val="16"/>
                <w:szCs w:val="16"/>
                <w:color w:val="auto"/>
              </w:rPr>
              <w:t>Impairment of long-lived assets (a)</w:t>
            </w:r>
          </w:p>
        </w:tc>
        <w:tc>
          <w:tcPr>
            <w:tcW w:w="2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5,721</w:t>
            </w:r>
          </w:p>
        </w:tc>
        <w:tc>
          <w:tcPr>
            <w:tcW w:w="0" w:type="dxa"/>
            <w:vAlign w:val="bottom"/>
          </w:tcPr>
          <w:p>
            <w:pPr>
              <w:spacing w:after="0"/>
              <w:rPr>
                <w:sz w:val="1"/>
                <w:szCs w:val="1"/>
                <w:color w:val="auto"/>
              </w:rPr>
            </w:pPr>
          </w:p>
        </w:tc>
      </w:tr>
      <w:tr>
        <w:trPr>
          <w:trHeight w:val="273"/>
        </w:trPr>
        <w:tc>
          <w:tcPr>
            <w:tcW w:w="3260" w:type="dxa"/>
            <w:vAlign w:val="bottom"/>
          </w:tcPr>
          <w:p>
            <w:pPr>
              <w:ind w:left="140"/>
              <w:spacing w:after="0"/>
              <w:rPr>
                <w:sz w:val="20"/>
                <w:szCs w:val="20"/>
                <w:color w:val="auto"/>
              </w:rPr>
            </w:pPr>
            <w:r>
              <w:rPr>
                <w:rFonts w:ascii="Arial" w:cs="Arial" w:eastAsia="Arial" w:hAnsi="Arial"/>
                <w:sz w:val="16"/>
                <w:szCs w:val="16"/>
                <w:color w:val="auto"/>
              </w:rPr>
              <w:t>Demobilization expenses (b)</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4,868</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4,868</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4,868</w:t>
            </w:r>
          </w:p>
        </w:tc>
        <w:tc>
          <w:tcPr>
            <w:tcW w:w="0" w:type="dxa"/>
            <w:vAlign w:val="bottom"/>
          </w:tcPr>
          <w:p>
            <w:pPr>
              <w:spacing w:after="0"/>
              <w:rPr>
                <w:sz w:val="1"/>
                <w:szCs w:val="1"/>
                <w:color w:val="auto"/>
              </w:rPr>
            </w:pPr>
          </w:p>
        </w:tc>
      </w:tr>
      <w:tr>
        <w:trPr>
          <w:trHeight w:val="226"/>
        </w:trPr>
        <w:tc>
          <w:tcPr>
            <w:tcW w:w="326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32,911</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35,026</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84,673</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97,666</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99,776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652" w:right="320" w:hanging="328"/>
        <w:spacing w:after="0" w:line="261" w:lineRule="auto"/>
        <w:tabs>
          <w:tab w:leader="none" w:pos="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asset impairments in the fourth quarter of 2022. In the fourth quarter of 2022, we recorded a pre-tax loss related to the impairment of long-lived assets in our Australian segment of $3.8 million and a pre-tax loss related to the impairment of long-lived assets in the U.S. of $1.9 million.</w:t>
      </w:r>
    </w:p>
    <w:p>
      <w:pPr>
        <w:spacing w:after="0" w:line="223" w:lineRule="exact"/>
        <w:rPr>
          <w:rFonts w:ascii="Arial" w:cs="Arial" w:eastAsia="Arial" w:hAnsi="Arial"/>
          <w:sz w:val="16"/>
          <w:szCs w:val="16"/>
          <w:color w:val="auto"/>
        </w:rPr>
      </w:pPr>
    </w:p>
    <w:p>
      <w:pPr>
        <w:ind w:left="652" w:right="60" w:hanging="328"/>
        <w:spacing w:after="0" w:line="276" w:lineRule="auto"/>
        <w:tabs>
          <w:tab w:leader="none" w:pos="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third quarter of 2023, we recorded expenses associated with the demobilization of our McClelland Lake Lodge to prepare the assets for sale, which are included in Other income (expense) on the unaudited statements of operations.</w:t>
      </w:r>
    </w:p>
    <w:p>
      <w:pPr>
        <w:sectPr>
          <w:pgSz w:w="11900" w:h="16838" w:orient="portrait"/>
          <w:cols w:equalWidth="0" w:num="1">
            <w:col w:w="11212"/>
          </w:cols>
          <w:pgMar w:left="328" w:top="891" w:right="359" w:bottom="1440" w:gutter="0" w:footer="0" w:header="0"/>
        </w:sectPr>
      </w:pPr>
    </w:p>
    <w:bookmarkStart w:id="12" w:name="page13"/>
    <w:bookmarkEnd w:id="12"/>
    <w:p>
      <w:pPr>
        <w:ind w:left="332" w:hanging="332"/>
        <w:spacing w:after="0" w:line="257"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a non-GAAP financial measure that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w:t>
      </w:r>
    </w:p>
    <w:p>
      <w:pPr>
        <w:spacing w:after="0" w:line="227" w:lineRule="exact"/>
        <w:rPr>
          <w:rFonts w:ascii="Arial" w:cs="Arial" w:eastAsia="Arial" w:hAnsi="Arial"/>
          <w:sz w:val="16"/>
          <w:szCs w:val="16"/>
          <w:color w:val="auto"/>
        </w:rPr>
      </w:pPr>
    </w:p>
    <w:p>
      <w:pPr>
        <w:ind w:left="332" w:right="760"/>
        <w:spacing w:after="0" w:line="27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67" w:lineRule="exact"/>
        <w:rPr>
          <w:sz w:val="20"/>
          <w:szCs w:val="20"/>
          <w:color w:val="auto"/>
        </w:rPr>
      </w:pPr>
    </w:p>
    <w:tbl>
      <w:tblPr>
        <w:tblLayout w:type="fixed"/>
        <w:tblInd w:w="1032"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7"/>
        </w:trPr>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9"/>
                <w:szCs w:val="19"/>
                <w:color w:val="auto"/>
              </w:rPr>
            </w:pPr>
          </w:p>
        </w:tc>
        <w:tc>
          <w:tcPr>
            <w:tcW w:w="21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59"/>
        </w:trPr>
        <w:tc>
          <w:tcPr>
            <w:tcW w:w="4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514"/>
        </w:trPr>
        <w:tc>
          <w:tcPr>
            <w:tcW w:w="434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36,832</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38,741</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56,593</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62,372</w:t>
            </w:r>
          </w:p>
        </w:tc>
        <w:tc>
          <w:tcPr>
            <w:tcW w:w="0" w:type="dxa"/>
            <w:vAlign w:val="bottom"/>
          </w:tcPr>
          <w:p>
            <w:pPr>
              <w:spacing w:after="0"/>
              <w:rPr>
                <w:sz w:val="1"/>
                <w:szCs w:val="1"/>
                <w:color w:val="auto"/>
              </w:rPr>
            </w:pPr>
          </w:p>
        </w:tc>
      </w:tr>
      <w:tr>
        <w:trPr>
          <w:trHeight w:val="270"/>
        </w:trPr>
        <w:tc>
          <w:tcPr>
            <w:tcW w:w="43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(9,462)</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(8,819)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(21,179)</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(17,466)</w:t>
            </w:r>
          </w:p>
        </w:tc>
        <w:tc>
          <w:tcPr>
            <w:tcW w:w="0" w:type="dxa"/>
            <w:vAlign w:val="bottom"/>
          </w:tcPr>
          <w:p>
            <w:pPr>
              <w:spacing w:after="0"/>
              <w:rPr>
                <w:sz w:val="1"/>
                <w:szCs w:val="1"/>
                <w:color w:val="auto"/>
              </w:rPr>
            </w:pPr>
          </w:p>
        </w:tc>
      </w:tr>
      <w:tr>
        <w:trPr>
          <w:trHeight w:val="171"/>
        </w:trPr>
        <w:tc>
          <w:tcPr>
            <w:tcW w:w="4340" w:type="dxa"/>
            <w:vAlign w:val="bottom"/>
          </w:tcPr>
          <w:p>
            <w:pPr>
              <w:ind w:left="120"/>
              <w:spacing w:after="0" w:line="171" w:lineRule="exact"/>
              <w:rPr>
                <w:sz w:val="20"/>
                <w:szCs w:val="20"/>
                <w:color w:val="auto"/>
              </w:rPr>
            </w:pPr>
            <w:r>
              <w:rPr>
                <w:rFonts w:ascii="Arial" w:cs="Arial" w:eastAsia="Arial" w:hAnsi="Arial"/>
                <w:sz w:val="16"/>
                <w:szCs w:val="16"/>
                <w:color w:val="auto"/>
              </w:rPr>
              <w:t>Proceeds from dispositions of property, plant and</w:t>
            </w: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4,351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8,673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7,070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11,975</w:t>
            </w:r>
          </w:p>
        </w:tc>
        <w:tc>
          <w:tcPr>
            <w:tcW w:w="0" w:type="dxa"/>
            <w:vAlign w:val="bottom"/>
          </w:tcPr>
          <w:p>
            <w:pPr>
              <w:spacing w:after="0"/>
              <w:rPr>
                <w:sz w:val="1"/>
                <w:szCs w:val="1"/>
                <w:color w:val="auto"/>
              </w:rPr>
            </w:pPr>
          </w:p>
        </w:tc>
      </w:tr>
      <w:tr>
        <w:trPr>
          <w:trHeight w:val="210"/>
        </w:trPr>
        <w:tc>
          <w:tcPr>
            <w:tcW w:w="4340" w:type="dxa"/>
            <w:vAlign w:val="bottom"/>
          </w:tcPr>
          <w:p>
            <w:pPr>
              <w:ind w:left="120"/>
              <w:spacing w:after="0"/>
              <w:rPr>
                <w:sz w:val="20"/>
                <w:szCs w:val="20"/>
                <w:color w:val="auto"/>
              </w:rPr>
            </w:pPr>
            <w:r>
              <w:rPr>
                <w:rFonts w:ascii="Arial" w:cs="Arial" w:eastAsia="Arial" w:hAnsi="Arial"/>
                <w:sz w:val="16"/>
                <w:szCs w:val="16"/>
                <w:color w:val="auto"/>
              </w:rPr>
              <w:t>equipment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4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38,595</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42,484</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56,881</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32" w:right="60" w:hanging="332"/>
        <w:spacing w:after="0" w:line="260"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11" w:lineRule="exact"/>
        <w:rPr>
          <w:rFonts w:ascii="Arial" w:cs="Arial" w:eastAsia="Arial" w:hAnsi="Arial"/>
          <w:sz w:val="16"/>
          <w:szCs w:val="16"/>
          <w:color w:val="auto"/>
        </w:rPr>
      </w:pPr>
    </w:p>
    <w:p>
      <w:pPr>
        <w:ind w:left="332" w:right="320"/>
        <w:spacing w:after="0" w:line="27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ectPr>
          <w:pgSz w:w="11900" w:h="16838" w:orient="portrait"/>
          <w:cols w:equalWidth="0" w:num="1">
            <w:col w:w="11232"/>
          </w:cols>
          <w:pgMar w:left="328" w:top="899"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As of September</w:t>
            </w:r>
          </w:p>
        </w:tc>
      </w:tr>
      <w:tr>
        <w:trPr>
          <w:trHeight w:val="211"/>
        </w:trPr>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30,</w:t>
            </w:r>
          </w:p>
        </w:tc>
      </w:tr>
      <w:tr>
        <w:trPr>
          <w:trHeight w:val="221"/>
        </w:trPr>
        <w:tc>
          <w:tcPr>
            <w:tcW w:w="6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460"/>
        </w:trPr>
        <w:tc>
          <w:tcPr>
            <w:tcW w:w="6260" w:type="dxa"/>
            <w:vAlign w:val="bottom"/>
          </w:tcPr>
          <w:p>
            <w:pPr>
              <w:spacing w:after="0"/>
              <w:rPr>
                <w:sz w:val="20"/>
                <w:szCs w:val="20"/>
                <w:color w:val="auto"/>
              </w:rPr>
            </w:pPr>
            <w:r>
              <w:rPr>
                <w:rFonts w:ascii="Arial" w:cs="Arial" w:eastAsia="Arial" w:hAnsi="Arial"/>
                <w:sz w:val="16"/>
                <w:szCs w:val="16"/>
                <w:color w:val="auto"/>
              </w:rPr>
              <w:t>Total debt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103,248</w:t>
            </w:r>
          </w:p>
        </w:tc>
      </w:tr>
      <w:tr>
        <w:trPr>
          <w:trHeight w:val="219"/>
        </w:trPr>
        <w:tc>
          <w:tcPr>
            <w:tcW w:w="626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7,817</w:t>
            </w:r>
          </w:p>
        </w:tc>
      </w:tr>
      <w:tr>
        <w:trPr>
          <w:trHeight w:val="213"/>
        </w:trPr>
        <w:tc>
          <w:tcPr>
            <w:tcW w:w="6260" w:type="dxa"/>
            <w:vAlign w:val="bottom"/>
          </w:tcPr>
          <w:p>
            <w:pPr>
              <w:ind w:left="100"/>
              <w:spacing w:after="0"/>
              <w:rPr>
                <w:sz w:val="20"/>
                <w:szCs w:val="20"/>
                <w:color w:val="auto"/>
              </w:rPr>
            </w:pPr>
            <w:r>
              <w:rPr>
                <w:rFonts w:ascii="Arial" w:cs="Arial" w:eastAsia="Arial" w:hAnsi="Arial"/>
                <w:sz w:val="16"/>
                <w:szCs w:val="16"/>
                <w:color w:val="auto"/>
              </w:rPr>
              <w:t>Net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95,431</w:t>
            </w:r>
          </w:p>
        </w:tc>
      </w:tr>
      <w:tr>
        <w:trPr>
          <w:trHeight w:val="20"/>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47"/>
        </w:trPr>
        <w:tc>
          <w:tcPr>
            <w:tcW w:w="6260" w:type="dxa"/>
            <w:vAlign w:val="bottom"/>
          </w:tcPr>
          <w:p>
            <w:pPr>
              <w:spacing w:after="0"/>
              <w:rPr>
                <w:sz w:val="20"/>
                <w:szCs w:val="20"/>
                <w:color w:val="auto"/>
              </w:rPr>
            </w:pPr>
            <w:r>
              <w:rPr>
                <w:rFonts w:ascii="Arial" w:cs="Arial" w:eastAsia="Arial" w:hAnsi="Arial"/>
                <w:sz w:val="16"/>
                <w:szCs w:val="16"/>
                <w:color w:val="auto"/>
              </w:rPr>
              <w:t>Adjusted EBITDA for the twelve months ended September 30, 2023 (a)</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99,776</w:t>
            </w:r>
          </w:p>
        </w:tc>
      </w:tr>
      <w:tr>
        <w:trPr>
          <w:trHeight w:val="216"/>
        </w:trPr>
        <w:tc>
          <w:tcPr>
            <w:tcW w:w="626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4,224</w:t>
            </w:r>
          </w:p>
        </w:tc>
      </w:tr>
      <w:tr>
        <w:trPr>
          <w:trHeight w:val="219"/>
        </w:trPr>
        <w:tc>
          <w:tcPr>
            <w:tcW w:w="62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12"/>
        </w:trPr>
        <w:tc>
          <w:tcPr>
            <w:tcW w:w="626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104,150</w:t>
            </w:r>
          </w:p>
        </w:tc>
      </w:tr>
      <w:tr>
        <w:trPr>
          <w:trHeight w:val="21"/>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47"/>
        </w:trPr>
        <w:tc>
          <w:tcPr>
            <w:tcW w:w="6260" w:type="dxa"/>
            <w:vAlign w:val="bottom"/>
          </w:tcPr>
          <w:p>
            <w:pPr>
              <w:ind w:left="100"/>
              <w:spacing w:after="0"/>
              <w:rPr>
                <w:sz w:val="20"/>
                <w:szCs w:val="20"/>
                <w:color w:val="auto"/>
              </w:rPr>
            </w:pPr>
            <w:r>
              <w:rPr>
                <w:rFonts w:ascii="Arial" w:cs="Arial" w:eastAsia="Arial" w:hAnsi="Arial"/>
                <w:sz w:val="16"/>
                <w:szCs w:val="16"/>
                <w:color w:val="auto"/>
              </w:rPr>
              <w:t>Net leverage ratio (b)</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0.9x</w:t>
            </w:r>
          </w:p>
        </w:tc>
      </w:tr>
    </w:tbl>
    <w:p>
      <w:pPr>
        <w:spacing w:after="0" w:line="200" w:lineRule="exact"/>
        <w:rPr>
          <w:sz w:val="20"/>
          <w:szCs w:val="20"/>
          <w:color w:val="auto"/>
        </w:rPr>
      </w:pPr>
    </w:p>
    <w:p>
      <w:pPr>
        <w:spacing w:after="0" w:line="228" w:lineRule="exact"/>
        <w:rPr>
          <w:sz w:val="20"/>
          <w:szCs w:val="20"/>
          <w:color w:val="auto"/>
        </w:rPr>
      </w:pPr>
    </w:p>
    <w:p>
      <w:pPr>
        <w:ind w:left="10" w:right="2359" w:hanging="10"/>
        <w:spacing w:after="0"/>
        <w:tabs>
          <w:tab w:leader="none" w:pos="237"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income (loss) attributable to Civeo Corporation</w:t>
      </w:r>
    </w:p>
    <w:p>
      <w:pPr>
        <w:spacing w:after="0" w:line="10" w:lineRule="exact"/>
        <w:rPr>
          <w:rFonts w:ascii="Arial" w:cs="Arial" w:eastAsia="Arial" w:hAnsi="Arial"/>
          <w:sz w:val="16"/>
          <w:szCs w:val="16"/>
          <w:color w:val="auto"/>
        </w:rPr>
      </w:pPr>
    </w:p>
    <w:p>
      <w:pPr>
        <w:ind w:left="250" w:hanging="250"/>
        <w:spacing w:after="0"/>
        <w:tabs>
          <w:tab w:leader="none" w:pos="25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9789"/>
          </w:cols>
          <w:pgMar w:left="670" w:top="914" w:right="1440" w:bottom="1440" w:gutter="0" w:footer="0" w:header="0"/>
        </w:sectPr>
      </w:pPr>
    </w:p>
    <w:bookmarkStart w:id="14" w:name="page15"/>
    <w:bookmarkEnd w:id="14"/>
    <w:p>
      <w:pPr>
        <w:jc w:val="center"/>
        <w:ind w:right="-2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tbl>
      <w:tblPr>
        <w:tblLayout w:type="fixed"/>
        <w:tblInd w:w="2072" w:type="dxa"/>
        <w:tblCellMar>
          <w:top w:w="0" w:type="dxa"/>
          <w:left w:w="0" w:type="dxa"/>
          <w:bottom w:w="0" w:type="dxa"/>
          <w:right w:w="0" w:type="dxa"/>
        </w:tblCellMar>
      </w:tblPr>
      <w:tr>
        <w:trPr>
          <w:trHeight w:val="227"/>
        </w:trPr>
        <w:tc>
          <w:tcPr>
            <w:tcW w:w="3260" w:type="dxa"/>
            <w:vAlign w:val="bottom"/>
          </w:tcPr>
          <w:p>
            <w:pPr>
              <w:spacing w:after="0"/>
              <w:rPr>
                <w:sz w:val="19"/>
                <w:szCs w:val="19"/>
                <w:color w:val="auto"/>
              </w:rPr>
            </w:pPr>
          </w:p>
        </w:tc>
        <w:tc>
          <w:tcPr>
            <w:tcW w:w="37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 2023</w:t>
            </w:r>
          </w:p>
        </w:tc>
      </w:tr>
      <w:tr>
        <w:trPr>
          <w:trHeight w:val="298"/>
        </w:trPr>
        <w:tc>
          <w:tcPr>
            <w:tcW w:w="3260" w:type="dxa"/>
            <w:vAlign w:val="bottom"/>
          </w:tcPr>
          <w:p>
            <w:pPr>
              <w:spacing w:after="0"/>
              <w:rPr>
                <w:sz w:val="20"/>
                <w:szCs w:val="20"/>
                <w:color w:val="auto"/>
              </w:rPr>
            </w:pPr>
            <w:r>
              <w:rPr>
                <w:rFonts w:ascii="Arial" w:cs="Arial" w:eastAsia="Arial" w:hAnsi="Arial"/>
                <w:sz w:val="16"/>
                <w:szCs w:val="16"/>
                <w:color w:val="auto"/>
              </w:rPr>
              <w:t>EBITDA Range (1)</w:t>
            </w: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120.0</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95.0</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306" w:lineRule="exact"/>
        <w:rPr>
          <w:sz w:val="20"/>
          <w:szCs w:val="20"/>
          <w:color w:val="auto"/>
        </w:rPr>
      </w:pPr>
    </w:p>
    <w:p>
      <w:pPr>
        <w:ind w:left="332" w:hanging="332"/>
        <w:spacing w:after="0" w:line="276" w:lineRule="auto"/>
        <w:tabs>
          <w:tab w:leader="none" w:pos="3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and Adjusted EBITDA to estimated net loss, which is the most directly comparable measure of financial performance calculated under generally accepted accounting principles (in millions) (unaudited):</w:t>
      </w:r>
    </w:p>
    <w:p>
      <w:pPr>
        <w:spacing w:after="0" w:line="244" w:lineRule="exact"/>
        <w:rPr>
          <w:sz w:val="20"/>
          <w:szCs w:val="20"/>
          <w:color w:val="auto"/>
        </w:rPr>
      </w:pPr>
    </w:p>
    <w:tbl>
      <w:tblPr>
        <w:tblLayout w:type="fixed"/>
        <w:tblInd w:w="1872"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2023</w:t>
            </w:r>
          </w:p>
        </w:tc>
      </w:tr>
      <w:tr>
        <w:trPr>
          <w:trHeight w:val="227"/>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(estimated)</w:t>
            </w:r>
          </w:p>
        </w:tc>
        <w:tc>
          <w:tcPr>
            <w:tcW w:w="720" w:type="dxa"/>
            <w:vAlign w:val="bottom"/>
          </w:tcPr>
          <w:p>
            <w:pPr>
              <w:spacing w:after="0"/>
              <w:rPr>
                <w:sz w:val="19"/>
                <w:szCs w:val="19"/>
                <w:color w:val="auto"/>
              </w:rPr>
            </w:pPr>
          </w:p>
        </w:tc>
      </w:tr>
      <w:tr>
        <w:trPr>
          <w:trHeight w:val="312"/>
        </w:trPr>
        <w:tc>
          <w:tcPr>
            <w:tcW w:w="482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25.0</w:t>
            </w:r>
          </w:p>
        </w:tc>
        <w:tc>
          <w:tcPr>
            <w:tcW w:w="200" w:type="dxa"/>
            <w:vAlign w:val="bottom"/>
          </w:tcPr>
          <w:p>
            <w:pPr>
              <w:spacing w:after="0"/>
              <w:rPr>
                <w:sz w:val="24"/>
                <w:szCs w:val="24"/>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10"/>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w:t>
            </w:r>
          </w:p>
        </w:tc>
      </w:tr>
      <w:tr>
        <w:trPr>
          <w:trHeight w:val="304"/>
        </w:trPr>
        <w:tc>
          <w:tcPr>
            <w:tcW w:w="4820" w:type="dxa"/>
            <w:vAlign w:val="bottom"/>
          </w:tcPr>
          <w:p>
            <w:pPr>
              <w:spacing w:after="0"/>
              <w:rPr>
                <w:sz w:val="20"/>
                <w:szCs w:val="20"/>
                <w:color w:val="auto"/>
              </w:rPr>
            </w:pPr>
            <w:r>
              <w:rPr>
                <w:rFonts w:ascii="Arial" w:cs="Arial" w:eastAsia="Arial" w:hAnsi="Arial"/>
                <w:sz w:val="16"/>
                <w:szCs w:val="16"/>
                <w:color w:val="auto"/>
              </w:rPr>
              <w:t>Adjustments to EBITDA</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9"/>
        </w:trPr>
        <w:tc>
          <w:tcPr>
            <w:tcW w:w="4820" w:type="dxa"/>
            <w:vAlign w:val="bottom"/>
          </w:tcPr>
          <w:p>
            <w:pPr>
              <w:spacing w:after="0"/>
              <w:rPr>
                <w:sz w:val="20"/>
                <w:szCs w:val="20"/>
                <w:color w:val="auto"/>
              </w:rPr>
            </w:pPr>
            <w:r>
              <w:rPr>
                <w:rFonts w:ascii="Arial" w:cs="Arial" w:eastAsia="Arial" w:hAnsi="Arial"/>
                <w:sz w:val="16"/>
                <w:szCs w:val="16"/>
                <w:color w:val="auto"/>
              </w:rPr>
              <w:t>McClelland Lake Lodge transaction impact (a)</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1"/>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52" w:right="180" w:hanging="328"/>
        <w:spacing w:after="0" w:line="293" w:lineRule="auto"/>
        <w:tabs>
          <w:tab w:leader="none" w:pos="571"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Estimated net gains associated with the sale of our McClelland Lake Lodge, which will be included in Other income (expense) on the unaudited statement of operations.</w:t>
      </w:r>
    </w:p>
    <w:p>
      <w:pPr>
        <w:sectPr>
          <w:pgSz w:w="11900" w:h="16838" w:orient="portrait"/>
          <w:cols w:equalWidth="0" w:num="1">
            <w:col w:w="10992"/>
          </w:cols>
          <w:pgMar w:left="328" w:top="891" w:right="579" w:bottom="1440" w:gutter="0" w:footer="0" w:header="0"/>
        </w:sectPr>
      </w:pPr>
    </w:p>
    <w:bookmarkStart w:id="15" w:name="page16"/>
    <w:bookmarkEnd w:id="15"/>
    <w:p>
      <w:pPr>
        <w:jc w:val="center"/>
        <w:ind w:right="-9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(unaudited)</w:t>
      </w:r>
    </w:p>
    <w:p>
      <w:pPr>
        <w:spacing w:after="0" w:line="76" w:lineRule="exact"/>
        <w:rPr>
          <w:sz w:val="20"/>
          <w:szCs w:val="20"/>
          <w:color w:val="auto"/>
        </w:rPr>
      </w:pPr>
    </w:p>
    <w:tbl>
      <w:tblPr>
        <w:tblLayout w:type="fixed"/>
        <w:tblInd w:w="1352"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2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7"/>
        </w:trPr>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5"/>
          </w:tcPr>
          <w:p>
            <w:pPr>
              <w:ind w:left="4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22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59"/>
        </w:trPr>
        <w:tc>
          <w:tcPr>
            <w:tcW w:w="3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60"/>
              <w:spacing w:after="0"/>
              <w:rPr>
                <w:sz w:val="20"/>
                <w:szCs w:val="20"/>
                <w:color w:val="auto"/>
              </w:rPr>
            </w:pPr>
            <w:r>
              <w:rPr>
                <w:rFonts w:ascii="Arial" w:cs="Arial" w:eastAsia="Arial" w:hAnsi="Arial"/>
                <w:sz w:val="16"/>
                <w:szCs w:val="16"/>
                <w:color w:val="auto"/>
              </w:rPr>
              <w:t>Accommodation revenue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71,417</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72,724</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208,000</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219,349</w:t>
            </w:r>
          </w:p>
        </w:tc>
        <w:tc>
          <w:tcPr>
            <w:tcW w:w="0" w:type="dxa"/>
            <w:vAlign w:val="bottom"/>
          </w:tcPr>
          <w:p>
            <w:pPr>
              <w:spacing w:after="0"/>
              <w:rPr>
                <w:sz w:val="1"/>
                <w:szCs w:val="1"/>
                <w:color w:val="auto"/>
              </w:rPr>
            </w:pPr>
          </w:p>
        </w:tc>
      </w:tr>
      <w:tr>
        <w:trPr>
          <w:trHeight w:val="270"/>
        </w:trPr>
        <w:tc>
          <w:tcPr>
            <w:tcW w:w="358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17,314</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25,283</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54,752</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73,359</w:t>
            </w:r>
          </w:p>
        </w:tc>
        <w:tc>
          <w:tcPr>
            <w:tcW w:w="0" w:type="dxa"/>
            <w:vAlign w:val="bottom"/>
          </w:tcPr>
          <w:p>
            <w:pPr>
              <w:spacing w:after="0"/>
              <w:rPr>
                <w:sz w:val="1"/>
                <w:szCs w:val="1"/>
                <w:color w:val="auto"/>
              </w:rPr>
            </w:pPr>
          </w:p>
        </w:tc>
      </w:tr>
      <w:tr>
        <w:trPr>
          <w:trHeight w:val="273"/>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6,413</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5,002</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17,315</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15,276</w:t>
            </w:r>
          </w:p>
        </w:tc>
        <w:tc>
          <w:tcPr>
            <w:tcW w:w="0" w:type="dxa"/>
            <w:vAlign w:val="bottom"/>
          </w:tcPr>
          <w:p>
            <w:pPr>
              <w:spacing w:after="0"/>
              <w:rPr>
                <w:sz w:val="1"/>
                <w:szCs w:val="1"/>
                <w:color w:val="auto"/>
              </w:rPr>
            </w:pPr>
          </w:p>
        </w:tc>
      </w:tr>
      <w:tr>
        <w:trPr>
          <w:trHeight w:val="247"/>
        </w:trPr>
        <w:tc>
          <w:tcPr>
            <w:tcW w:w="358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95,144</w:t>
            </w:r>
          </w:p>
        </w:tc>
        <w:tc>
          <w:tcPr>
            <w:tcW w:w="1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103,009</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280,067</w:t>
            </w:r>
          </w:p>
        </w:tc>
        <w:tc>
          <w:tcPr>
            <w:tcW w:w="2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307,984</w:t>
            </w:r>
          </w:p>
        </w:tc>
        <w:tc>
          <w:tcPr>
            <w:tcW w:w="0" w:type="dxa"/>
            <w:vAlign w:val="bottom"/>
          </w:tcPr>
          <w:p>
            <w:pPr>
              <w:spacing w:after="0"/>
              <w:rPr>
                <w:sz w:val="1"/>
                <w:szCs w:val="1"/>
                <w:color w:val="auto"/>
              </w:rPr>
            </w:pP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46,063</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50,308</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150,592</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156,543</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11,636</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15,597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37,736</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44,939</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5,867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4,447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15,701</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13,782</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7,693</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7,829</w:t>
            </w:r>
          </w:p>
        </w:tc>
        <w:tc>
          <w:tcPr>
            <w:tcW w:w="0" w:type="dxa"/>
            <w:vAlign w:val="bottom"/>
          </w:tcPr>
          <w:p>
            <w:pPr>
              <w:spacing w:after="0"/>
              <w:rPr>
                <w:sz w:val="1"/>
                <w:szCs w:val="1"/>
                <w:color w:val="auto"/>
              </w:rPr>
            </w:pPr>
          </w:p>
        </w:tc>
      </w:tr>
      <w:tr>
        <w:trPr>
          <w:trHeight w:val="151"/>
        </w:trPr>
        <w:tc>
          <w:tcPr>
            <w:tcW w:w="3580" w:type="dxa"/>
            <w:vAlign w:val="bottom"/>
          </w:tcPr>
          <w:p>
            <w:pPr>
              <w:ind w:left="660"/>
              <w:spacing w:after="0" w:line="152" w:lineRule="exact"/>
              <w:rPr>
                <w:sz w:val="20"/>
                <w:szCs w:val="20"/>
                <w:color w:val="auto"/>
              </w:rPr>
            </w:pPr>
            <w:r>
              <w:rPr>
                <w:rFonts w:ascii="Arial" w:cs="Arial" w:eastAsia="Arial" w:hAnsi="Arial"/>
                <w:sz w:val="16"/>
                <w:szCs w:val="16"/>
                <w:color w:val="auto"/>
              </w:rPr>
              <w:t>Total Canadian cost of sales and</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65,972</w:t>
            </w:r>
          </w:p>
        </w:tc>
        <w:tc>
          <w:tcPr>
            <w:tcW w:w="180" w:type="dxa"/>
            <w:vAlign w:val="bottom"/>
          </w:tcPr>
          <w:p>
            <w:pPr>
              <w:spacing w:after="0"/>
              <w:rPr>
                <w:sz w:val="13"/>
                <w:szCs w:val="13"/>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72,878</w:t>
            </w:r>
          </w:p>
        </w:tc>
        <w:tc>
          <w:tcPr>
            <w:tcW w:w="180" w:type="dxa"/>
            <w:vAlign w:val="bottom"/>
          </w:tcPr>
          <w:p>
            <w:pPr>
              <w:spacing w:after="0"/>
              <w:rPr>
                <w:sz w:val="13"/>
                <w:szCs w:val="13"/>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211,722</w:t>
            </w:r>
          </w:p>
        </w:tc>
        <w:tc>
          <w:tcPr>
            <w:tcW w:w="200" w:type="dxa"/>
            <w:vAlign w:val="bottom"/>
          </w:tcPr>
          <w:p>
            <w:pPr>
              <w:spacing w:after="0"/>
              <w:rPr>
                <w:sz w:val="13"/>
                <w:szCs w:val="13"/>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223,093</w:t>
            </w:r>
          </w:p>
        </w:tc>
        <w:tc>
          <w:tcPr>
            <w:tcW w:w="0" w:type="dxa"/>
            <w:vAlign w:val="bottom"/>
          </w:tcPr>
          <w:p>
            <w:pPr>
              <w:spacing w:after="0"/>
              <w:rPr>
                <w:sz w:val="1"/>
                <w:szCs w:val="1"/>
                <w:color w:val="auto"/>
              </w:rPr>
            </w:pPr>
          </w:p>
        </w:tc>
      </w:tr>
      <w:tr>
        <w:trPr>
          <w:trHeight w:val="207"/>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99</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726,364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730,708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2,093,459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2,137,530</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0.746</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0.766</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0.743</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0.779</w:t>
            </w:r>
          </w:p>
        </w:tc>
        <w:tc>
          <w:tcPr>
            <w:tcW w:w="0" w:type="dxa"/>
            <w:vAlign w:val="bottom"/>
          </w:tcPr>
          <w:p>
            <w:pPr>
              <w:spacing w:after="0"/>
              <w:rPr>
                <w:sz w:val="1"/>
                <w:szCs w:val="1"/>
                <w:color w:val="auto"/>
              </w:rPr>
            </w:pPr>
          </w:p>
        </w:tc>
      </w:tr>
      <w:tr>
        <w:trPr>
          <w:trHeight w:val="438"/>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60"/>
              <w:spacing w:after="0"/>
              <w:rPr>
                <w:sz w:val="20"/>
                <w:szCs w:val="20"/>
                <w:color w:val="auto"/>
              </w:rPr>
            </w:pPr>
            <w:r>
              <w:rPr>
                <w:rFonts w:ascii="Arial" w:cs="Arial" w:eastAsia="Arial" w:hAnsi="Arial"/>
                <w:sz w:val="16"/>
                <w:szCs w:val="16"/>
                <w:color w:val="auto"/>
              </w:rPr>
              <w:t>Accommodation revenue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46,012</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38,316</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130,953</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114,967</w:t>
            </w:r>
          </w:p>
        </w:tc>
        <w:tc>
          <w:tcPr>
            <w:tcW w:w="0" w:type="dxa"/>
            <w:vAlign w:val="bottom"/>
          </w:tcPr>
          <w:p>
            <w:pPr>
              <w:spacing w:after="0"/>
              <w:rPr>
                <w:sz w:val="1"/>
                <w:szCs w:val="1"/>
                <w:color w:val="auto"/>
              </w:rPr>
            </w:pPr>
          </w:p>
        </w:tc>
      </w:tr>
      <w:tr>
        <w:trPr>
          <w:trHeight w:val="273"/>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41,873</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35,489</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116,465</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90,187</w:t>
            </w:r>
          </w:p>
        </w:tc>
        <w:tc>
          <w:tcPr>
            <w:tcW w:w="0" w:type="dxa"/>
            <w:vAlign w:val="bottom"/>
          </w:tcPr>
          <w:p>
            <w:pPr>
              <w:spacing w:after="0"/>
              <w:rPr>
                <w:sz w:val="1"/>
                <w:szCs w:val="1"/>
                <w:color w:val="auto"/>
              </w:rPr>
            </w:pPr>
          </w:p>
        </w:tc>
      </w:tr>
      <w:tr>
        <w:trPr>
          <w:trHeight w:val="247"/>
        </w:trPr>
        <w:tc>
          <w:tcPr>
            <w:tcW w:w="358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87,885</w:t>
            </w:r>
          </w:p>
        </w:tc>
        <w:tc>
          <w:tcPr>
            <w:tcW w:w="1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73,805</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247,418</w:t>
            </w:r>
          </w:p>
        </w:tc>
        <w:tc>
          <w:tcPr>
            <w:tcW w:w="2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205,154</w:t>
            </w:r>
          </w:p>
        </w:tc>
        <w:tc>
          <w:tcPr>
            <w:tcW w:w="0" w:type="dxa"/>
            <w:vAlign w:val="bottom"/>
          </w:tcPr>
          <w:p>
            <w:pPr>
              <w:spacing w:after="0"/>
              <w:rPr>
                <w:sz w:val="1"/>
                <w:szCs w:val="1"/>
                <w:color w:val="auto"/>
              </w:rPr>
            </w:pP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22,404</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17,818</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63,670</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55,065</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38,898</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33,465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110,132</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84,836</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6,646</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5,638</w:t>
            </w:r>
          </w:p>
        </w:tc>
        <w:tc>
          <w:tcPr>
            <w:tcW w:w="0" w:type="dxa"/>
            <w:vAlign w:val="bottom"/>
          </w:tcPr>
          <w:p>
            <w:pPr>
              <w:spacing w:after="0"/>
              <w:rPr>
                <w:sz w:val="1"/>
                <w:szCs w:val="1"/>
                <w:color w:val="auto"/>
              </w:rPr>
            </w:pPr>
          </w:p>
        </w:tc>
      </w:tr>
      <w:tr>
        <w:trPr>
          <w:trHeight w:val="151"/>
        </w:trPr>
        <w:tc>
          <w:tcPr>
            <w:tcW w:w="3580" w:type="dxa"/>
            <w:vAlign w:val="bottom"/>
          </w:tcPr>
          <w:p>
            <w:pPr>
              <w:ind w:left="660"/>
              <w:spacing w:after="0" w:line="152" w:lineRule="exact"/>
              <w:rPr>
                <w:sz w:val="20"/>
                <w:szCs w:val="20"/>
                <w:color w:val="auto"/>
              </w:rPr>
            </w:pPr>
            <w:r>
              <w:rPr>
                <w:rFonts w:ascii="Arial" w:cs="Arial" w:eastAsia="Arial" w:hAnsi="Arial"/>
                <w:sz w:val="16"/>
                <w:szCs w:val="16"/>
                <w:color w:val="auto"/>
              </w:rPr>
              <w:t>Total Australian cost of sales and</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63,595</w:t>
            </w:r>
          </w:p>
        </w:tc>
        <w:tc>
          <w:tcPr>
            <w:tcW w:w="180" w:type="dxa"/>
            <w:vAlign w:val="bottom"/>
          </w:tcPr>
          <w:p>
            <w:pPr>
              <w:spacing w:after="0"/>
              <w:rPr>
                <w:sz w:val="13"/>
                <w:szCs w:val="13"/>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53,333</w:t>
            </w:r>
          </w:p>
        </w:tc>
        <w:tc>
          <w:tcPr>
            <w:tcW w:w="180" w:type="dxa"/>
            <w:vAlign w:val="bottom"/>
          </w:tcPr>
          <w:p>
            <w:pPr>
              <w:spacing w:after="0"/>
              <w:rPr>
                <w:sz w:val="13"/>
                <w:szCs w:val="13"/>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180,448</w:t>
            </w:r>
          </w:p>
        </w:tc>
        <w:tc>
          <w:tcPr>
            <w:tcW w:w="200" w:type="dxa"/>
            <w:vAlign w:val="bottom"/>
          </w:tcPr>
          <w:p>
            <w:pPr>
              <w:spacing w:after="0"/>
              <w:rPr>
                <w:sz w:val="13"/>
                <w:szCs w:val="13"/>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145,539</w:t>
            </w:r>
          </w:p>
        </w:tc>
        <w:tc>
          <w:tcPr>
            <w:tcW w:w="0" w:type="dxa"/>
            <w:vAlign w:val="bottom"/>
          </w:tcPr>
          <w:p>
            <w:pPr>
              <w:spacing w:after="0"/>
              <w:rPr>
                <w:sz w:val="1"/>
                <w:szCs w:val="1"/>
                <w:color w:val="auto"/>
              </w:rPr>
            </w:pPr>
          </w:p>
        </w:tc>
      </w:tr>
      <w:tr>
        <w:trPr>
          <w:trHeight w:val="207"/>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74</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623,436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525,359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1,734,004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1,505,143</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0.655</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0.683</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0.669</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left="312" w:hanging="312"/>
        <w:spacing w:after="0"/>
        <w:tabs>
          <w:tab w:leader="none" w:pos="3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22" w:lineRule="exact"/>
        <w:rPr>
          <w:rFonts w:ascii="Arial" w:cs="Arial" w:eastAsia="Arial" w:hAnsi="Arial"/>
          <w:sz w:val="16"/>
          <w:szCs w:val="16"/>
          <w:color w:val="auto"/>
        </w:rPr>
      </w:pPr>
    </w:p>
    <w:p>
      <w:pPr>
        <w:ind w:left="312" w:hanging="312"/>
        <w:spacing w:after="0"/>
        <w:tabs>
          <w:tab w:leader="none" w:pos="3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revenues related to mobile assets for the periods presented.</w:t>
      </w:r>
    </w:p>
    <w:p>
      <w:pPr>
        <w:spacing w:after="0" w:line="12" w:lineRule="exact"/>
        <w:rPr>
          <w:rFonts w:ascii="Arial" w:cs="Arial" w:eastAsia="Arial" w:hAnsi="Arial"/>
          <w:sz w:val="16"/>
          <w:szCs w:val="16"/>
          <w:color w:val="auto"/>
        </w:rPr>
      </w:pPr>
    </w:p>
    <w:p>
      <w:pPr>
        <w:ind w:left="312" w:hanging="312"/>
        <w:spacing w:after="0"/>
        <w:tabs>
          <w:tab w:leader="none" w:pos="3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revenues related to food services,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0" w:lineRule="exact"/>
        <w:rPr>
          <w:rFonts w:ascii="Arial" w:cs="Arial" w:eastAsia="Arial" w:hAnsi="Arial"/>
          <w:sz w:val="16"/>
          <w:szCs w:val="16"/>
          <w:color w:val="auto"/>
        </w:rPr>
      </w:pPr>
    </w:p>
    <w:p>
      <w:pPr>
        <w:ind w:left="312" w:hanging="312"/>
        <w:spacing w:after="0"/>
        <w:tabs>
          <w:tab w:leader="none" w:pos="3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ectPr>
          <w:pgSz w:w="11900" w:h="16838" w:orient="portrait"/>
          <w:cols w:equalWidth="0" w:num="1">
            <w:col w:w="11152"/>
          </w:cols>
          <w:pgMar w:left="328" w:top="1134" w:right="4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CONTACTS: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8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2023-10-27T07:44:23Z</dcterms:created>
  <dcterms:modified xsi:type="dcterms:W3CDTF">2023-10-27T07:44:23Z</dcterms:modified>
</cp:coreProperties>
</file>