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840" w:hanging="801"/>
        <w:spacing w:after="0" w:line="216" w:lineRule="auto"/>
        <w:tabs>
          <w:tab w:leader="none" w:pos="8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QUARTERLY REPORT PURSUANT TO SECTION 13 OR 15(d) OF THE SECURITIES EXCHANGE ACT OF 1934</w:t>
      </w:r>
    </w:p>
    <w:p>
      <w:pPr>
        <w:spacing w:after="0" w:line="13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quarterly period ended June 30, 2020</w:t>
      </w:r>
    </w:p>
    <w:p>
      <w:pPr>
        <w:spacing w:after="0" w:line="6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840" w:hanging="801"/>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3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88265</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5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60" w:type="dxa"/>
            <w:vAlign w:val="bottom"/>
            <w:gridSpan w:val="5"/>
          </w:tcPr>
          <w:p>
            <w:pPr>
              <w:jc w:val="right"/>
              <w:ind w:right="920"/>
              <w:spacing w:after="0"/>
              <w:rPr>
                <w:sz w:val="20"/>
                <w:szCs w:val="20"/>
                <w:color w:val="auto"/>
              </w:rPr>
            </w:pPr>
            <w:r>
              <w:rPr>
                <w:rFonts w:ascii="Arial" w:cs="Arial" w:eastAsia="Arial" w:hAnsi="Arial"/>
                <w:sz w:val="18"/>
                <w:szCs w:val="18"/>
                <w:color w:val="auto"/>
              </w:rPr>
              <w:t>98-1253716</w:t>
            </w:r>
          </w:p>
        </w:tc>
      </w:tr>
      <w:tr>
        <w:trPr>
          <w:trHeight w:val="20"/>
        </w:trPr>
        <w:tc>
          <w:tcPr>
            <w:tcW w:w="1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4280" w:type="dxa"/>
            <w:vAlign w:val="bottom"/>
            <w:gridSpan w:val="5"/>
          </w:tcPr>
          <w:p>
            <w:pPr>
              <w:jc w:val="center"/>
              <w:ind w:left="1273"/>
              <w:spacing w:after="0"/>
              <w:rPr>
                <w:sz w:val="20"/>
                <w:szCs w:val="20"/>
                <w:color w:val="auto"/>
              </w:rPr>
            </w:pPr>
            <w:r>
              <w:rPr>
                <w:rFonts w:ascii="Arial" w:cs="Arial" w:eastAsia="Arial" w:hAnsi="Arial"/>
                <w:sz w:val="18"/>
                <w:szCs w:val="18"/>
                <w:color w:val="auto"/>
                <w:w w:val="92"/>
              </w:rPr>
              <w:t>(State or other jurisdiction of</w:t>
            </w:r>
          </w:p>
        </w:tc>
        <w:tc>
          <w:tcPr>
            <w:tcW w:w="2220" w:type="dxa"/>
            <w:vAlign w:val="bottom"/>
          </w:tcPr>
          <w:p>
            <w:pPr>
              <w:spacing w:after="0"/>
              <w:rPr>
                <w:sz w:val="24"/>
                <w:szCs w:val="24"/>
                <w:color w:val="auto"/>
              </w:rPr>
            </w:pPr>
          </w:p>
        </w:tc>
        <w:tc>
          <w:tcPr>
            <w:tcW w:w="3260" w:type="dxa"/>
            <w:vAlign w:val="bottom"/>
            <w:gridSpan w:val="5"/>
          </w:tcPr>
          <w:p>
            <w:pPr>
              <w:jc w:val="center"/>
              <w:ind w:left="474"/>
              <w:spacing w:after="0"/>
              <w:rPr>
                <w:sz w:val="20"/>
                <w:szCs w:val="20"/>
                <w:color w:val="auto"/>
              </w:rPr>
            </w:pPr>
            <w:r>
              <w:rPr>
                <w:rFonts w:ascii="Arial" w:cs="Arial" w:eastAsia="Arial" w:hAnsi="Arial"/>
                <w:sz w:val="18"/>
                <w:szCs w:val="18"/>
                <w:color w:val="auto"/>
                <w:w w:val="92"/>
              </w:rPr>
              <w:t>(I.R.S. Employer</w:t>
            </w:r>
          </w:p>
        </w:tc>
      </w:tr>
      <w:tr>
        <w:trPr>
          <w:trHeight w:val="270"/>
        </w:trPr>
        <w:tc>
          <w:tcPr>
            <w:tcW w:w="4280" w:type="dxa"/>
            <w:vAlign w:val="bottom"/>
            <w:gridSpan w:val="5"/>
          </w:tcPr>
          <w:p>
            <w:pPr>
              <w:jc w:val="center"/>
              <w:ind w:left="127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spacing w:after="0"/>
              <w:rPr>
                <w:sz w:val="23"/>
                <w:szCs w:val="23"/>
                <w:color w:val="auto"/>
              </w:rPr>
            </w:pPr>
          </w:p>
        </w:tc>
        <w:tc>
          <w:tcPr>
            <w:tcW w:w="3260" w:type="dxa"/>
            <w:vAlign w:val="bottom"/>
            <w:gridSpan w:val="5"/>
          </w:tcPr>
          <w:p>
            <w:pPr>
              <w:jc w:val="center"/>
              <w:ind w:left="474"/>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00" w:type="dxa"/>
            <w:vAlign w:val="bottom"/>
            <w:gridSpan w:val="6"/>
          </w:tcPr>
          <w:p>
            <w:pPr>
              <w:jc w:val="center"/>
              <w:ind w:right="796"/>
              <w:spacing w:after="0"/>
              <w:rPr>
                <w:sz w:val="20"/>
                <w:szCs w:val="20"/>
                <w:color w:val="auto"/>
              </w:rPr>
            </w:pPr>
            <w:r>
              <w:rPr>
                <w:rFonts w:ascii="Arial" w:cs="Arial" w:eastAsia="Arial" w:hAnsi="Arial"/>
                <w:sz w:val="18"/>
                <w:szCs w:val="18"/>
                <w:color w:val="auto"/>
                <w:w w:val="90"/>
              </w:rPr>
              <w:t>Three Allen Center, 333 Clay Street, Suite 4980,</w:t>
            </w:r>
          </w:p>
        </w:tc>
        <w:tc>
          <w:tcPr>
            <w:tcW w:w="16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6"/>
        </w:trPr>
        <w:tc>
          <w:tcPr>
            <w:tcW w:w="1880" w:type="dxa"/>
            <w:vAlign w:val="bottom"/>
          </w:tcPr>
          <w:p>
            <w:pPr>
              <w:spacing w:after="0"/>
              <w:rPr>
                <w:sz w:val="20"/>
                <w:szCs w:val="20"/>
                <w:color w:val="auto"/>
              </w:rPr>
            </w:pPr>
          </w:p>
        </w:tc>
        <w:tc>
          <w:tcPr>
            <w:tcW w:w="2400" w:type="dxa"/>
            <w:vAlign w:val="bottom"/>
            <w:gridSpan w:val="4"/>
          </w:tcPr>
          <w:p>
            <w:pPr>
              <w:jc w:val="center"/>
              <w:ind w:right="430"/>
              <w:spacing w:after="0"/>
              <w:rPr>
                <w:sz w:val="20"/>
                <w:szCs w:val="20"/>
                <w:color w:val="auto"/>
              </w:rPr>
            </w:pPr>
            <w:r>
              <w:rPr>
                <w:rFonts w:ascii="Arial" w:cs="Arial" w:eastAsia="Arial" w:hAnsi="Arial"/>
                <w:sz w:val="18"/>
                <w:szCs w:val="18"/>
                <w:color w:val="auto"/>
                <w:w w:val="88"/>
              </w:rPr>
              <w:t>Houston, Texas</w:t>
            </w:r>
          </w:p>
        </w:tc>
        <w:tc>
          <w:tcPr>
            <w:tcW w:w="2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8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(Zip Code)</w:t>
            </w:r>
          </w:p>
        </w:tc>
      </w:tr>
      <w:tr>
        <w:trPr>
          <w:trHeight w:val="20"/>
        </w:trPr>
        <w:tc>
          <w:tcPr>
            <w:tcW w:w="28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4280" w:type="dxa"/>
            <w:vAlign w:val="bottom"/>
            <w:gridSpan w:val="5"/>
          </w:tcPr>
          <w:p>
            <w:pPr>
              <w:jc w:val="center"/>
              <w:ind w:left="125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8"/>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jc w:val="right"/>
              <w:ind w:right="156"/>
              <w:spacing w:after="0"/>
              <w:rPr>
                <w:sz w:val="20"/>
                <w:szCs w:val="20"/>
                <w:color w:val="auto"/>
              </w:rPr>
            </w:pPr>
            <w:r>
              <w:rPr>
                <w:rFonts w:ascii="Arial" w:cs="Arial" w:eastAsia="Arial" w:hAnsi="Arial"/>
                <w:sz w:val="18"/>
                <w:szCs w:val="18"/>
                <w:color w:val="auto"/>
              </w:rPr>
              <w:t>(713) 510-2400</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0" w:type="dxa"/>
            <w:vAlign w:val="bottom"/>
            <w:gridSpan w:val="7"/>
          </w:tcPr>
          <w:p>
            <w:pPr>
              <w:jc w:val="center"/>
              <w:ind w:right="210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4280" w:type="dxa"/>
            <w:vAlign w:val="bottom"/>
            <w:gridSpan w:val="5"/>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9"/>
        </w:trPr>
        <w:tc>
          <w:tcPr>
            <w:tcW w:w="4280" w:type="dxa"/>
            <w:vAlign w:val="bottom"/>
            <w:gridSpan w:val="5"/>
          </w:tcPr>
          <w:p>
            <w:pPr>
              <w:jc w:val="center"/>
              <w:ind w:left="53"/>
              <w:spacing w:after="0"/>
              <w:rPr>
                <w:sz w:val="20"/>
                <w:szCs w:val="20"/>
                <w:color w:val="auto"/>
              </w:rPr>
            </w:pPr>
            <w:r>
              <w:rPr>
                <w:rFonts w:ascii="Arial" w:cs="Arial" w:eastAsia="Arial" w:hAnsi="Arial"/>
                <w:sz w:val="16"/>
                <w:szCs w:val="16"/>
                <w:color w:val="auto"/>
                <w:w w:val="91"/>
              </w:rPr>
              <w:t>Title of Each Class</w:t>
            </w:r>
          </w:p>
        </w:tc>
        <w:tc>
          <w:tcPr>
            <w:tcW w:w="2220" w:type="dxa"/>
            <w:vAlign w:val="bottom"/>
          </w:tcPr>
          <w:p>
            <w:pPr>
              <w:jc w:val="center"/>
              <w:ind w:right="1036"/>
              <w:spacing w:after="0"/>
              <w:rPr>
                <w:sz w:val="20"/>
                <w:szCs w:val="20"/>
                <w:color w:val="auto"/>
              </w:rPr>
            </w:pPr>
            <w:r>
              <w:rPr>
                <w:rFonts w:ascii="Arial" w:cs="Arial" w:eastAsia="Arial" w:hAnsi="Arial"/>
                <w:sz w:val="16"/>
                <w:szCs w:val="16"/>
                <w:color w:val="auto"/>
                <w:w w:val="94"/>
              </w:rPr>
              <w:t>Trading Symbol</w:t>
            </w:r>
          </w:p>
        </w:tc>
        <w:tc>
          <w:tcPr>
            <w:tcW w:w="3260" w:type="dxa"/>
            <w:vAlign w:val="bottom"/>
            <w:gridSpan w:val="5"/>
          </w:tcPr>
          <w:p>
            <w:pPr>
              <w:jc w:val="center"/>
              <w:ind w:left="154"/>
              <w:spacing w:after="0"/>
              <w:rPr>
                <w:sz w:val="20"/>
                <w:szCs w:val="20"/>
                <w:color w:val="auto"/>
              </w:rPr>
            </w:pPr>
            <w:r>
              <w:rPr>
                <w:rFonts w:ascii="Arial" w:cs="Arial" w:eastAsia="Arial" w:hAnsi="Arial"/>
                <w:sz w:val="16"/>
                <w:szCs w:val="16"/>
                <w:color w:val="auto"/>
                <w:w w:val="91"/>
              </w:rPr>
              <w:t>Name of Each Exchange on Which Registered</w:t>
            </w:r>
          </w:p>
        </w:tc>
      </w:tr>
      <w:tr>
        <w:trPr>
          <w:trHeight w:val="257"/>
        </w:trPr>
        <w:tc>
          <w:tcPr>
            <w:tcW w:w="4280" w:type="dxa"/>
            <w:vAlign w:val="bottom"/>
            <w:gridSpan w:val="5"/>
          </w:tcPr>
          <w:p>
            <w:pPr>
              <w:jc w:val="center"/>
              <w:ind w:left="53"/>
              <w:spacing w:after="0"/>
              <w:rPr>
                <w:sz w:val="20"/>
                <w:szCs w:val="20"/>
                <w:color w:val="auto"/>
              </w:rPr>
            </w:pPr>
            <w:r>
              <w:rPr>
                <w:rFonts w:ascii="Arial" w:cs="Arial" w:eastAsia="Arial" w:hAnsi="Arial"/>
                <w:sz w:val="16"/>
                <w:szCs w:val="16"/>
                <w:color w:val="auto"/>
                <w:w w:val="89"/>
              </w:rPr>
              <w:t>Common Shares, no par value</w:t>
            </w:r>
          </w:p>
        </w:tc>
        <w:tc>
          <w:tcPr>
            <w:tcW w:w="2220" w:type="dxa"/>
            <w:vAlign w:val="bottom"/>
          </w:tcPr>
          <w:p>
            <w:pPr>
              <w:jc w:val="center"/>
              <w:ind w:right="1056"/>
              <w:spacing w:after="0"/>
              <w:rPr>
                <w:sz w:val="20"/>
                <w:szCs w:val="20"/>
                <w:color w:val="auto"/>
              </w:rPr>
            </w:pPr>
            <w:r>
              <w:rPr>
                <w:rFonts w:ascii="Arial" w:cs="Arial" w:eastAsia="Arial" w:hAnsi="Arial"/>
                <w:sz w:val="16"/>
                <w:szCs w:val="16"/>
                <w:color w:val="auto"/>
                <w:w w:val="96"/>
              </w:rPr>
              <w:t>CVEO</w:t>
            </w:r>
          </w:p>
        </w:tc>
        <w:tc>
          <w:tcPr>
            <w:tcW w:w="3260" w:type="dxa"/>
            <w:vAlign w:val="bottom"/>
            <w:gridSpan w:val="5"/>
          </w:tcPr>
          <w:p>
            <w:pPr>
              <w:jc w:val="center"/>
              <w:ind w:left="134"/>
              <w:spacing w:after="0"/>
              <w:rPr>
                <w:sz w:val="20"/>
                <w:szCs w:val="20"/>
                <w:color w:val="auto"/>
              </w:rPr>
            </w:pPr>
            <w:r>
              <w:rPr>
                <w:rFonts w:ascii="Arial" w:cs="Arial" w:eastAsia="Arial" w:hAnsi="Arial"/>
                <w:sz w:val="16"/>
                <w:szCs w:val="16"/>
                <w:color w:val="auto"/>
                <w:w w:val="92"/>
              </w:rPr>
              <w:t>New York Stock Exchange</w:t>
            </w:r>
          </w:p>
        </w:tc>
      </w:tr>
    </w:tbl>
    <w:p>
      <w:pPr>
        <w:spacing w:after="0" w:line="217"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6" w:lineRule="exact"/>
        <w:rPr>
          <w:sz w:val="24"/>
          <w:szCs w:val="24"/>
          <w:color w:val="auto"/>
        </w:rPr>
      </w:pPr>
    </w:p>
    <w:p>
      <w:pPr>
        <w:ind w:left="3300"/>
        <w:spacing w:after="0" w:line="161" w:lineRule="exact"/>
        <w:tabs>
          <w:tab w:leader="none" w:pos="3800" w:val="left"/>
          <w:tab w:leader="none" w:pos="724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1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6" w:lineRule="exact"/>
        <w:rPr>
          <w:sz w:val="24"/>
          <w:szCs w:val="24"/>
          <w:color w:val="auto"/>
        </w:rPr>
      </w:pPr>
    </w:p>
    <w:p>
      <w:pPr>
        <w:ind w:left="3300"/>
        <w:spacing w:after="0" w:line="161" w:lineRule="exact"/>
        <w:tabs>
          <w:tab w:leader="none" w:pos="3800" w:val="left"/>
          <w:tab w:leader="none" w:pos="724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17"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87"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6">
            <w:col w:w="1380" w:space="560"/>
            <w:col w:w="160" w:space="440"/>
            <w:col w:w="1520" w:space="720"/>
            <w:col w:w="160" w:space="440"/>
            <w:col w:w="2220" w:space="720"/>
            <w:col w:w="2920"/>
          </w:cols>
          <w:pgMar w:left="320" w:top="1440" w:right="339" w:bottom="1440" w:gutter="0" w:footer="0" w:header="0"/>
          <w:type w:val="continuous"/>
        </w:sectPr>
      </w:pPr>
    </w:p>
    <w:p>
      <w:pPr>
        <w:spacing w:after="0" w:line="123"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4">
            <w:col w:w="1320" w:space="620"/>
            <w:col w:w="160" w:space="440"/>
            <w:col w:w="1660" w:space="580"/>
            <w:col w:w="6460"/>
          </w:cols>
          <w:pgMar w:left="320" w:top="1440" w:right="339" w:bottom="1440" w:gutter="0" w:footer="0" w:header="0"/>
          <w:type w:val="continuous"/>
        </w:sectPr>
      </w:pPr>
    </w:p>
    <w:p>
      <w:pPr>
        <w:spacing w:after="0" w:line="150"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57" w:lineRule="exact"/>
        <w:rPr>
          <w:sz w:val="20"/>
          <w:szCs w:val="20"/>
          <w:color w:val="auto"/>
        </w:rPr>
      </w:pPr>
    </w:p>
    <w:p>
      <w:pPr>
        <w:jc w:val="both"/>
        <w:ind w:left="3300"/>
        <w:spacing w:after="0" w:line="161" w:lineRule="exact"/>
        <w:tabs>
          <w:tab w:leader="none" w:pos="3800" w:val="left"/>
          <w:tab w:leader="none" w:pos="724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170,578,068 common shares outstanding as of 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163"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1517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shd w:val="clear" w:color="auto" w:fill="CCEEFF"/>
          </w:tcPr>
          <w:p>
            <w:pPr>
              <w:spacing w:after="0"/>
              <w:rPr>
                <w:sz w:val="17"/>
                <w:szCs w:val="17"/>
                <w:color w:val="auto"/>
              </w:rPr>
            </w:pPr>
          </w:p>
        </w:tc>
        <w:tc>
          <w:tcPr>
            <w:tcW w:w="9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 Financial Statements</w:t>
            </w:r>
          </w:p>
        </w:tc>
        <w:tc>
          <w:tcPr>
            <w:tcW w:w="1460" w:type="dxa"/>
            <w:vAlign w:val="bottom"/>
            <w:shd w:val="clear" w:color="auto" w:fill="CCEEFF"/>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9300" w:type="dxa"/>
            <w:vAlign w:val="bottom"/>
          </w:tcPr>
          <w:p>
            <w:pPr>
              <w:ind w:left="320"/>
              <w:spacing w:after="0"/>
              <w:rPr>
                <w:sz w:val="20"/>
                <w:szCs w:val="20"/>
                <w:color w:val="auto"/>
              </w:rPr>
            </w:pPr>
            <w:r>
              <w:rPr>
                <w:rFonts w:ascii="Arial" w:cs="Arial" w:eastAsia="Arial" w:hAnsi="Arial"/>
                <w:sz w:val="14"/>
                <w:szCs w:val="14"/>
                <w:color w:val="auto"/>
              </w:rPr>
              <w:t>Unaudited Consolidated Statements of Operations for the Three and Six Months Ended June 30, 2020 and 2019</w:t>
            </w:r>
          </w:p>
        </w:tc>
        <w:tc>
          <w:tcPr>
            <w:tcW w:w="146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4</w:t>
              </w:r>
            </w:hyperlink>
          </w:p>
        </w:tc>
      </w:tr>
      <w:tr>
        <w:trPr>
          <w:trHeight w:val="209"/>
        </w:trPr>
        <w:tc>
          <w:tcPr>
            <w:tcW w:w="460" w:type="dxa"/>
            <w:vAlign w:val="bottom"/>
            <w:shd w:val="clear" w:color="auto" w:fill="CCEEFF"/>
          </w:tcPr>
          <w:p>
            <w:pPr>
              <w:spacing w:after="0"/>
              <w:rPr>
                <w:sz w:val="18"/>
                <w:szCs w:val="18"/>
                <w:color w:val="auto"/>
              </w:rPr>
            </w:pPr>
          </w:p>
        </w:tc>
        <w:tc>
          <w:tcPr>
            <w:tcW w:w="9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Comprehensive Income (Loss) for the Three and Six Months Ended June 30, 2020 and 2019</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96"/>
        </w:trPr>
        <w:tc>
          <w:tcPr>
            <w:tcW w:w="460" w:type="dxa"/>
            <w:vAlign w:val="bottom"/>
          </w:tcPr>
          <w:p>
            <w:pPr>
              <w:spacing w:after="0"/>
              <w:rPr>
                <w:sz w:val="17"/>
                <w:szCs w:val="17"/>
                <w:color w:val="auto"/>
              </w:rPr>
            </w:pPr>
          </w:p>
        </w:tc>
        <w:tc>
          <w:tcPr>
            <w:tcW w:w="9300" w:type="dxa"/>
            <w:vAlign w:val="bottom"/>
          </w:tcPr>
          <w:p>
            <w:pPr>
              <w:ind w:left="320"/>
              <w:spacing w:after="0"/>
              <w:rPr>
                <w:sz w:val="20"/>
                <w:szCs w:val="20"/>
                <w:color w:val="auto"/>
              </w:rPr>
            </w:pPr>
            <w:r>
              <w:rPr>
                <w:rFonts w:ascii="Arial" w:cs="Arial" w:eastAsia="Arial" w:hAnsi="Arial"/>
                <w:sz w:val="14"/>
                <w:szCs w:val="14"/>
                <w:color w:val="auto"/>
              </w:rPr>
              <w:t>Consolidated Balance Sheets – as of June 30, 2020 (unaudited) and December 31, 2019</w:t>
            </w:r>
          </w:p>
        </w:tc>
        <w:tc>
          <w:tcPr>
            <w:tcW w:w="146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209"/>
        </w:trPr>
        <w:tc>
          <w:tcPr>
            <w:tcW w:w="460" w:type="dxa"/>
            <w:vAlign w:val="bottom"/>
            <w:shd w:val="clear" w:color="auto" w:fill="CCEEFF"/>
          </w:tcPr>
          <w:p>
            <w:pPr>
              <w:spacing w:after="0"/>
              <w:rPr>
                <w:sz w:val="18"/>
                <w:szCs w:val="18"/>
                <w:color w:val="auto"/>
              </w:rPr>
            </w:pPr>
          </w:p>
        </w:tc>
        <w:tc>
          <w:tcPr>
            <w:tcW w:w="9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Changes in Shareholders’ Equity for the Three and Six Months Ended June 30, 2020 and 2019</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196"/>
        </w:trPr>
        <w:tc>
          <w:tcPr>
            <w:tcW w:w="460" w:type="dxa"/>
            <w:vAlign w:val="bottom"/>
          </w:tcPr>
          <w:p>
            <w:pPr>
              <w:spacing w:after="0"/>
              <w:rPr>
                <w:sz w:val="17"/>
                <w:szCs w:val="17"/>
                <w:color w:val="auto"/>
              </w:rPr>
            </w:pPr>
          </w:p>
        </w:tc>
        <w:tc>
          <w:tcPr>
            <w:tcW w:w="9300" w:type="dxa"/>
            <w:vAlign w:val="bottom"/>
          </w:tcPr>
          <w:p>
            <w:pPr>
              <w:ind w:left="320"/>
              <w:spacing w:after="0"/>
              <w:rPr>
                <w:sz w:val="20"/>
                <w:szCs w:val="20"/>
                <w:color w:val="auto"/>
              </w:rPr>
            </w:pPr>
            <w:r>
              <w:rPr>
                <w:rFonts w:ascii="Arial" w:cs="Arial" w:eastAsia="Arial" w:hAnsi="Arial"/>
                <w:sz w:val="14"/>
                <w:szCs w:val="14"/>
                <w:color w:val="auto"/>
              </w:rPr>
              <w:t>Unaudited Consolidated Statements of Cash Flows for the Six Months Ended June 30, 2020 and 2019</w:t>
            </w:r>
          </w:p>
        </w:tc>
        <w:tc>
          <w:tcPr>
            <w:tcW w:w="1460" w:type="dxa"/>
            <w:vAlign w:val="bottom"/>
          </w:tcPr>
          <w:p>
            <w:pPr>
              <w:jc w:val="right"/>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209"/>
        </w:trPr>
        <w:tc>
          <w:tcPr>
            <w:tcW w:w="460" w:type="dxa"/>
            <w:vAlign w:val="bottom"/>
            <w:shd w:val="clear" w:color="auto" w:fill="CCEEFF"/>
          </w:tcPr>
          <w:p>
            <w:pPr>
              <w:spacing w:after="0"/>
              <w:rPr>
                <w:sz w:val="18"/>
                <w:szCs w:val="18"/>
                <w:color w:val="auto"/>
              </w:rPr>
            </w:pPr>
          </w:p>
        </w:tc>
        <w:tc>
          <w:tcPr>
            <w:tcW w:w="9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Notes to Unaudited Consolidated Financial Statements</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216"/>
        </w:trPr>
        <w:tc>
          <w:tcPr>
            <w:tcW w:w="97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Cautionary Statement Regarding Forward-Looking Statements</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20</w:t>
              </w:r>
            </w:hyperlink>
          </w:p>
        </w:tc>
      </w:tr>
      <w:tr>
        <w:trPr>
          <w:trHeight w:val="216"/>
        </w:trPr>
        <w:tc>
          <w:tcPr>
            <w:tcW w:w="97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20</w:t>
              </w:r>
            </w:hyperlink>
          </w:p>
        </w:tc>
      </w:tr>
      <w:tr>
        <w:trPr>
          <w:trHeight w:val="216"/>
        </w:trPr>
        <w:tc>
          <w:tcPr>
            <w:tcW w:w="97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37</w:t>
              </w:r>
            </w:hyperlink>
          </w:p>
        </w:tc>
      </w:tr>
      <w:tr>
        <w:trPr>
          <w:trHeight w:val="216"/>
        </w:trPr>
        <w:tc>
          <w:tcPr>
            <w:tcW w:w="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Item 4.</w:t>
            </w:r>
          </w:p>
        </w:tc>
        <w:tc>
          <w:tcPr>
            <w:tcW w:w="9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Controls and Procedures</w:t>
            </w:r>
          </w:p>
        </w:tc>
        <w:tc>
          <w:tcPr>
            <w:tcW w:w="1460" w:type="dxa"/>
            <w:vAlign w:val="bottom"/>
            <w:shd w:val="clear" w:color="auto" w:fill="CCEEFF"/>
          </w:tcPr>
          <w:p>
            <w:pPr>
              <w:jc w:val="right"/>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37</w:t>
              </w:r>
            </w:hyperlink>
          </w:p>
        </w:tc>
      </w:tr>
      <w:tr>
        <w:trPr>
          <w:trHeight w:val="216"/>
        </w:trPr>
        <w:tc>
          <w:tcPr>
            <w:tcW w:w="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197"/>
        </w:trPr>
        <w:tc>
          <w:tcPr>
            <w:tcW w:w="460" w:type="dxa"/>
            <w:vAlign w:val="bottom"/>
          </w:tcPr>
          <w:p>
            <w:pPr>
              <w:spacing w:after="0"/>
              <w:rPr>
                <w:sz w:val="17"/>
                <w:szCs w:val="17"/>
                <w:color w:val="auto"/>
              </w:rPr>
            </w:pPr>
          </w:p>
        </w:tc>
        <w:tc>
          <w:tcPr>
            <w:tcW w:w="9300" w:type="dxa"/>
            <w:vAlign w:val="bottom"/>
          </w:tcPr>
          <w:p>
            <w:pPr>
              <w:ind w:left="960"/>
              <w:spacing w:after="0"/>
              <w:rPr>
                <w:sz w:val="20"/>
                <w:szCs w:val="20"/>
                <w:color w:val="auto"/>
              </w:rPr>
            </w:pPr>
            <w:r>
              <w:rPr>
                <w:rFonts w:ascii="Arial" w:cs="Arial" w:eastAsia="Arial" w:hAnsi="Arial"/>
                <w:sz w:val="14"/>
                <w:szCs w:val="14"/>
                <w:color w:val="auto"/>
              </w:rPr>
              <w:t>Part II -- OTHER INFORMATION</w:t>
            </w:r>
          </w:p>
        </w:tc>
        <w:tc>
          <w:tcPr>
            <w:tcW w:w="1460" w:type="dxa"/>
            <w:vAlign w:val="bottom"/>
          </w:tcPr>
          <w:p>
            <w:pPr>
              <w:spacing w:after="0"/>
              <w:rPr>
                <w:sz w:val="17"/>
                <w:szCs w:val="17"/>
                <w:color w:val="auto"/>
              </w:rPr>
            </w:pPr>
          </w:p>
        </w:tc>
      </w:tr>
      <w:tr>
        <w:trPr>
          <w:trHeight w:val="222"/>
        </w:trPr>
        <w:tc>
          <w:tcPr>
            <w:tcW w:w="460" w:type="dxa"/>
            <w:vAlign w:val="bottom"/>
            <w:shd w:val="clear" w:color="auto" w:fill="CCEEFF"/>
          </w:tcPr>
          <w:p>
            <w:pPr>
              <w:spacing w:after="0"/>
              <w:rPr>
                <w:sz w:val="19"/>
                <w:szCs w:val="19"/>
                <w:color w:val="auto"/>
              </w:rPr>
            </w:pPr>
          </w:p>
        </w:tc>
        <w:tc>
          <w:tcPr>
            <w:tcW w:w="9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7"/>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1.</w:t>
            </w:r>
          </w:p>
        </w:tc>
        <w:tc>
          <w:tcPr>
            <w:tcW w:w="9300" w:type="dxa"/>
            <w:vAlign w:val="bottom"/>
          </w:tcPr>
          <w:p>
            <w:pPr>
              <w:ind w:left="160"/>
              <w:spacing w:after="0"/>
              <w:rPr>
                <w:sz w:val="20"/>
                <w:szCs w:val="20"/>
                <w:color w:val="auto"/>
              </w:rPr>
            </w:pPr>
            <w:r>
              <w:rPr>
                <w:rFonts w:ascii="Arial" w:cs="Arial" w:eastAsia="Arial" w:hAnsi="Arial"/>
                <w:sz w:val="14"/>
                <w:szCs w:val="14"/>
                <w:color w:val="auto"/>
              </w:rPr>
              <w:t>Legal Proceedings</w:t>
            </w:r>
          </w:p>
        </w:tc>
        <w:tc>
          <w:tcPr>
            <w:tcW w:w="1460" w:type="dxa"/>
            <w:vAlign w:val="bottom"/>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222"/>
        </w:trPr>
        <w:tc>
          <w:tcPr>
            <w:tcW w:w="9760" w:type="dxa"/>
            <w:vAlign w:val="bottom"/>
            <w:gridSpan w:val="2"/>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7"/>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460" w:type="dxa"/>
            <w:vAlign w:val="bottom"/>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222"/>
        </w:trPr>
        <w:tc>
          <w:tcPr>
            <w:tcW w:w="460" w:type="dxa"/>
            <w:vAlign w:val="bottom"/>
            <w:shd w:val="clear" w:color="auto" w:fill="CCEEFF"/>
          </w:tcPr>
          <w:p>
            <w:pPr>
              <w:spacing w:after="0"/>
              <w:rPr>
                <w:sz w:val="19"/>
                <w:szCs w:val="19"/>
                <w:color w:val="auto"/>
              </w:rPr>
            </w:pPr>
          </w:p>
        </w:tc>
        <w:tc>
          <w:tcPr>
            <w:tcW w:w="9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7"/>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2.</w:t>
            </w:r>
          </w:p>
        </w:tc>
        <w:tc>
          <w:tcPr>
            <w:tcW w:w="9300" w:type="dxa"/>
            <w:vAlign w:val="bottom"/>
          </w:tcPr>
          <w:p>
            <w:pPr>
              <w:ind w:left="40"/>
              <w:spacing w:after="0"/>
              <w:rPr>
                <w:sz w:val="20"/>
                <w:szCs w:val="20"/>
                <w:color w:val="auto"/>
              </w:rPr>
            </w:pPr>
            <w:r>
              <w:rPr>
                <w:rFonts w:ascii="Arial" w:cs="Arial" w:eastAsia="Arial" w:hAnsi="Arial"/>
                <w:sz w:val="14"/>
                <w:szCs w:val="14"/>
                <w:color w:val="auto"/>
              </w:rPr>
              <w:t>Unregistered Sales of Equity Securities and Use of Proceeds</w:t>
            </w:r>
          </w:p>
        </w:tc>
        <w:tc>
          <w:tcPr>
            <w:tcW w:w="1460" w:type="dxa"/>
            <w:vAlign w:val="bottom"/>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222"/>
        </w:trPr>
        <w:tc>
          <w:tcPr>
            <w:tcW w:w="460" w:type="dxa"/>
            <w:vAlign w:val="bottom"/>
            <w:shd w:val="clear" w:color="auto" w:fill="CCEEFF"/>
          </w:tcPr>
          <w:p>
            <w:pPr>
              <w:spacing w:after="0"/>
              <w:rPr>
                <w:sz w:val="19"/>
                <w:szCs w:val="19"/>
                <w:color w:val="auto"/>
              </w:rPr>
            </w:pPr>
          </w:p>
        </w:tc>
        <w:tc>
          <w:tcPr>
            <w:tcW w:w="9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6"/>
        </w:trPr>
        <w:tc>
          <w:tcPr>
            <w:tcW w:w="460" w:type="dxa"/>
            <w:vAlign w:val="bottom"/>
          </w:tcPr>
          <w:p>
            <w:pPr>
              <w:ind w:left="20"/>
              <w:spacing w:after="0"/>
              <w:rPr>
                <w:sz w:val="20"/>
                <w:szCs w:val="20"/>
                <w:color w:val="auto"/>
              </w:rPr>
            </w:pPr>
            <w:r>
              <w:rPr>
                <w:rFonts w:ascii="Arial" w:cs="Arial" w:eastAsia="Arial" w:hAnsi="Arial"/>
                <w:sz w:val="14"/>
                <w:szCs w:val="14"/>
                <w:color w:val="auto"/>
                <w:w w:val="98"/>
              </w:rPr>
              <w:t>Item 6.</w:t>
            </w:r>
          </w:p>
        </w:tc>
        <w:tc>
          <w:tcPr>
            <w:tcW w:w="9300" w:type="dxa"/>
            <w:vAlign w:val="bottom"/>
          </w:tcPr>
          <w:p>
            <w:pPr>
              <w:ind w:left="160"/>
              <w:spacing w:after="0"/>
              <w:rPr>
                <w:sz w:val="20"/>
                <w:szCs w:val="20"/>
                <w:color w:val="auto"/>
              </w:rPr>
            </w:pPr>
            <w:r>
              <w:rPr>
                <w:rFonts w:ascii="Arial" w:cs="Arial" w:eastAsia="Arial" w:hAnsi="Arial"/>
                <w:sz w:val="14"/>
                <w:szCs w:val="14"/>
                <w:color w:val="auto"/>
              </w:rPr>
              <w:t>Exhibits</w:t>
            </w:r>
          </w:p>
        </w:tc>
        <w:tc>
          <w:tcPr>
            <w:tcW w:w="1460" w:type="dxa"/>
            <w:vAlign w:val="bottom"/>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39</w:t>
              </w:r>
            </w:hyperlink>
          </w:p>
        </w:tc>
      </w:tr>
      <w:tr>
        <w:trPr>
          <w:trHeight w:val="222"/>
        </w:trPr>
        <w:tc>
          <w:tcPr>
            <w:tcW w:w="460" w:type="dxa"/>
            <w:vAlign w:val="bottom"/>
            <w:shd w:val="clear" w:color="auto" w:fill="CCEEFF"/>
          </w:tcPr>
          <w:p>
            <w:pPr>
              <w:spacing w:after="0"/>
              <w:rPr>
                <w:sz w:val="19"/>
                <w:szCs w:val="19"/>
                <w:color w:val="auto"/>
              </w:rPr>
            </w:pPr>
          </w:p>
        </w:tc>
        <w:tc>
          <w:tcPr>
            <w:tcW w:w="9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6"/>
        </w:trPr>
        <w:tc>
          <w:tcPr>
            <w:tcW w:w="460" w:type="dxa"/>
            <w:vAlign w:val="bottom"/>
          </w:tcPr>
          <w:p>
            <w:pPr>
              <w:spacing w:after="0"/>
              <w:rPr>
                <w:sz w:val="17"/>
                <w:szCs w:val="17"/>
                <w:color w:val="auto"/>
              </w:rPr>
            </w:pPr>
          </w:p>
        </w:tc>
        <w:tc>
          <w:tcPr>
            <w:tcW w:w="9300" w:type="dxa"/>
            <w:vAlign w:val="bottom"/>
          </w:tcPr>
          <w:p>
            <w:pPr>
              <w:ind w:left="320"/>
              <w:spacing w:after="0"/>
              <w:rPr>
                <w:sz w:val="20"/>
                <w:szCs w:val="20"/>
                <w:color w:val="auto"/>
              </w:rPr>
            </w:pPr>
            <w:r>
              <w:rPr>
                <w:rFonts w:ascii="Arial" w:cs="Arial" w:eastAsia="Arial" w:hAnsi="Arial"/>
                <w:sz w:val="14"/>
                <w:szCs w:val="14"/>
                <w:color w:val="auto"/>
              </w:rPr>
              <w:t>(a) Index of Exhibits</w:t>
            </w:r>
          </w:p>
        </w:tc>
        <w:tc>
          <w:tcPr>
            <w:tcW w:w="1460" w:type="dxa"/>
            <w:vAlign w:val="bottom"/>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39</w:t>
              </w:r>
            </w:hyperlink>
          </w:p>
        </w:tc>
      </w:tr>
      <w:tr>
        <w:trPr>
          <w:trHeight w:val="222"/>
        </w:trPr>
        <w:tc>
          <w:tcPr>
            <w:tcW w:w="9760" w:type="dxa"/>
            <w:vAlign w:val="bottom"/>
            <w:gridSpan w:val="2"/>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91"/>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Signature Page</w:t>
            </w:r>
          </w:p>
        </w:tc>
        <w:tc>
          <w:tcPr>
            <w:tcW w:w="1460" w:type="dxa"/>
            <w:vAlign w:val="bottom"/>
          </w:tcPr>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7"/>
        </w:trPr>
        <w:tc>
          <w:tcPr>
            <w:tcW w:w="6100" w:type="dxa"/>
            <w:vAlign w:val="bottom"/>
          </w:tcPr>
          <w:p>
            <w:pPr>
              <w:ind w:left="120"/>
              <w:spacing w:after="0"/>
              <w:rPr>
                <w:sz w:val="20"/>
                <w:szCs w:val="20"/>
                <w:color w:val="auto"/>
              </w:rPr>
            </w:pPr>
            <w:r>
              <w:rPr>
                <w:rFonts w:ascii="Arial" w:cs="Arial" w:eastAsia="Arial" w:hAnsi="Arial"/>
                <w:sz w:val="14"/>
                <w:szCs w:val="14"/>
                <w:color w:val="auto"/>
              </w:rPr>
              <w:t>Service and other</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110,006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112,719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239,405</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212,798</w:t>
            </w:r>
          </w:p>
        </w:tc>
      </w:tr>
      <w:tr>
        <w:trPr>
          <w:trHeight w:val="208"/>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14,115</w:t>
            </w:r>
          </w:p>
        </w:tc>
      </w:tr>
      <w:tr>
        <w:trPr>
          <w:trHeight w:val="197"/>
        </w:trPr>
        <w:tc>
          <w:tcPr>
            <w:tcW w:w="61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Product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3,790</w:t>
            </w:r>
          </w:p>
        </w:tc>
      </w:tr>
      <w:tr>
        <w:trPr>
          <w:trHeight w:val="202"/>
        </w:trPr>
        <w:tc>
          <w:tcPr>
            <w:tcW w:w="6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114,702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122,153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253,494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230,703</w:t>
            </w:r>
          </w:p>
        </w:tc>
      </w:tr>
      <w:tr>
        <w:trPr>
          <w:trHeight w:val="176"/>
        </w:trPr>
        <w:tc>
          <w:tcPr>
            <w:tcW w:w="61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9"/>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and other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78,860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174,904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150,303</w:t>
            </w:r>
          </w:p>
        </w:tc>
      </w:tr>
      <w:tr>
        <w:trPr>
          <w:trHeight w:val="196"/>
        </w:trPr>
        <w:tc>
          <w:tcPr>
            <w:tcW w:w="6100" w:type="dxa"/>
            <w:vAlign w:val="bottom"/>
          </w:tcPr>
          <w:p>
            <w:pPr>
              <w:ind w:left="120"/>
              <w:spacing w:after="0"/>
              <w:rPr>
                <w:sz w:val="20"/>
                <w:szCs w:val="20"/>
                <w:color w:val="auto"/>
              </w:rPr>
            </w:pPr>
            <w:r>
              <w:rPr>
                <w:rFonts w:ascii="Arial" w:cs="Arial" w:eastAsia="Arial" w:hAnsi="Arial"/>
                <w:sz w:val="14"/>
                <w:szCs w:val="14"/>
                <w:color w:val="auto"/>
              </w:rPr>
              <w:t>Rental costs</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6,357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8,428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11,507</w:t>
            </w:r>
          </w:p>
        </w:tc>
      </w:tr>
      <w:tr>
        <w:trPr>
          <w:trHeight w:val="209"/>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3,060</w:t>
            </w:r>
          </w:p>
        </w:tc>
      </w:tr>
      <w:tr>
        <w:trPr>
          <w:trHeight w:val="196"/>
        </w:trPr>
        <w:tc>
          <w:tcPr>
            <w:tcW w:w="61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12,530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25,427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28,626</w:t>
            </w:r>
          </w:p>
        </w:tc>
      </w:tr>
      <w:tr>
        <w:trPr>
          <w:trHeight w:val="209"/>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47,707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61,778</w:t>
            </w:r>
          </w:p>
        </w:tc>
      </w:tr>
      <w:tr>
        <w:trPr>
          <w:trHeight w:val="196"/>
        </w:trPr>
        <w:tc>
          <w:tcPr>
            <w:tcW w:w="610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4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5,546</w:t>
            </w:r>
          </w:p>
        </w:tc>
      </w:tr>
      <w:tr>
        <w:trPr>
          <w:trHeight w:val="203"/>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r>
      <w:tr>
        <w:trPr>
          <w:trHeight w:val="196"/>
        </w:trPr>
        <w:tc>
          <w:tcPr>
            <w:tcW w:w="6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116,543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134,209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404,404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260,652</w:t>
            </w:r>
          </w:p>
        </w:tc>
      </w:tr>
      <w:tr>
        <w:trPr>
          <w:trHeight w:val="202"/>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(150,910)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(29,949)</w:t>
            </w:r>
          </w:p>
        </w:tc>
      </w:tr>
      <w:tr>
        <w:trPr>
          <w:trHeight w:val="216"/>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(13,355)</w:t>
            </w: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49</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12,642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12,667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4,033</w:t>
            </w:r>
          </w:p>
        </w:tc>
      </w:tr>
      <w:tr>
        <w:trPr>
          <w:trHeight w:val="196"/>
        </w:trPr>
        <w:tc>
          <w:tcPr>
            <w:tcW w:w="610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6,951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(17,699)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(147,672)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(39,222)</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8,689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7,334</w:t>
            </w: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6,829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(14,849)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(138,983)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(31,888)</w:t>
            </w:r>
          </w:p>
        </w:tc>
      </w:tr>
      <w:tr>
        <w:trPr>
          <w:trHeight w:val="203"/>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6,607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(14,849)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(139,463)</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(31,888)</w:t>
            </w:r>
          </w:p>
        </w:tc>
      </w:tr>
      <w:tr>
        <w:trPr>
          <w:trHeight w:val="203"/>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920</w:t>
            </w:r>
          </w:p>
        </w:tc>
      </w:tr>
      <w:tr>
        <w:trPr>
          <w:trHeight w:val="202"/>
        </w:trPr>
        <w:tc>
          <w:tcPr>
            <w:tcW w:w="6100" w:type="dxa"/>
            <w:vAlign w:val="bottom"/>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(15,310)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(140,402)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(32,808)</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6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6"/>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9"/>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Per Share Data (see Note </w:t>
            </w:r>
            <w:r>
              <w:rPr>
                <w:rFonts w:ascii="Arial" w:cs="Arial" w:eastAsia="Arial" w:hAnsi="Arial"/>
                <w:sz w:val="14"/>
                <w:szCs w:val="14"/>
                <w:color w:val="auto"/>
              </w:rPr>
              <w:t>8</w:t>
            </w:r>
            <w:r>
              <w:rPr>
                <w:rFonts w:ascii="Arial" w:cs="Arial" w:eastAsia="Arial" w:hAnsi="Arial"/>
                <w:sz w:val="14"/>
                <w:szCs w:val="14"/>
                <w:b w:val="1"/>
                <w:bCs w:val="1"/>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(0.20)</w:t>
            </w:r>
          </w:p>
        </w:tc>
      </w:tr>
      <w:tr>
        <w:trPr>
          <w:trHeight w:val="222"/>
        </w:trPr>
        <w:tc>
          <w:tcPr>
            <w:tcW w:w="6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(0.20)</w:t>
            </w:r>
          </w:p>
        </w:tc>
      </w:tr>
      <w:tr>
        <w:trPr>
          <w:trHeight w:val="222"/>
        </w:trPr>
        <w:tc>
          <w:tcPr>
            <w:tcW w:w="6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6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169,812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167,532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169,165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166,437</w:t>
            </w:r>
          </w:p>
        </w:tc>
      </w:tr>
      <w:tr>
        <w:trPr>
          <w:trHeight w:val="191"/>
        </w:trPr>
        <w:tc>
          <w:tcPr>
            <w:tcW w:w="6100" w:type="dxa"/>
            <w:vAlign w:val="bottom"/>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169,990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167,532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169,165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166,437</w:t>
            </w:r>
          </w:p>
        </w:tc>
      </w:tr>
    </w:tbl>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00" w:top="1417" w:right="49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r>
        <w:trPr>
          <w:trHeight w:val="242"/>
        </w:trPr>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97"/>
        </w:trPr>
        <w:tc>
          <w:tcPr>
            <w:tcW w:w="6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6,829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(138,983)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(31,888)</w:t>
            </w:r>
          </w:p>
        </w:tc>
      </w:tr>
      <w:tr>
        <w:trPr>
          <w:trHeight w:val="134"/>
        </w:trPr>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3"/>
        </w:trPr>
        <w:tc>
          <w:tcPr>
            <w:tcW w:w="6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income (loss), net of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7"/>
        </w:trPr>
        <w:tc>
          <w:tcPr>
            <w:tcW w:w="60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Foreign currency translation adjustment, net of zero taxes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29,385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(19,156)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6,463</w:t>
            </w:r>
          </w:p>
        </w:tc>
      </w:tr>
      <w:tr>
        <w:trPr>
          <w:trHeight w:val="196"/>
        </w:trPr>
        <w:tc>
          <w:tcPr>
            <w:tcW w:w="6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other comprehensive income (loss), net of taxes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29,385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(19,156)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6,463</w:t>
            </w:r>
          </w:p>
        </w:tc>
      </w:tr>
      <w:tr>
        <w:trPr>
          <w:trHeight w:val="135"/>
        </w:trPr>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03"/>
        </w:trPr>
        <w:tc>
          <w:tcPr>
            <w:tcW w:w="60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36,214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(158,139)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(25,425)</w:t>
            </w:r>
          </w:p>
        </w:tc>
      </w:tr>
      <w:tr>
        <w:trPr>
          <w:trHeight w:val="197"/>
        </w:trPr>
        <w:tc>
          <w:tcPr>
            <w:tcW w:w="6020" w:type="dxa"/>
            <w:vAlign w:val="bottom"/>
            <w:gridSpan w:val="3"/>
          </w:tcPr>
          <w:p>
            <w:pPr>
              <w:ind w:left="1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7"/>
        </w:trPr>
        <w:tc>
          <w:tcPr>
            <w:tcW w:w="1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3"/>
              </w:rPr>
              <w:t>Comprehensive incom</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shd w:val="clear" w:color="auto" w:fill="CCEEFF"/>
              </w:rPr>
              <w:t>e (loss) att</w:t>
            </w: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ributable to Civeo Corporation</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(25,425)</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417" w:right="53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Excluding Share Amounts)</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Prepaid expenses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Assets held for sale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204" w:lineRule="exact"/>
        <w:rPr>
          <w:sz w:val="20"/>
          <w:szCs w:val="20"/>
          <w:color w:val="auto"/>
        </w:rPr>
      </w:pPr>
    </w:p>
    <w:p>
      <w:pPr>
        <w:ind w:left="20" w:right="20"/>
        <w:spacing w:after="0" w:line="301" w:lineRule="auto"/>
        <w:rPr>
          <w:sz w:val="20"/>
          <w:szCs w:val="20"/>
          <w:color w:val="auto"/>
        </w:rPr>
      </w:pPr>
      <w:r>
        <w:rPr>
          <w:rFonts w:ascii="Arial" w:cs="Arial" w:eastAsia="Arial" w:hAnsi="Arial"/>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intangible assets, net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lease right-of-use assets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assets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188"/>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0"/>
              </w:rPr>
              <w:t>June 30,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7"/>
              </w:rPr>
              <w:t>December 31, 2019</w:t>
            </w:r>
          </w:p>
        </w:tc>
      </w:tr>
      <w:tr>
        <w:trPr>
          <w:trHeight w:val="190"/>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(Unaudited)</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4420" w:type="dxa"/>
            <w:vAlign w:val="bottom"/>
            <w:gridSpan w:val="2"/>
          </w:tcPr>
          <w:p>
            <w:pPr>
              <w:jc w:val="right"/>
              <w:ind w:right="3900"/>
              <w:spacing w:after="0"/>
              <w:rPr>
                <w:sz w:val="20"/>
                <w:szCs w:val="20"/>
                <w:color w:val="auto"/>
              </w:rPr>
            </w:pPr>
            <w:r>
              <w:rPr>
                <w:rFonts w:ascii="Arial" w:cs="Arial" w:eastAsia="Arial" w:hAnsi="Arial"/>
                <w:sz w:val="14"/>
                <w:szCs w:val="14"/>
                <w:color w:val="auto"/>
                <w:w w:val="90"/>
              </w:rPr>
              <w:t>ASSETS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567"/>
        </w:trPr>
        <w:tc>
          <w:tcPr>
            <w:tcW w:w="4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7,311</w:t>
            </w:r>
          </w:p>
        </w:tc>
        <w:tc>
          <w:tcPr>
            <w:tcW w:w="10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3,331</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85,553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99,493</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7,683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5,877</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7,482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7,247</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9,910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7,904</w:t>
            </w:r>
          </w:p>
        </w:tc>
      </w:tr>
      <w:tr>
        <w:trPr>
          <w:trHeight w:val="209"/>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7,589</w:t>
            </w:r>
          </w:p>
        </w:tc>
      </w:tr>
      <w:tr>
        <w:trPr>
          <w:trHeight w:val="190"/>
        </w:trPr>
        <w:tc>
          <w:tcPr>
            <w:tcW w:w="4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117,939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131,441</w:t>
            </w:r>
          </w:p>
        </w:tc>
      </w:tr>
      <w:tr>
        <w:trPr>
          <w:trHeight w:val="364"/>
        </w:trPr>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486,815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590,309</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7,778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110,173</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100,423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111,837</w:t>
            </w:r>
          </w:p>
        </w:tc>
      </w:tr>
      <w:tr>
        <w:trPr>
          <w:trHeight w:val="203"/>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21,065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24,876</w:t>
            </w:r>
          </w:p>
        </w:tc>
      </w:tr>
      <w:tr>
        <w:trPr>
          <w:trHeight w:val="208"/>
        </w:trPr>
        <w:tc>
          <w:tcPr>
            <w:tcW w:w="4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1,276</w:t>
            </w:r>
          </w:p>
        </w:tc>
      </w:tr>
      <w:tr>
        <w:trPr>
          <w:trHeight w:val="196"/>
        </w:trPr>
        <w:tc>
          <w:tcPr>
            <w:tcW w:w="4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734,583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969,912</w:t>
            </w:r>
          </w:p>
        </w:tc>
      </w:tr>
      <w:tr>
        <w:trPr>
          <w:trHeight w:val="27"/>
        </w:trPr>
        <w:tc>
          <w:tcPr>
            <w:tcW w:w="4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-2185670</wp:posOffset>
            </wp:positionV>
            <wp:extent cx="710628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-1953895</wp:posOffset>
            </wp:positionV>
            <wp:extent cx="710628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-1696720</wp:posOffset>
            </wp:positionV>
            <wp:extent cx="710628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-1439545</wp:posOffset>
            </wp:positionV>
            <wp:extent cx="71062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-1182370</wp:posOffset>
            </wp:positionV>
            <wp:extent cx="71062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-916305</wp:posOffset>
            </wp:positionV>
            <wp:extent cx="710628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0287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-685165</wp:posOffset>
            </wp:positionV>
            <wp:extent cx="710628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-427990</wp:posOffset>
            </wp:positionV>
            <wp:extent cx="71062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-170815</wp:posOffset>
            </wp:positionV>
            <wp:extent cx="71062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85725</wp:posOffset>
            </wp:positionV>
            <wp:extent cx="71062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195" w:lineRule="exact"/>
        <w:rPr>
          <w:sz w:val="20"/>
          <w:szCs w:val="20"/>
          <w:color w:val="auto"/>
        </w:rPr>
      </w:pPr>
    </w:p>
    <w:p>
      <w:pPr>
        <w:sectPr>
          <w:pgSz w:w="11900" w:h="16838" w:orient="portrait"/>
          <w:cols w:equalWidth="0" w:num="2">
            <w:col w:w="2020" w:space="400"/>
            <w:col w:w="8780"/>
          </w:cols>
          <w:pgMar w:left="320" w:top="1417" w:right="37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35,168</w:t>
            </w:r>
          </w:p>
        </w:tc>
        <w:tc>
          <w:tcPr>
            <w:tcW w:w="10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36,971</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21,755</w:t>
            </w:r>
          </w:p>
        </w:tc>
        <w:tc>
          <w:tcPr>
            <w:tcW w:w="0" w:type="dxa"/>
            <w:vAlign w:val="bottom"/>
          </w:tcPr>
          <w:p>
            <w:pPr>
              <w:spacing w:after="0"/>
              <w:rPr>
                <w:sz w:val="1"/>
                <w:szCs w:val="1"/>
                <w:color w:val="auto"/>
              </w:rPr>
            </w:pPr>
          </w:p>
        </w:tc>
      </w:tr>
      <w:tr>
        <w:trPr>
          <w:trHeight w:val="196"/>
        </w:trPr>
        <w:tc>
          <w:tcPr>
            <w:tcW w:w="782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33,510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35,080</w:t>
            </w:r>
          </w:p>
        </w:tc>
        <w:tc>
          <w:tcPr>
            <w:tcW w:w="0" w:type="dxa"/>
            <w:vAlign w:val="bottom"/>
          </w:tcPr>
          <w:p>
            <w:pPr>
              <w:spacing w:after="0"/>
              <w:rPr>
                <w:sz w:val="1"/>
                <w:szCs w:val="1"/>
                <w:color w:val="auto"/>
              </w:rPr>
            </w:pPr>
          </w:p>
        </w:tc>
      </w:tr>
      <w:tr>
        <w:trPr>
          <w:trHeight w:val="196"/>
        </w:trPr>
        <w:tc>
          <w:tcPr>
            <w:tcW w:w="782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7,853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liabilities</w:t>
            </w: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5,484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8,741</w:t>
            </w:r>
          </w:p>
        </w:tc>
        <w:tc>
          <w:tcPr>
            <w:tcW w:w="0" w:type="dxa"/>
            <w:vAlign w:val="bottom"/>
          </w:tcPr>
          <w:p>
            <w:pPr>
              <w:spacing w:after="0"/>
              <w:rPr>
                <w:sz w:val="1"/>
                <w:szCs w:val="1"/>
                <w:color w:val="auto"/>
              </w:rPr>
            </w:pPr>
          </w:p>
        </w:tc>
      </w:tr>
      <w:tr>
        <w:trPr>
          <w:trHeight w:val="196"/>
        </w:trPr>
        <w:tc>
          <w:tcPr>
            <w:tcW w:w="78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99,496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110,040</w:t>
            </w:r>
          </w:p>
        </w:tc>
        <w:tc>
          <w:tcPr>
            <w:tcW w:w="0" w:type="dxa"/>
            <w:vAlign w:val="bottom"/>
          </w:tcPr>
          <w:p>
            <w:pPr>
              <w:spacing w:after="0"/>
              <w:rPr>
                <w:sz w:val="1"/>
                <w:szCs w:val="1"/>
                <w:color w:val="auto"/>
              </w:rPr>
            </w:pPr>
          </w:p>
        </w:tc>
      </w:tr>
      <w:tr>
        <w:trPr>
          <w:trHeight w:val="168"/>
        </w:trPr>
        <w:tc>
          <w:tcPr>
            <w:tcW w:w="7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264,522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321,792</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9,452</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18,541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17,781</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196"/>
        </w:trPr>
        <w:tc>
          <w:tcPr>
            <w:tcW w:w="7820" w:type="dxa"/>
            <w:vAlign w:val="bottom"/>
          </w:tcPr>
          <w:p>
            <w:pPr>
              <w:ind w:left="12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400,340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479,107</w:t>
            </w:r>
          </w:p>
        </w:tc>
        <w:tc>
          <w:tcPr>
            <w:tcW w:w="0" w:type="dxa"/>
            <w:vAlign w:val="bottom"/>
          </w:tcPr>
          <w:p>
            <w:pPr>
              <w:spacing w:after="0"/>
              <w:rPr>
                <w:sz w:val="1"/>
                <w:szCs w:val="1"/>
                <w:color w:val="auto"/>
              </w:rPr>
            </w:pPr>
          </w:p>
        </w:tc>
      </w:tr>
      <w:tr>
        <w:trPr>
          <w:trHeight w:val="168"/>
        </w:trPr>
        <w:tc>
          <w:tcPr>
            <w:tcW w:w="7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8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78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3"/>
              </w:rPr>
              <w:t>Preferred shares (Class A Series 1, no par value; 50,000,000 shares authorized, 9,042, shares issued and outstanding, respectively;</w:t>
            </w:r>
          </w:p>
        </w:tc>
        <w:tc>
          <w:tcPr>
            <w:tcW w:w="4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59,068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58,129</w:t>
            </w: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liquidation preference of $94,566 and $93,627 as of June 30, 2020 and December 31, 2019)</w:t>
            </w:r>
          </w:p>
        </w:tc>
        <w:tc>
          <w:tcPr>
            <w:tcW w:w="4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20" w:type="dxa"/>
            <w:vAlign w:val="bottom"/>
          </w:tcPr>
          <w:p>
            <w:pPr>
              <w:ind w:left="140"/>
              <w:spacing w:after="0" w:line="135" w:lineRule="exact"/>
              <w:rPr>
                <w:sz w:val="20"/>
                <w:szCs w:val="20"/>
                <w:color w:val="auto"/>
              </w:rPr>
            </w:pPr>
            <w:r>
              <w:rPr>
                <w:rFonts w:ascii="Arial" w:cs="Arial" w:eastAsia="Arial" w:hAnsi="Arial"/>
                <w:sz w:val="14"/>
                <w:szCs w:val="14"/>
                <w:color w:val="auto"/>
                <w:w w:val="91"/>
              </w:rPr>
              <w:t>Common shares (no par value; 550,000,000 shares authorized, 173,742,579 shares and 171,656,039 shares issued, respectively, and</w:t>
            </w:r>
          </w:p>
        </w:tc>
        <w:tc>
          <w:tcPr>
            <w:tcW w:w="480" w:type="dxa"/>
            <w:vAlign w:val="bottom"/>
          </w:tcPr>
          <w:p>
            <w:pPr>
              <w:spacing w:after="0"/>
              <w:rPr>
                <w:sz w:val="11"/>
                <w:szCs w:val="11"/>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820" w:type="dxa"/>
            <w:vAlign w:val="bottom"/>
          </w:tcPr>
          <w:p>
            <w:pPr>
              <w:ind w:left="140"/>
              <w:spacing w:after="0"/>
              <w:rPr>
                <w:sz w:val="20"/>
                <w:szCs w:val="20"/>
                <w:color w:val="auto"/>
              </w:rPr>
            </w:pPr>
            <w:r>
              <w:rPr>
                <w:rFonts w:ascii="Arial" w:cs="Arial" w:eastAsia="Arial" w:hAnsi="Arial"/>
                <w:sz w:val="14"/>
                <w:szCs w:val="14"/>
                <w:color w:val="auto"/>
              </w:rPr>
              <w:t>170,578,068 shares and 169,556,403 shares outstanding, respectively)</w:t>
            </w:r>
          </w:p>
        </w:tc>
        <w:tc>
          <w:tcPr>
            <w:tcW w:w="4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1,575,788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1,572,249</w:t>
            </w:r>
          </w:p>
        </w:tc>
        <w:tc>
          <w:tcPr>
            <w:tcW w:w="0" w:type="dxa"/>
            <w:vAlign w:val="bottom"/>
          </w:tcPr>
          <w:p>
            <w:pPr>
              <w:spacing w:after="0"/>
              <w:rPr>
                <w:sz w:val="1"/>
                <w:szCs w:val="1"/>
                <w:color w:val="auto"/>
              </w:rPr>
            </w:pPr>
          </w:p>
        </w:tc>
      </w:tr>
      <w:tr>
        <w:trPr>
          <w:trHeight w:val="197"/>
        </w:trPr>
        <w:tc>
          <w:tcPr>
            <w:tcW w:w="7820" w:type="dxa"/>
            <w:vAlign w:val="bottom"/>
          </w:tcPr>
          <w:p>
            <w:pPr>
              <w:ind w:left="120"/>
              <w:spacing w:after="0"/>
              <w:rPr>
                <w:sz w:val="20"/>
                <w:szCs w:val="20"/>
                <w:color w:val="auto"/>
              </w:rPr>
            </w:pPr>
            <w:r>
              <w:rPr>
                <w:rFonts w:ascii="Arial" w:cs="Arial" w:eastAsia="Arial" w:hAnsi="Arial"/>
                <w:sz w:val="14"/>
                <w:szCs w:val="14"/>
                <w:color w:val="auto"/>
              </w:rPr>
              <w:t>Accumulated deficit</w:t>
            </w:r>
          </w:p>
        </w:tc>
        <w:tc>
          <w:tcPr>
            <w:tcW w:w="48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(911,992)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(771,590)</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shares held in treasury at cost, 3,164,511 and 2,099,636 shares, respectively</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(5,472)</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(382,315)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(363,173)</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Civeo Corporation shareholders’ equity</w:t>
            </w: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333,619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490,143</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shareholders’ equity</w:t>
            </w: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334,243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490,805</w:t>
            </w:r>
          </w:p>
        </w:tc>
        <w:tc>
          <w:tcPr>
            <w:tcW w:w="0" w:type="dxa"/>
            <w:vAlign w:val="bottom"/>
          </w:tcPr>
          <w:p>
            <w:pPr>
              <w:spacing w:after="0"/>
              <w:rPr>
                <w:sz w:val="1"/>
                <w:szCs w:val="1"/>
                <w:color w:val="auto"/>
              </w:rPr>
            </w:pPr>
          </w:p>
        </w:tc>
      </w:tr>
      <w:tr>
        <w:trPr>
          <w:trHeight w:val="202"/>
        </w:trPr>
        <w:tc>
          <w:tcPr>
            <w:tcW w:w="782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734,583</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969,912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320" w:top="14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Preferred</w:t>
            </w:r>
          </w:p>
        </w:tc>
        <w:tc>
          <w:tcPr>
            <w:tcW w:w="80" w:type="dxa"/>
            <w:vAlign w:val="bottom"/>
          </w:tcPr>
          <w:p>
            <w:pPr>
              <w:spacing w:after="0"/>
              <w:rPr>
                <w:sz w:val="12"/>
                <w:szCs w:val="12"/>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48"/>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92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174"/>
        </w:trPr>
        <w:tc>
          <w:tcPr>
            <w:tcW w:w="2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56,739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6"/>
              </w:rPr>
              <w:t>1,564,667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(728,748)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(365,870)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521,317</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(14,849)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(14,849)</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 for acquisitions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20" w:type="dxa"/>
            <w:vAlign w:val="bottom"/>
          </w:tcPr>
          <w:p>
            <w:pPr>
              <w:ind w:left="2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57,200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6"/>
              </w:rPr>
              <w:t>1,567,162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auto"/>
              </w:rPr>
              <w:t>(744,058)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(5,472)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(364,786)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510,046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58,597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6"/>
              </w:rPr>
              <w:t>1,574,457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auto"/>
              </w:rPr>
              <w:t>(918,128)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(6,914)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(411,619)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296,945</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29,304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29,385</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57"/>
        </w:trPr>
        <w:tc>
          <w:tcPr>
            <w:tcW w:w="2720" w:type="dxa"/>
            <w:vAlign w:val="bottom"/>
          </w:tcPr>
          <w:p>
            <w:pPr>
              <w:ind w:left="20"/>
              <w:spacing w:after="0" w:line="157" w:lineRule="exact"/>
              <w:rPr>
                <w:sz w:val="20"/>
                <w:szCs w:val="20"/>
                <w:color w:val="auto"/>
              </w:rPr>
            </w:pPr>
            <w:r>
              <w:rPr>
                <w:rFonts w:ascii="Arial" w:cs="Arial" w:eastAsia="Arial" w:hAnsi="Arial"/>
                <w:sz w:val="14"/>
                <w:szCs w:val="14"/>
                <w:color w:val="auto"/>
              </w:rPr>
              <w:t>Dividends attributable to Class A preferred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1,331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59,068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6"/>
              </w:rPr>
              <w:t>1,575,788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auto"/>
              </w:rPr>
              <w:t>(911,992)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(6,930)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(382,315)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334,243</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b w:val="1"/>
                <w:bCs w:val="1"/>
                <w:color w:val="auto"/>
              </w:rPr>
              <w:t>56,280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6"/>
              </w:rPr>
              <w:t>1,562,133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auto"/>
              </w:rPr>
              <w:t>(710,551)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(1,189)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(371,249)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535,424</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(31,888)</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6,463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6,463</w:t>
            </w: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paid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Arial" w:cs="Arial" w:eastAsia="Arial" w:hAnsi="Arial"/>
                <w:sz w:val="14"/>
                <w:szCs w:val="14"/>
                <w:color w:val="auto"/>
                <w:w w:val="98"/>
              </w:rPr>
              <w:t>Cumulative effect of implementation of ASU</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Arial" w:cs="Arial" w:eastAsia="Arial" w:hAnsi="Arial"/>
                <w:sz w:val="14"/>
                <w:szCs w:val="14"/>
                <w:color w:val="auto"/>
              </w:rPr>
              <w:t>2014-09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attributable to Class A preferred</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5,029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57,200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6"/>
              </w:rPr>
              <w:t>1,567,162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(744,058)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(364,786)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510,046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58,129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6"/>
              </w:rPr>
              <w:t>1,572,249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(771,590)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(363,173)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490,805</w:t>
            </w: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(139,463)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(138,983)</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(19,156)</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attributable to Class A preferred</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color w:val="auto"/>
              </w:rPr>
              <w:t>3,539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2,081</w:t>
            </w: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59,068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6"/>
              </w:rPr>
              <w:t>1,575,788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(911,992)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(382,315)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334,243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Shares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Shares (in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9,042</w:t>
            </w:r>
          </w:p>
        </w:tc>
        <w:tc>
          <w:tcPr>
            <w:tcW w:w="8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169,556</w:t>
            </w:r>
          </w:p>
        </w:tc>
        <w:tc>
          <w:tcPr>
            <w:tcW w:w="10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9,042</w:t>
            </w:r>
          </w:p>
        </w:tc>
        <w:tc>
          <w:tcPr>
            <w:tcW w:w="8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4"/>
                <w:szCs w:val="14"/>
                <w:b w:val="1"/>
                <w:bCs w:val="1"/>
                <w:color w:val="auto"/>
              </w:rPr>
              <w:t>170,578</w:t>
            </w:r>
          </w:p>
        </w:tc>
        <w:tc>
          <w:tcPr>
            <w:tcW w:w="100" w:type="dxa"/>
            <w:vAlign w:val="bottom"/>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320" w:top="14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type w:val="continuous"/>
        </w:sectPr>
      </w:pPr>
    </w:p>
    <w:bookmarkStart w:id="7" w:name="page8"/>
    <w:bookmarkEnd w:id="7"/>
    <w:p>
      <w:pPr>
        <w:jc w:val="center"/>
        <w:ind w:right="-4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13335</wp:posOffset>
            </wp:positionV>
            <wp:extent cx="1868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(138,983)</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(31,888)</w:t>
            </w: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47,707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61,778</w:t>
            </w: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charges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5,546</w:t>
            </w: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Deferred income tax benefit</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(7,855)</w:t>
            </w: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compensation charge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5,029</w:t>
            </w: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Gains on disposals of assets</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(1,371)</w:t>
            </w: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(benefit) for loss on receivables, net of recoveries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1,444</w:t>
            </w: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7"/>
        </w:trPr>
        <w:tc>
          <w:tcPr>
            <w:tcW w:w="802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10,231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(18,616)</w:t>
            </w:r>
          </w:p>
        </w:tc>
      </w:tr>
      <w:tr>
        <w:trPr>
          <w:trHeight w:val="208"/>
        </w:trPr>
        <w:tc>
          <w:tcPr>
            <w:tcW w:w="8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197"/>
        </w:trPr>
        <w:tc>
          <w:tcPr>
            <w:tcW w:w="802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135</w:t>
            </w:r>
          </w:p>
        </w:tc>
      </w:tr>
      <w:tr>
        <w:trPr>
          <w:trHeight w:val="208"/>
        </w:trPr>
        <w:tc>
          <w:tcPr>
            <w:tcW w:w="8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Taxes payable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w:t>
            </w:r>
          </w:p>
        </w:tc>
      </w:tr>
      <w:tr>
        <w:trPr>
          <w:trHeight w:val="197"/>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(4,427)</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9,960</w:t>
            </w:r>
          </w:p>
        </w:tc>
      </w:tr>
      <w:tr>
        <w:trPr>
          <w:trHeight w:val="108"/>
        </w:trPr>
        <w:tc>
          <w:tcPr>
            <w:tcW w:w="8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8020" w:type="dxa"/>
            <w:vAlign w:val="bottom"/>
          </w:tcPr>
          <w:p>
            <w:pPr>
              <w:ind w:left="12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(21,208)</w:t>
            </w:r>
          </w:p>
        </w:tc>
      </w:tr>
      <w:tr>
        <w:trPr>
          <w:trHeight w:val="209"/>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disposition of property, plant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4,448</w:t>
            </w:r>
          </w:p>
        </w:tc>
      </w:tr>
      <w:tr>
        <w:trPr>
          <w:trHeight w:val="196"/>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1,762</w:t>
            </w:r>
          </w:p>
        </w:tc>
      </w:tr>
      <w:tr>
        <w:trPr>
          <w:trHeight w:val="202"/>
        </w:trPr>
        <w:tc>
          <w:tcPr>
            <w:tcW w:w="8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flows provided by (used in) 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(14,998)</w:t>
            </w:r>
          </w:p>
        </w:tc>
      </w:tr>
      <w:tr>
        <w:trPr>
          <w:trHeight w:val="108"/>
        </w:trPr>
        <w:tc>
          <w:tcPr>
            <w:tcW w:w="8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Revolving credit borrowings</w:t>
            </w: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122,320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135,862</w:t>
            </w: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Revolving credit repayments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(108,108)</w:t>
            </w:r>
          </w:p>
        </w:tc>
      </w:tr>
      <w:tr>
        <w:trPr>
          <w:trHeight w:val="197"/>
        </w:trPr>
        <w:tc>
          <w:tcPr>
            <w:tcW w:w="8020" w:type="dxa"/>
            <w:vAlign w:val="bottom"/>
          </w:tcPr>
          <w:p>
            <w:pPr>
              <w:ind w:left="120"/>
              <w:spacing w:after="0"/>
              <w:rPr>
                <w:sz w:val="20"/>
                <w:szCs w:val="20"/>
                <w:color w:val="auto"/>
              </w:rPr>
            </w:pPr>
            <w:r>
              <w:rPr>
                <w:rFonts w:ascii="Arial" w:cs="Arial" w:eastAsia="Arial" w:hAnsi="Arial"/>
                <w:sz w:val="14"/>
                <w:szCs w:val="14"/>
                <w:color w:val="auto"/>
              </w:rPr>
              <w:t>Term loan repayments</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(17,398)</w:t>
            </w:r>
          </w:p>
        </w:tc>
      </w:tr>
      <w:tr>
        <w:trPr>
          <w:trHeight w:val="203"/>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paid on vested shares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(4,283)</w:t>
            </w:r>
          </w:p>
        </w:tc>
      </w:tr>
      <w:tr>
        <w:trPr>
          <w:trHeight w:val="196"/>
        </w:trPr>
        <w:tc>
          <w:tcPr>
            <w:tcW w:w="8020" w:type="dxa"/>
            <w:vAlign w:val="bottom"/>
          </w:tcPr>
          <w:p>
            <w:pPr>
              <w:ind w:left="340"/>
              <w:spacing w:after="0"/>
              <w:rPr>
                <w:sz w:val="20"/>
                <w:szCs w:val="20"/>
                <w:color w:val="auto"/>
              </w:rPr>
            </w:pPr>
            <w:r>
              <w:rPr>
                <w:rFonts w:ascii="Arial" w:cs="Arial" w:eastAsia="Arial" w:hAnsi="Arial"/>
                <w:sz w:val="14"/>
                <w:szCs w:val="14"/>
                <w:color w:val="auto"/>
              </w:rPr>
              <w:t>Net cash flows provided by (used in) financing activities</w:t>
            </w: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6,073</w:t>
            </w:r>
          </w:p>
        </w:tc>
      </w:tr>
      <w:tr>
        <w:trPr>
          <w:trHeight w:val="114"/>
        </w:trPr>
        <w:tc>
          <w:tcPr>
            <w:tcW w:w="8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1,087</w:t>
            </w: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12,372</w:t>
            </w:r>
          </w:p>
        </w:tc>
      </w:tr>
      <w:tr>
        <w:trPr>
          <w:trHeight w:val="94"/>
        </w:trPr>
        <w:tc>
          <w:tcPr>
            <w:tcW w:w="80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7,311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13,459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Non-cash financing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dividends paid-in-kind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920</w:t>
            </w:r>
          </w:p>
        </w:tc>
      </w:tr>
    </w:tbl>
    <w:p>
      <w:pPr>
        <w:spacing w:after="0" w:line="20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and gas companies, mining companies, engineering companies and oilfield and mining service companies. We operate in three principal reportable business segments – Canada, Australia and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2019.</w:t>
      </w:r>
    </w:p>
    <w:p>
      <w:pPr>
        <w:spacing w:after="0" w:line="19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adopted ASU 2016-13 as of January 1, 2020. The adoption of this new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the U.S., and major categories for the periods indicated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4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Canada</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40,204</w:t>
            </w:r>
          </w:p>
        </w:tc>
        <w:tc>
          <w:tcPr>
            <w:tcW w:w="12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66,183</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106,270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123,835</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2,600</w:t>
            </w: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6,710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9,086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17,423</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Manufacturing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1,014</w:t>
            </w:r>
          </w:p>
        </w:tc>
      </w:tr>
      <w:tr>
        <w:trPr>
          <w:trHeight w:val="217"/>
        </w:trPr>
        <w:tc>
          <w:tcPr>
            <w:tcW w:w="5580" w:type="dxa"/>
            <w:vAlign w:val="bottom"/>
          </w:tcPr>
          <w:p>
            <w:pPr>
              <w:ind w:left="100"/>
              <w:spacing w:after="0"/>
              <w:rPr>
                <w:sz w:val="20"/>
                <w:szCs w:val="20"/>
                <w:color w:val="auto"/>
              </w:rPr>
            </w:pPr>
            <w:r>
              <w:rPr>
                <w:rFonts w:ascii="Arial" w:cs="Arial" w:eastAsia="Arial" w:hAnsi="Arial"/>
                <w:sz w:val="16"/>
                <w:szCs w:val="16"/>
                <w:color w:val="auto"/>
              </w:rPr>
              <w:t>Total Canada revenues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52,986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78,102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132,334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144,872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08"/>
        </w:trPr>
        <w:tc>
          <w:tcPr>
            <w:tcW w:w="55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6"/>
                <w:szCs w:val="16"/>
                <w:b w:val="1"/>
                <w:bCs w:val="1"/>
                <w:color w:val="auto"/>
              </w:rPr>
              <w:t>Australia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67,518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59,417</w:t>
            </w: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38,666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Australia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30,996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106,184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59,417</w:t>
            </w:r>
          </w:p>
        </w:tc>
      </w:tr>
      <w:tr>
        <w:trPr>
          <w:trHeight w:val="108"/>
        </w:trPr>
        <w:tc>
          <w:tcPr>
            <w:tcW w:w="5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3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4"/>
        </w:trPr>
        <w:tc>
          <w:tcPr>
            <w:tcW w:w="5580" w:type="dxa"/>
            <w:vAlign w:val="bottom"/>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9"/>
                <w:szCs w:val="19"/>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4,775</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9,699</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Mobile facility rental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14,223</w:t>
            </w:r>
          </w:p>
        </w:tc>
      </w:tr>
      <w:tr>
        <w:trPr>
          <w:trHeight w:val="223"/>
        </w:trPr>
        <w:tc>
          <w:tcPr>
            <w:tcW w:w="5580" w:type="dxa"/>
            <w:vAlign w:val="bottom"/>
          </w:tcPr>
          <w:p>
            <w:pPr>
              <w:spacing w:after="0"/>
              <w:rPr>
                <w:sz w:val="20"/>
                <w:szCs w:val="20"/>
                <w:color w:val="auto"/>
              </w:rPr>
            </w:pPr>
            <w:r>
              <w:rPr>
                <w:rFonts w:ascii="Arial" w:cs="Arial" w:eastAsia="Arial" w:hAnsi="Arial"/>
                <w:sz w:val="16"/>
                <w:szCs w:val="16"/>
                <w:color w:val="auto"/>
              </w:rPr>
              <w:t>Manufacturing revenues</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2,402</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w:t>
            </w:r>
          </w:p>
        </w:tc>
      </w:tr>
      <w:tr>
        <w:trPr>
          <w:trHeight w:val="217"/>
        </w:trPr>
        <w:tc>
          <w:tcPr>
            <w:tcW w:w="5580" w:type="dxa"/>
            <w:vAlign w:val="bottom"/>
          </w:tcPr>
          <w:p>
            <w:pPr>
              <w:ind w:left="100"/>
              <w:spacing w:after="0"/>
              <w:rPr>
                <w:sz w:val="20"/>
                <w:szCs w:val="20"/>
                <w:color w:val="auto"/>
              </w:rPr>
            </w:pPr>
            <w:r>
              <w:rPr>
                <w:rFonts w:ascii="Arial" w:cs="Arial" w:eastAsia="Arial" w:hAnsi="Arial"/>
                <w:sz w:val="16"/>
                <w:szCs w:val="16"/>
                <w:color w:val="auto"/>
              </w:rPr>
              <w:t>Total U.S. revenues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4,645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14,976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26,414</w:t>
            </w:r>
          </w:p>
        </w:tc>
      </w:tr>
      <w:tr>
        <w:trPr>
          <w:trHeight w:val="33"/>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08"/>
        </w:trPr>
        <w:tc>
          <w:tcPr>
            <w:tcW w:w="55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r>
      <w:tr>
        <w:trPr>
          <w:trHeight w:val="247"/>
        </w:trPr>
        <w:tc>
          <w:tcPr>
            <w:tcW w:w="5580" w:type="dxa"/>
            <w:vAlign w:val="bottom"/>
          </w:tcPr>
          <w:p>
            <w:pPr>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114,702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122,153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253,494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230,703</w:t>
            </w:r>
          </w:p>
        </w:tc>
      </w:tr>
      <w:tr>
        <w:trPr>
          <w:trHeight w:val="24"/>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June 30, 2020, for contracts that are greater than one year, the table below discloses the estimated revenues related to performance obligations that are unsatisfied (or partially unsatisfied) and when we expect to recognize the revenue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1"/>
              </w:rPr>
              <w:t>For the years ending December 31,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3"/>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expected to be recognized as of June 30, 2020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65,883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60,430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29,470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167,545</w:t>
            </w:r>
          </w:p>
        </w:tc>
      </w:tr>
      <w:tr>
        <w:trPr>
          <w:trHeight w:val="33"/>
        </w:trPr>
        <w:tc>
          <w:tcPr>
            <w:tcW w:w="4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June 30, 2020 and December 31, 2019,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During our first quarter of 2020 and the second and fourth quarter of 2019, we wrote down certain long-lived assets to fair value. We also recorded goodwill impairment charges related to one of our reporting units during the first quarter of 2020 and one of our reporting units during the fourth quarter of 2019. Our estimates of fair value required us to use significant unobservable inputs, representative of Level 3 fair value measurements, including numerous assumptions with respect to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circumstances that might directly impact each of the relevant asset groups’ operations in the future and are therefore uncertain. We estimated the fair value when conducting the goodwill impairment and long-lived asset impairment tests primarily using an income approach. The discount rates used to value our reporting units for the interim goodwill impairment test, as well as the Canadian and U.S. segments long-lived asset impairment analysis ranged between 10.5% and 14.0%. These assumptions with respect to future circumstances included future cash flows, oil, met coal and natural gas prices, anticipated spending by our customers, the cost of capital, and industry and/or local market conditions. During the fourth quarter of 2019, our estimate of fair value of corporate office space in Canada and during the second quarter of 2019, our estimate of fair value of land in Australia, were based on appraisals from third parties. See Note 6 – Impairment Charges for further information.</w:t>
      </w:r>
    </w:p>
    <w:p>
      <w:pPr>
        <w:spacing w:after="0" w:line="17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third quarter of 2019, we acquired Action Industrial Catering (Action) and recorded the assets acquired and liabilities assumed at fair value. Determining the fair value of these assets and liabilities required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See Note 7 – Acquisitions for further information.</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Additional information regarding selected balance sheet accounts at June 30, 2020 and December 31, 2019 is presented below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6"/>
                <w:szCs w:val="16"/>
                <w:color w:val="auto"/>
              </w:rPr>
              <w:t>Trade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62,603</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76,370</w:t>
            </w:r>
          </w:p>
        </w:tc>
      </w:tr>
      <w:tr>
        <w:trPr>
          <w:trHeight w:val="33"/>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23,041</w:t>
            </w:r>
          </w:p>
        </w:tc>
      </w:tr>
      <w:tr>
        <w:trPr>
          <w:trHeight w:val="224"/>
        </w:trPr>
        <w:tc>
          <w:tcPr>
            <w:tcW w:w="7260" w:type="dxa"/>
            <w:vAlign w:val="bottom"/>
          </w:tcPr>
          <w:p>
            <w:pPr>
              <w:ind w:left="20"/>
              <w:spacing w:after="0"/>
              <w:rPr>
                <w:sz w:val="20"/>
                <w:szCs w:val="20"/>
                <w:color w:val="auto"/>
              </w:rPr>
            </w:pPr>
            <w:r>
              <w:rPr>
                <w:rFonts w:ascii="Arial" w:cs="Arial" w:eastAsia="Arial" w:hAnsi="Arial"/>
                <w:sz w:val="16"/>
                <w:szCs w:val="16"/>
                <w:color w:val="auto"/>
              </w:rPr>
              <w:t>Other (1)</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335</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accounts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85,796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99,746</w:t>
            </w:r>
          </w:p>
        </w:tc>
      </w:tr>
      <w:tr>
        <w:trPr>
          <w:trHeight w:val="223"/>
        </w:trPr>
        <w:tc>
          <w:tcPr>
            <w:tcW w:w="7260" w:type="dxa"/>
            <w:vAlign w:val="bottom"/>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2"/>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85,553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99,493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63"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2020, Other accounts receivable includes a $4.4 million receivable related to the Canada Emergency Wage Subsidy (CEWS), a subsidy implemented by the Canadian government in response to the COVID-19 pandemic. Other income in the second quarter of 2020 includes $6.2 million of income related to the CEWS.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6"/>
                <w:szCs w:val="16"/>
                <w:color w:val="auto"/>
              </w:rPr>
              <w:t>Finished goods and purchased products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3,982</w:t>
            </w:r>
          </w:p>
        </w:tc>
      </w:tr>
      <w:tr>
        <w:trPr>
          <w:trHeight w:val="33"/>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r>
      <w:tr>
        <w:trPr>
          <w:trHeight w:val="223"/>
        </w:trPr>
        <w:tc>
          <w:tcPr>
            <w:tcW w:w="72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1,082</w:t>
            </w:r>
          </w:p>
        </w:tc>
      </w:tr>
      <w:tr>
        <w:trPr>
          <w:trHeight w:val="33"/>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7,683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6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1340" w:type="dxa"/>
            <w:vAlign w:val="bottom"/>
            <w:gridSpan w:val="4"/>
          </w:tcPr>
          <w:p>
            <w:pPr>
              <w:ind w:left="26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340" w:type="dxa"/>
            <w:vAlign w:val="bottom"/>
            <w:gridSpan w:val="4"/>
          </w:tcPr>
          <w:p>
            <w:pPr>
              <w:ind w:left="220"/>
              <w:spacing w:after="0"/>
              <w:rPr>
                <w:sz w:val="20"/>
                <w:szCs w:val="20"/>
                <w:color w:val="auto"/>
              </w:rPr>
            </w:pPr>
            <w:r>
              <w:rPr>
                <w:rFonts w:ascii="Arial" w:cs="Arial" w:eastAsia="Arial" w:hAnsi="Arial"/>
                <w:sz w:val="16"/>
                <w:szCs w:val="16"/>
                <w:b w:val="1"/>
                <w:bCs w:val="1"/>
                <w:color w:val="auto"/>
              </w:rPr>
              <w:t>Useful Life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rPr>
              <w:t>(in years)</w:t>
            </w: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45,816</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43,147</w:t>
            </w: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Accommodations assets</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3</w:t>
            </w:r>
          </w:p>
        </w:tc>
        <w:tc>
          <w:tcPr>
            <w:tcW w:w="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1,617,979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1,696,425</w:t>
            </w:r>
          </w:p>
        </w:tc>
      </w:tr>
      <w:tr>
        <w:trPr>
          <w:trHeight w:val="223"/>
        </w:trPr>
        <w:tc>
          <w:tcPr>
            <w:tcW w:w="62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7</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32,884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26,108</w:t>
            </w: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4</w:t>
            </w:r>
          </w:p>
        </w:tc>
        <w:tc>
          <w:tcPr>
            <w:tcW w:w="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12,060</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3</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57,489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58,005</w:t>
            </w:r>
          </w:p>
        </w:tc>
      </w:tr>
      <w:tr>
        <w:trPr>
          <w:trHeight w:val="3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3</w:t>
            </w:r>
          </w:p>
        </w:tc>
        <w:tc>
          <w:tcPr>
            <w:tcW w:w="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14,604</w:t>
            </w:r>
          </w:p>
        </w:tc>
      </w:tr>
      <w:tr>
        <w:trPr>
          <w:trHeight w:val="223"/>
        </w:trPr>
        <w:tc>
          <w:tcPr>
            <w:tcW w:w="622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4,286</w:t>
            </w: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1,785,362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1,854,635</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(1,298,547)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(1,264,326)</w:t>
            </w:r>
          </w:p>
        </w:tc>
      </w:tr>
      <w:tr>
        <w:trPr>
          <w:trHeight w:val="3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486,815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590,309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00" w:firstLine="486"/>
        <w:spacing w:after="0" w:line="277" w:lineRule="auto"/>
        <w:rPr>
          <w:sz w:val="20"/>
          <w:szCs w:val="20"/>
          <w:color w:val="auto"/>
        </w:rPr>
      </w:pPr>
      <w:r>
        <w:rPr>
          <w:rFonts w:ascii="Arial" w:cs="Arial" w:eastAsia="Arial" w:hAnsi="Arial"/>
          <w:sz w:val="18"/>
          <w:szCs w:val="18"/>
          <w:color w:val="auto"/>
        </w:rPr>
        <w:t>During the second quarter of 2020 we reclassified $6.6 million of assets held for sale back into property, plant and equipment due to no longer meeting the accounting requirements.</w:t>
      </w:r>
    </w:p>
    <w:p>
      <w:pPr>
        <w:spacing w:after="0" w:line="346"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12,838</w:t>
            </w:r>
          </w:p>
        </w:tc>
        <w:tc>
          <w:tcPr>
            <w:tcW w:w="12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17,169</w:t>
            </w:r>
          </w:p>
        </w:tc>
      </w:tr>
      <w:tr>
        <w:trPr>
          <w:trHeight w:val="33"/>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taxes, other than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3,152</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1,434</w:t>
            </w:r>
          </w:p>
        </w:tc>
      </w:tr>
      <w:tr>
        <w:trPr>
          <w:trHeight w:val="33"/>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21,755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40" w:hanging="440"/>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129" w:lineRule="exact"/>
        <w:rPr>
          <w:sz w:val="20"/>
          <w:szCs w:val="20"/>
          <w:color w:val="auto"/>
        </w:rPr>
      </w:pPr>
    </w:p>
    <w:p>
      <w:pPr>
        <w:jc w:val="both"/>
        <w:ind w:left="100" w:firstLine="486"/>
        <w:spacing w:after="0" w:line="270"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73" w:lineRule="exact"/>
        <w:rPr>
          <w:sz w:val="20"/>
          <w:szCs w:val="20"/>
          <w:color w:val="auto"/>
        </w:rPr>
      </w:pPr>
    </w:p>
    <w:p>
      <w:pPr>
        <w:jc w:val="both"/>
        <w:ind w:left="100" w:firstLine="486"/>
        <w:spacing w:after="0" w:line="29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long-lived assets in our Canadian segment.</w:t>
      </w:r>
    </w:p>
    <w:p>
      <w:pPr>
        <w:spacing w:after="0" w:line="56" w:lineRule="exact"/>
        <w:rPr>
          <w:sz w:val="20"/>
          <w:szCs w:val="20"/>
          <w:color w:val="auto"/>
        </w:rPr>
      </w:pPr>
    </w:p>
    <w:p>
      <w:pPr>
        <w:jc w:val="both"/>
        <w:ind w:left="100" w:firstLine="486"/>
        <w:spacing w:after="0" w:line="259" w:lineRule="auto"/>
        <w:rPr>
          <w:sz w:val="20"/>
          <w:szCs w:val="20"/>
          <w:color w:val="auto"/>
        </w:rPr>
      </w:pPr>
      <w:r>
        <w:rPr>
          <w:rFonts w:ascii="Arial" w:cs="Arial" w:eastAsia="Arial" w:hAnsi="Arial"/>
          <w:sz w:val="18"/>
          <w:szCs w:val="18"/>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w:t>
      </w:r>
    </w:p>
    <w:p>
      <w:pPr>
        <w:sectPr>
          <w:pgSz w:w="11900" w:h="16838" w:orient="portrait"/>
          <w:cols w:equalWidth="0" w:num="1">
            <w:col w:w="11340"/>
          </w:cols>
          <w:pgMar w:left="2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12" w:name="page13"/>
    <w:bookmarkEnd w:id="12"/>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Quarter ended June 30, 2019</w:t>
      </w:r>
      <w:r>
        <w:rPr>
          <w:rFonts w:ascii="Arial" w:cs="Arial" w:eastAsia="Arial" w:hAnsi="Arial"/>
          <w:sz w:val="18"/>
          <w:szCs w:val="18"/>
          <w:color w:val="auto"/>
        </w:rPr>
        <w:t>. During the second quarter of 2019, we identified indicators that certain long-lived assets in Australia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impaired 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an impairment expense of $4.5 million.</w:t>
      </w:r>
    </w:p>
    <w:p>
      <w:pPr>
        <w:spacing w:after="0" w:line="21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during the second quarter of 2019, we identified a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 of operations related to prior periods: (1) additional accretion expense related to the ARO of $0.9 million, (2) additional depreciation and amortization expense of $0.5 million related to amortization of the related asset retirement cost and (3) additional impairment expense related to the impairment of the asset retirement cost of $1.0 million offset by recognition of an ARO liability totaling $2.3 million as of June 30, 2019.</w:t>
      </w:r>
    </w:p>
    <w:p>
      <w:pPr>
        <w:spacing w:after="0" w:line="38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July 1, 2019, we acquired Action, a provider of catering and managed services to the mining industry in Western Australia. We funded the purchase price of $16.9 million in cash through a combination of cash on hand and borrowings under our revolving credit facility. Action's operations are reported as part of our Australia reporting business segment beginning on July 1, 2019, the date of acquisition.</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acquisition was accounted for in accordance with the acquisition method of accounting for business combinations, which required us to record the assets acquired and the liabilities assumed at their fair values at July 1, 2019. Our estimates of the fair value for such assets and liabilities required significant assumptions and judgment. Based on the final purchase price allocation, intangible assets acquired totaled $8.4 million and consisted primarily of customer contracts and a trade name. In addition, we recognized goodwill of $7.9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2, 2018, we acquired Noralta Lodge Ltd. (Noralta). During the second quarter of 2020, $5.0 million in cash was released to us from escrow to cover certain agreed upon indemnification claims. As a result of this settlement, we recorded $4.7 million in Other income in the accompanying unaudited consolidated statements of operations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3"/>
          </w:tcPr>
          <w:p>
            <w:pPr>
              <w:jc w:val="right"/>
              <w:ind w:right="84"/>
              <w:spacing w:after="0"/>
              <w:rPr>
                <w:sz w:val="20"/>
                <w:szCs w:val="20"/>
                <w:color w:val="auto"/>
              </w:rPr>
            </w:pPr>
            <w:r>
              <w:rPr>
                <w:rFonts w:ascii="Arial" w:cs="Arial" w:eastAsia="Arial" w:hAnsi="Arial"/>
                <w:sz w:val="16"/>
                <w:szCs w:val="16"/>
                <w:b w:val="1"/>
                <w:bCs w:val="1"/>
                <w:color w:val="auto"/>
                <w:w w:val="98"/>
              </w:rPr>
              <w:t>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4"/>
              </w:rPr>
              <w:t>Six Months Ended June 30,</w:t>
            </w:r>
          </w:p>
        </w:tc>
      </w:tr>
      <w:tr>
        <w:trPr>
          <w:trHeight w:val="33"/>
        </w:trPr>
        <w:tc>
          <w:tcPr>
            <w:tcW w:w="6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r>
      <w:tr>
        <w:trPr>
          <w:trHeight w:val="33"/>
        </w:trPr>
        <w:tc>
          <w:tcPr>
            <w:tcW w:w="6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24"/>
        </w:trPr>
        <w:tc>
          <w:tcPr>
            <w:tcW w:w="6000" w:type="dxa"/>
            <w:vAlign w:val="bottom"/>
          </w:tcPr>
          <w:p>
            <w:pPr>
              <w:spacing w:after="0"/>
              <w:rPr>
                <w:sz w:val="20"/>
                <w:szCs w:val="20"/>
                <w:color w:val="auto"/>
              </w:rPr>
            </w:pPr>
            <w:r>
              <w:rPr>
                <w:rFonts w:ascii="Arial" w:cs="Arial" w:eastAsia="Arial" w:hAnsi="Arial"/>
                <w:sz w:val="16"/>
                <w:szCs w:val="16"/>
                <w:color w:val="auto"/>
              </w:rPr>
              <w:t>Net income (loss) attributable to Civeo common shareholders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6,136</w:t>
            </w:r>
          </w:p>
        </w:tc>
        <w:tc>
          <w:tcPr>
            <w:tcW w:w="40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(15,310)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(140,402)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(32,808)</w:t>
            </w:r>
          </w:p>
        </w:tc>
      </w:tr>
      <w:tr>
        <w:trPr>
          <w:trHeight w:val="3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Basic net income (loss) attributable to Civeo Corporation common shareholders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(15,310)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(140,402)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(32,808)</w:t>
            </w:r>
          </w:p>
        </w:tc>
      </w:tr>
      <w:tr>
        <w:trPr>
          <w:trHeight w:val="3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 undistributed income attributable to participating securities</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000" w:type="dxa"/>
            <w:vAlign w:val="bottom"/>
          </w:tcPr>
          <w:p>
            <w:pPr>
              <w:spacing w:after="0"/>
              <w:rPr>
                <w:sz w:val="20"/>
                <w:szCs w:val="20"/>
                <w:color w:val="auto"/>
              </w:rPr>
            </w:pPr>
            <w:r>
              <w:rPr>
                <w:rFonts w:ascii="Arial" w:cs="Arial" w:eastAsia="Arial" w:hAnsi="Arial"/>
                <w:sz w:val="16"/>
                <w:szCs w:val="16"/>
                <w:color w:val="auto"/>
              </w:rPr>
              <w:t>Less: undistributed income reallocated to participating securities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7"/>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Diluted net income (loss) attributable to Civeo Corporation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w:t>
            </w:r>
          </w:p>
        </w:tc>
        <w:tc>
          <w:tcPr>
            <w:tcW w:w="400" w:type="dxa"/>
            <w:vAlign w:val="bottom"/>
            <w:gridSpan w:val="3"/>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(32,808)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58"/>
        </w:trPr>
        <w:tc>
          <w:tcPr>
            <w:tcW w:w="6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3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color w:val="auto"/>
              </w:rPr>
              <w:t>Weighted average shares outstanding - basic</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169,812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167,532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169,165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166,437</w:t>
            </w:r>
          </w:p>
        </w:tc>
      </w:tr>
      <w:tr>
        <w:trPr>
          <w:trHeight w:val="3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Dilutive shares - share-based awards</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6000" w:type="dxa"/>
            <w:vAlign w:val="bottom"/>
          </w:tcPr>
          <w:p>
            <w:pPr>
              <w:spacing w:after="0"/>
              <w:rPr>
                <w:sz w:val="20"/>
                <w:szCs w:val="20"/>
                <w:color w:val="auto"/>
              </w:rPr>
            </w:pPr>
            <w:r>
              <w:rPr>
                <w:rFonts w:ascii="Arial" w:cs="Arial" w:eastAsia="Arial" w:hAnsi="Arial"/>
                <w:sz w:val="16"/>
                <w:szCs w:val="16"/>
                <w:color w:val="auto"/>
              </w:rPr>
              <w:t>Weighted average shares outstanding - diluted</w:t>
            </w: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169,990</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167,532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169,165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166,437</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8"/>
        </w:trPr>
        <w:tc>
          <w:tcPr>
            <w:tcW w:w="6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20"/>
        </w:trPr>
        <w:tc>
          <w:tcPr>
            <w:tcW w:w="6000" w:type="dxa"/>
            <w:vAlign w:val="bottom"/>
          </w:tcPr>
          <w:p>
            <w:pPr>
              <w:spacing w:after="0"/>
              <w:rPr>
                <w:sz w:val="20"/>
                <w:szCs w:val="20"/>
                <w:color w:val="auto"/>
              </w:rPr>
            </w:pPr>
            <w:r>
              <w:rPr>
                <w:rFonts w:ascii="Arial" w:cs="Arial" w:eastAsia="Arial" w:hAnsi="Arial"/>
                <w:sz w:val="16"/>
                <w:szCs w:val="16"/>
                <w:color w:val="auto"/>
                <w:w w:val="94"/>
              </w:rPr>
              <w:t>Basic net income (loss) per share attributable to Civeo Corporation common shareholders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6"/>
                <w:szCs w:val="16"/>
                <w:color w:val="auto"/>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40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(0.20)</w:t>
            </w:r>
          </w:p>
        </w:tc>
      </w:tr>
      <w:tr>
        <w:trPr>
          <w:trHeight w:val="33"/>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08"/>
        </w:trPr>
        <w:tc>
          <w:tcPr>
            <w:tcW w:w="6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20"/>
        </w:trPr>
        <w:tc>
          <w:tcPr>
            <w:tcW w:w="6000" w:type="dxa"/>
            <w:vAlign w:val="bottom"/>
          </w:tcPr>
          <w:p>
            <w:pPr>
              <w:spacing w:after="0"/>
              <w:rPr>
                <w:sz w:val="20"/>
                <w:szCs w:val="20"/>
                <w:color w:val="auto"/>
              </w:rPr>
            </w:pPr>
            <w:r>
              <w:rPr>
                <w:rFonts w:ascii="Arial" w:cs="Arial" w:eastAsia="Arial" w:hAnsi="Arial"/>
                <w:sz w:val="16"/>
                <w:szCs w:val="16"/>
                <w:color w:val="auto"/>
                <w:w w:val="92"/>
              </w:rPr>
              <w:t>Diluted net income (loss) per share attributable to Civeo Corporation common shareholders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6"/>
                <w:szCs w:val="16"/>
                <w:color w:val="auto"/>
              </w:rPr>
              <w:t>(1)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0.03</w:t>
            </w:r>
          </w:p>
        </w:tc>
        <w:tc>
          <w:tcPr>
            <w:tcW w:w="400" w:type="dxa"/>
            <w:vAlign w:val="bottom"/>
            <w:gridSpan w:val="3"/>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(0.20)</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 Computations may reflect rounding adjustments.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For the three months ended June 30, 2020, we excluded 3.7 million share based awards from the computation of diluted earnings per share because their effect was anti-dilutive. When an entity has a net loss from continuing operations, it is prohibited from including potential common shares in the computation of diluted per share amounts. For the three months ended June 30, 2019 and the six months ended June 30, 2020 and 2019, we excluded from the computation of diluted loss per share 6.6 million, 5.0 million and 7.5 million share-based awards, respectively, since the effect would have been anti-dilutive. Additionally, for the three and six months ended June 30, 2020 and 2019, we excluded from the computation the impact of converting the Preferred Shares into 28.7 million and 28.1 million common shares,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and December 31, 2019, long-term debt consisted of the following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82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Canadian term loan, which matures on November 30, 2021; 3.125% of aggregate principal repayable per quarter;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197,532</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224,963</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weighted average interest rate of</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w w:val="92"/>
                <w:shd w:val="clear" w:color="auto" w:fill="CCEEFF"/>
              </w:rPr>
              <w:t>4.4% f</w:t>
            </w: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or the six-month period ended June 30, 2020 (1)</w:t>
            </w:r>
          </w:p>
        </w:tc>
        <w:tc>
          <w:tcPr>
            <w:tcW w:w="16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2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U.S. revolving credit facility, which matures on November 30, 2021), weighted average interest rate of 7.0% for the</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six-month period ended June 30, 2020 (1)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2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Canadian revolving credit facility, which matures on November 30, 2021, weighted average interest rate of 4.5% for</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the six-month period ended June 30, 2020 (1)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101,998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20" w:type="dxa"/>
            <w:vAlign w:val="bottom"/>
            <w:gridSpan w:val="3"/>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Australian revolving credit facility, which matures on November 30, 2021, weighted average interest rate of 4.2% for</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the six-month period ended June 30, 2020 (1)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299,530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359,080</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217"/>
        </w:trPr>
        <w:tc>
          <w:tcPr>
            <w:tcW w:w="7820" w:type="dxa"/>
            <w:vAlign w:val="bottom"/>
            <w:gridSpan w:val="3"/>
          </w:tcPr>
          <w:p>
            <w:pPr>
              <w:ind w:left="120"/>
              <w:spacing w:after="0"/>
              <w:rPr>
                <w:sz w:val="20"/>
                <w:szCs w:val="20"/>
                <w:color w:val="auto"/>
              </w:rPr>
            </w:pPr>
            <w:r>
              <w:rPr>
                <w:rFonts w:ascii="Arial" w:cs="Arial" w:eastAsia="Arial" w:hAnsi="Arial"/>
                <w:sz w:val="16"/>
                <w:szCs w:val="16"/>
                <w:color w:val="auto"/>
              </w:rPr>
              <w:t>Total debt</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298,032</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356,872</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33,510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47"/>
        </w:trPr>
        <w:tc>
          <w:tcPr>
            <w:tcW w:w="7820" w:type="dxa"/>
            <w:vAlign w:val="bottom"/>
            <w:gridSpan w:val="3"/>
          </w:tcPr>
          <w:p>
            <w:pPr>
              <w:ind w:left="12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264,522</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right="80" w:hanging="332"/>
        <w:spacing w:after="0" w:line="342" w:lineRule="auto"/>
        <w:tabs>
          <w:tab w:leader="none" w:pos="3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2020, one lender had an outstanding Canadian term loan of $5.9 million and an outstanding Canadian revolver loan of $8.7 million that matures on November 30, 2020. Another lender had an outstanding Canadian revolver loan of $12.5 million that matures on November 30, 2020.</w:t>
      </w:r>
    </w:p>
    <w:p>
      <w:pPr>
        <w:spacing w:after="0" w:line="15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Maturities in 2020 are not classified as current as of June 30, 2020 and December 31, 2019, since we are able, and have the intent, to repay the outstanding 2020 maturities by borrowing amounts equal to such maturities under our existing revolving credit facility, which matures on November 30, 2021. We did not have any capitalized interest to net against interest expense for the three and six months ended June 30, 2020 or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June 30, 2020, our Credit Agreement (as then amended to date, the Credit Agreement),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4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Maximum</w:t>
            </w:r>
          </w:p>
        </w:tc>
      </w:tr>
      <w:tr>
        <w:trPr>
          <w:trHeight w:val="176"/>
        </w:trPr>
        <w:tc>
          <w:tcPr>
            <w:tcW w:w="3220" w:type="dxa"/>
            <w:vAlign w:val="bottom"/>
          </w:tcPr>
          <w:p>
            <w:pPr>
              <w:spacing w:after="0"/>
              <w:rPr>
                <w:sz w:val="15"/>
                <w:szCs w:val="15"/>
                <w:color w:val="auto"/>
              </w:rPr>
            </w:pPr>
          </w:p>
        </w:tc>
        <w:tc>
          <w:tcPr>
            <w:tcW w:w="260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Period Ended</w:t>
            </w:r>
          </w:p>
        </w:tc>
        <w:tc>
          <w:tcPr>
            <w:tcW w:w="2840" w:type="dxa"/>
            <w:vAlign w:val="bottom"/>
            <w:gridSpan w:val="2"/>
          </w:tcPr>
          <w:p>
            <w:pPr>
              <w:jc w:val="right"/>
              <w:ind w:right="30"/>
              <w:spacing w:after="0" w:line="176" w:lineRule="exact"/>
              <w:rPr>
                <w:sz w:val="20"/>
                <w:szCs w:val="20"/>
                <w:color w:val="auto"/>
              </w:rPr>
            </w:pPr>
            <w:r>
              <w:rPr>
                <w:rFonts w:ascii="Arial" w:cs="Arial" w:eastAsia="Arial" w:hAnsi="Arial"/>
                <w:sz w:val="16"/>
                <w:szCs w:val="16"/>
                <w:b w:val="1"/>
                <w:bCs w:val="1"/>
                <w:color w:val="auto"/>
              </w:rPr>
              <w:t>Leverage Ratio</w:t>
            </w:r>
          </w:p>
        </w:tc>
      </w:tr>
      <w:tr>
        <w:trPr>
          <w:trHeight w:val="48"/>
        </w:trPr>
        <w:tc>
          <w:tcPr>
            <w:tcW w:w="32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21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5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June 30, 2020 &amp; September 30, 2020</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r>
      <w:tr>
        <w:trPr>
          <w:trHeight w:val="243"/>
        </w:trPr>
        <w:tc>
          <w:tcPr>
            <w:tcW w:w="5820" w:type="dxa"/>
            <w:vAlign w:val="bottom"/>
            <w:gridSpan w:val="3"/>
          </w:tcPr>
          <w:p>
            <w:pPr>
              <w:ind w:left="20"/>
              <w:spacing w:after="0"/>
              <w:rPr>
                <w:sz w:val="20"/>
                <w:szCs w:val="20"/>
                <w:color w:val="auto"/>
              </w:rPr>
            </w:pPr>
            <w:r>
              <w:rPr>
                <w:rFonts w:ascii="Arial" w:cs="Arial" w:eastAsia="Arial" w:hAnsi="Arial"/>
                <w:sz w:val="16"/>
                <w:szCs w:val="16"/>
                <w:color w:val="auto"/>
              </w:rPr>
              <w:t>December 31, 2020 and thereafter</w:t>
            </w:r>
          </w:p>
        </w:tc>
        <w:tc>
          <w:tcPr>
            <w:tcW w:w="2180" w:type="dxa"/>
            <w:vAlign w:val="bottom"/>
          </w:tcPr>
          <w:p>
            <w:pPr>
              <w:jc w:val="right"/>
              <w:spacing w:after="0"/>
              <w:rPr>
                <w:sz w:val="20"/>
                <w:szCs w:val="20"/>
                <w:color w:val="auto"/>
              </w:rPr>
            </w:pPr>
            <w:r>
              <w:rPr>
                <w:rFonts w:ascii="Arial" w:cs="Arial" w:eastAsia="Arial" w:hAnsi="Arial"/>
                <w:sz w:val="18"/>
                <w:szCs w:val="18"/>
                <w:color w:val="auto"/>
              </w:rPr>
              <w:t>3.50 :</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U.S. dollar amounts outstanding under the facilities provided by the Credit Agreement bear interest at a variable rate equal to the London Inter-Bank Offered Rate (LIBOR) plus a margin of 2.25% to 4.00%, or a base rate plus 1.25% to 3.00%, in each case based on a ratio of our total debt to consolidated EBITDA (as defined in the Credit Agreement). Canadian dollar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amounts outstanding bear interest at a variable rate equal to a B/A Discount Rate (as defined in the Credit Agreement) based on the Canadian Dollar Offered Rate (CDOR) plus a margin of 2.25% to 4.00%, or a Canadian Prime rate plus a margin of 1.25% to 3.00%, in each case based on a ratio of our total debt to consolidated EBITDA. Australian dollar amounts outstanding under the Credit Agreement bear interest at a variable rate equal to the Bank Bill Swap 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5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June 30, 2020).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June 30, 2020.</w:t>
      </w:r>
    </w:p>
    <w:p>
      <w:pPr>
        <w:spacing w:after="0" w:line="7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June 30, 2020, we had ten lenders that were parties to the Credit Agreement, with total commitments (including both revolving commitments and term commitments) ranging from $24.9 million to $85.4 million. As of June 30, 2020, we had outstanding letters of credit of $0.3 million under the U.S. facility, $0.5 million under the Australian facility and $1.8 million under the Canadian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operate  primarily  in  three  jurisdictions,  Canada,  Australia  and  the  U.S.,  where  statutory  tax  rates  range  from  21%  to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10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2020, Canada and the U.S. were considered loss jurisdictions for tax accounting purposes and were removed from the annual effective tax rate computation for purposes of computing the interim tax provision. As of June 30, 2019, Australia and the U.S. were considered loss jurisdictions for tax accounting purposes and were removed from the annual effective tax rate computation for purposes of computing the interim tax provision.</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income tax expense for the three months ended June 30, 2020 totaled $0.1 million, or 1.8% of pretax loss, compared to a benefit of $2.9 million, or 16.1% of pretax loss, for the three months ended June 30, 2019. For the three months ended June 30, 2020, we recorded a tax expense of $0.1 million related to foreign withholding taxes. Under ASC 740-270, "Accounting for Income Taxes," the quarterly tax provision is based on our current estimate of the annual effective tax rate less the prior quarter's year-to-date provision.</w:t>
      </w:r>
    </w:p>
    <w:p>
      <w:pPr>
        <w:spacing w:after="0" w:line="21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income tax benefit for the six months ended June 30, 2020 totaled $8.7 million, or 5.9% of pretax loss, compared to a benefit of $7.3 million, or 18.7% of pretax loss, for the six months ended June 30, 2019. For the six months ended June 30, 2020, we recorded a deferred tax benefit of $9.6 million offset by a valuation allowance of $0.7 million against the Canadian net deferred tax assets. Our effective tax rate for the six months ended June 30, 2020 was impacted by considering Canada and the U.S. loss jurisdictions. Although Australia is not considered a loss jurisdiction for the six months ended June 30, 2020, our effective tax rate is impacted by utilization of deferred tax assets and a release of the corresponding valuation allowance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Australia, resulting in no income tax expense for that jurisdiction. For the six months ended June 30, 2019, Australia and the U.S. were considered loss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accumulated other comprehensive loss increased $19.1 million from $363.2 million at December 31, 2019 to $382.3 million at June 30, 2020, as a result of foreign currency exchange rate fluctuations. Changes in other comprehensive loss during the first six months of 2020 were primarily driven by the Australian dollar and Canadian dollar decreasing in value compared to the U.S. dollar. Excluding intercompany balances, our Canadian dollar and Australian dollar functional currency net assets totaled approximately C$0.1 billion and A$0.3 billion, respectively, at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GOODWILL</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carrying amount of goodwill from December 31, 2019 to June 30, 2020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Australia</w:t>
            </w:r>
          </w:p>
        </w:tc>
        <w:tc>
          <w:tcPr>
            <w:tcW w:w="32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Goodwill, net of $19.9 million accumulated impairment loss as of</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102,238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110,173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impairment (1)</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(93,606)</w:t>
            </w:r>
          </w:p>
        </w:tc>
        <w:tc>
          <w:tcPr>
            <w:tcW w:w="0" w:type="dxa"/>
            <w:vAlign w:val="bottom"/>
          </w:tcPr>
          <w:p>
            <w:pPr>
              <w:spacing w:after="0"/>
              <w:rPr>
                <w:sz w:val="1"/>
                <w:szCs w:val="1"/>
                <w:color w:val="auto"/>
              </w:rPr>
            </w:pPr>
          </w:p>
        </w:tc>
      </w:tr>
      <w:tr>
        <w:trPr>
          <w:trHeight w:val="156"/>
        </w:trPr>
        <w:tc>
          <w:tcPr>
            <w:tcW w:w="5340" w:type="dxa"/>
            <w:vAlign w:val="bottom"/>
          </w:tcPr>
          <w:p>
            <w:pPr>
              <w:ind w:left="20"/>
              <w:spacing w:after="0" w:line="156" w:lineRule="exact"/>
              <w:rPr>
                <w:sz w:val="20"/>
                <w:szCs w:val="20"/>
                <w:color w:val="auto"/>
              </w:rPr>
            </w:pPr>
            <w:r>
              <w:rPr>
                <w:rFonts w:ascii="Arial" w:cs="Arial" w:eastAsia="Arial" w:hAnsi="Arial"/>
                <w:sz w:val="18"/>
                <w:szCs w:val="18"/>
                <w:color w:val="auto"/>
                <w:w w:val="93"/>
              </w:rPr>
              <w:t>Goodwill, net of $113.5 million accumulated impairment loss as of June</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ind w:left="7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08"/>
        </w:trPr>
        <w:tc>
          <w:tcPr>
            <w:tcW w:w="5340" w:type="dxa"/>
            <w:vAlign w:val="bottom"/>
          </w:tcPr>
          <w:p>
            <w:pPr>
              <w:ind w:left="20"/>
              <w:spacing w:after="0" w:line="202" w:lineRule="exact"/>
              <w:rPr>
                <w:sz w:val="20"/>
                <w:szCs w:val="20"/>
                <w:color w:val="auto"/>
              </w:rPr>
            </w:pPr>
            <w:r>
              <w:rPr>
                <w:rFonts w:ascii="Arial" w:cs="Arial" w:eastAsia="Arial" w:hAnsi="Arial"/>
                <w:sz w:val="18"/>
                <w:szCs w:val="18"/>
                <w:color w:val="auto"/>
              </w:rPr>
              <w:t>30, 2020</w:t>
            </w:r>
          </w:p>
        </w:tc>
        <w:tc>
          <w:tcPr>
            <w:tcW w:w="2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 See Note 6 – Impairment Charges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28.7 million Civeo common shares may be issued under the Civeo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Restricted Share Awards / Restricted Share Units / Deferred Share Awards. </w:t>
      </w:r>
      <w:r>
        <w:rPr>
          <w:rFonts w:ascii="Arial" w:cs="Arial" w:eastAsia="Arial" w:hAnsi="Arial"/>
          <w:sz w:val="18"/>
          <w:szCs w:val="18"/>
          <w:color w:val="auto"/>
        </w:rPr>
        <w:t>Compensation expense associated with restricted share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share units and deferred share awards recognized in the three months ended June 30, 2020 and 2019 totaled $0.8 million and $1.4 million, respectively. Compensation expense associated with restricted share awards, restricted share units and deferred share awards recognized in the six months ended June 30, 2020 and 2019 totaled $2.0 million and $2.8 million, respectively. The total fair value of restricted share awards, restricted share units and deferred share awards that vested during the three months ended June 30, 2020 and 2019 was $0.2 million and $0.4 million, respectively. The total fair value of restricted share awards, restricted share units and deferred share awards that vested during the six months ended June 30, 2020 and 2019 was $2.6 million and $3.9 million, respectively.</w:t>
      </w:r>
    </w:p>
    <w:p>
      <w:pPr>
        <w:spacing w:after="0" w:line="1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June 30, 2020, unrecognized compensation cost related to restricted share awards, restricted share units and deferred share awards was $2.8 million, which is expected to be recognized over a weighted average period of 1.2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3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2020, we granted 3,741,094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2021. We also granted 1,221,725 phantom share awards under the Canadian Long-Term Incentive Plan, which vest in three equal annual installments beginning on February 25, 2021.</w:t>
      </w:r>
    </w:p>
    <w:p>
      <w:pPr>
        <w:spacing w:after="0" w:line="2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three months ended June 30, 2020 and 2019, we recognized compensation expense associated with phantom shares totaling $0.4 million and $0.3 million, respectively. During the six months ended June 30, 2020 and 2019, we recognized compensation expense associated with phantom shares totaling $0.7 million and $3.4 million, respectively. At June 30, 2020, unrecognized compensation cost related to phantom shares was $3.0 million, as remeasured at June 30, 2020, which is expected to be recognized over a weighted average period of 2.5 years.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During the three months ended June 30, 2020 and 2019, we recognized compensation expense associated with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totaling $0.6 million and $1.1 million, respectively. During the six months ended June 30, 2020 and 2019, we recognized compensation expense associated with performance awards totaling $1.5 million and $2.2 million, respectively. The total fair value of performance share awards that vested during the three months ended June 30, 2020 and 2019 was zero. The total fair value of performance share awards that vested during the six months ended June 30, 2020 and 2019 was $1.9 million and $10.1 million, respectively.</w:t>
      </w:r>
    </w:p>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June 30, 2020, unrecognized compensation cost related to performance shares was $2.8 million, which is expected to be recognized over a weighted average period of 1.4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RELATED INFORMATION</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 and workforce accommodations.</w:t>
      </w:r>
    </w:p>
    <w:p>
      <w:pPr>
        <w:spacing w:after="0" w:line="1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Financial information by business segment for each of the three and six months ended June 30, 2020 and 2019 is summarized in the following table (in thousands):</w:t>
      </w:r>
    </w:p>
    <w:p>
      <w:pPr>
        <w:spacing w:after="0" w:line="31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Depreciation</w:t>
            </w: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income</w:t>
            </w: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0"/>
        </w:trPr>
        <w:tc>
          <w:tcPr>
            <w:tcW w:w="2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revenues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expenditures</w:t>
            </w:r>
          </w:p>
        </w:tc>
        <w:tc>
          <w:tcPr>
            <w:tcW w:w="22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Total assets</w:t>
            </w:r>
          </w:p>
        </w:tc>
      </w:tr>
      <w:tr>
        <w:trPr>
          <w:trHeight w:val="199"/>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3"/>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52,986</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12,177</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(6,719)</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662,926</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261,188</w:t>
            </w: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30,503</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(220,034)</w:t>
            </w:r>
          </w:p>
        </w:tc>
      </w:tr>
      <w:tr>
        <w:trPr>
          <w:trHeight w:val="247"/>
        </w:trPr>
        <w:tc>
          <w:tcPr>
            <w:tcW w:w="2300" w:type="dxa"/>
            <w:vAlign w:val="bottom"/>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114,702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22,205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734,583</w:t>
            </w: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842,551</w:t>
            </w:r>
          </w:p>
        </w:tc>
      </w:tr>
      <w:tr>
        <w:trPr>
          <w:trHeight w:val="223"/>
        </w:trPr>
        <w:tc>
          <w:tcPr>
            <w:tcW w:w="230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276,525</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57,570</w:t>
            </w:r>
          </w:p>
        </w:tc>
      </w:tr>
      <w:tr>
        <w:trPr>
          <w:trHeight w:val="223"/>
        </w:trPr>
        <w:tc>
          <w:tcPr>
            <w:tcW w:w="230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(156,241)</w:t>
            </w:r>
          </w:p>
        </w:tc>
      </w:tr>
      <w:tr>
        <w:trPr>
          <w:trHeight w:val="33"/>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122,153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30,996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11,529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1,020,405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2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rPr>
              <w:t>Six months ended June 30, 2020</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132,334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26,546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(143,350)</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662,926</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261,188</w:t>
            </w:r>
          </w:p>
        </w:tc>
      </w:tr>
      <w:tr>
        <w:trPr>
          <w:trHeight w:val="223"/>
        </w:trPr>
        <w:tc>
          <w:tcPr>
            <w:tcW w:w="23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30,503</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(220,034)</w:t>
            </w:r>
          </w:p>
        </w:tc>
      </w:tr>
      <w:tr>
        <w:trPr>
          <w:trHeight w:val="247"/>
        </w:trPr>
        <w:tc>
          <w:tcPr>
            <w:tcW w:w="2300" w:type="dxa"/>
            <w:vAlign w:val="bottom"/>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253,494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47,707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(150,910)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3,847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734,583</w:t>
            </w: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8"/>
        </w:trPr>
        <w:tc>
          <w:tcPr>
            <w:tcW w:w="2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w w:val="91"/>
              </w:rPr>
              <w:t>Six months ended June 30, 2019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144,872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842,551</w:t>
            </w:r>
          </w:p>
        </w:tc>
      </w:tr>
      <w:tr>
        <w:trPr>
          <w:trHeight w:val="224"/>
        </w:trPr>
        <w:tc>
          <w:tcPr>
            <w:tcW w:w="230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59,417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276,525</w:t>
            </w:r>
          </w:p>
        </w:tc>
      </w:tr>
      <w:tr>
        <w:trPr>
          <w:trHeight w:val="33"/>
        </w:trPr>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57,570</w:t>
            </w:r>
          </w:p>
        </w:tc>
      </w:tr>
      <w:tr>
        <w:trPr>
          <w:trHeight w:val="223"/>
        </w:trPr>
        <w:tc>
          <w:tcPr>
            <w:tcW w:w="230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(156,241)</w:t>
            </w:r>
          </w:p>
        </w:tc>
      </w:tr>
      <w:tr>
        <w:trPr>
          <w:trHeight w:val="33"/>
        </w:trPr>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230,703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61,778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1,020,405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decline in the price of and demand for oil, as well as our expectations about capital expenditures in 2020 and beliefs with respect to liquidity needs, including our ability to remain in compliance with our financial covenants. Actual results could differ materially from those projected in the forward-looking statements as a result of a number of important factors. For a discussion of known material factors that could affect our results, please refer to "Risk Factors" included in Part II, Item 1A of this report, “Risk Factors,” “Forward-Looking Statements,” and “Management’s Discussion and Analysis of Financial Condition and Results of Operations” included in our Annual Report on Form 10-K for the year ended December 31, 2019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Macroeconomic Environment</w:t>
      </w:r>
    </w:p>
    <w:p>
      <w:pPr>
        <w:spacing w:after="0" w:line="1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The majority of the demand for our services in our Canadian lodges and Australian villages is driven by on-going operations and maintenance of oil sands and mining facilities. In general, industry operating and maintenance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metallurgical (met) coal, liquefied natural gas (LNG) and iron ore. Other factors that can affect our business and financial results include the general global economic environment and regulatory changes in Canada, Australia, the U.S. and other markets, including governmental measures introduced to help slow the spread or mitigate the impact of COVID-19.</w:t>
      </w:r>
    </w:p>
    <w:p>
      <w:pPr>
        <w:spacing w:after="0" w:line="1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business is predominantly located in northern Alberta, Canada, British Columbia, Canada, Queensland, Australia and Western Australia. We derive most of our business from natural resource companies who are developing and producing oil sands and met coal resources and, to a lesser extent, other hydrocarbon and mineral resources. Approximately 70%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Generally, our core oil sands and Australian mining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0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spread of COVID-19 and the response thereto during the first half of 2020 has negatively impacted the global economy. The actions taken to mitigate the spread of COVID-19 and the risk of infection have altered, and are expected to continue to alter, governmental and private-sector policies and behaviors in ways that have had a significant negative effect on oil consumption, such as government-imposed or voluntary social distancing and quarantining, reduced travel and remote work policies.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While in mid-April 2020, OPEC+ (the combination of historical OPEC members and other significant oil producers, such as Russia) announced potential production cuts of up to approximately 10 million barrels per day, these cuts are not expected to be sufficient to avoid a historic glut in the second and third quarters of 2020. As a result, oil prices are expected to remain at low levels for the remainder of 2020.</w:t>
      </w:r>
    </w:p>
    <w:p>
      <w:pPr>
        <w:spacing w:after="0" w:line="11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economic disruption in 2020 caused by the decline in the price of and demand for oil has impacted the activity in the Canadian oil sands and we have seen a decrease in occupancy by our oil sands customers. A reduction in the occupancy at our Canadian oil sands lodges negatively impacted our business in the quarter ended June 30, 2020 and could continue to negatively impact our business if oil prices remain at the current lower levels. Due to lower oil prices and the economic disruption caused by COVID-19, we implemented certain cost containment initiatives, including salary and total compensation reductions of between 10% to 20% for the Board, executive leadership team and other senior management, headcount reduction in North America of approximately 25% in March through June 2020, and cutting expected 2020 capital spending by approximately 25%.</w:t>
      </w:r>
    </w:p>
    <w:p>
      <w:pPr>
        <w:spacing w:after="0" w:line="1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closely monitor the COVID-19 situation and have taken measures to help ensure the health and well-being of our employees, guests and contractors, including screening for individuals that enter our facilities, social distancing practices, enhanced cleaning and deep sanitization, the suspension of nonessential employee travel and work-from-home policies, where applicable.</w:t>
      </w:r>
    </w:p>
    <w:p>
      <w:pPr>
        <w:spacing w:after="0" w:line="10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Alberta, Canada. </w:t>
      </w:r>
      <w:r>
        <w:rPr>
          <w:rFonts w:ascii="Arial" w:cs="Arial" w:eastAsia="Arial" w:hAnsi="Arial"/>
          <w:sz w:val="16"/>
          <w:szCs w:val="16"/>
          <w:color w:val="auto"/>
        </w:rPr>
        <w:t>In Canada, Western Canadian Select (WCS) crude is the benchmark price for our oil sands customers. Pricing for WCS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several factors, including the underlying 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9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Certain expansionary oil pipeline projects have the potential to both drive incremental demand for mobile accommodations assets and to improve take-away capacity for Canadian oil sands producers over the longer term. While these pipeline projects, including Kinder Morgan’s Trans Mountain Pipeline and the Keystone XL Pipeline (KXL), have recently received incremental regulatory approvals, it is still not certain if any of the proposed pipeline projects will ultimately be constructed. These projects have been delayed due to the lack of agreement between the Canadian federal government, which supports the pipeline projects, and the British Columbia provincial government. The Canadian federal government recently acquired Kinder Morgan’s Trans Mountain Pipeline, approved the expansion of the project and is currently working through the construction timeline. It was recently announced that the Alberta provincial government will financially support the construction of the KXL pipeline and construction of this pipeline expansion could begin later in 2020. Additionally, the U.S. Supreme Court refused to renew a water permit for the KXL pipeline in July 2020. Construction of the KXL pipeline in the U.S. is currently suspended, which may delay connection of the pipeline with Canadian oil sands producers.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While WCS prices in the second quarter of 2020 averaged $19.73 per barrel, by June 30, 2020 the WCS price had increased to $29.14 per barrel.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WCS Differential decreased from $15.40 per barrel at the end of the first quarter of 2020 to $10.13 per barrel at the end of the second quarter of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July 24, 2020, the WTI price was $41.14 and the WCS price was $31.62, resulting in a WCS Differential of $9.52.</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depressed price levels of both WTI and WCS are expected to materially impact exploration, development, maintenance and production spending and activity by Canadian operators and, therefore, demand for our hospitality services. For example, on March 23, 2020, the Fort Hills Energy LP project announced a reduction of activity from two trains to one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train. Many of the publicly traded oil and gas companies have announced significant reductions in their spending forecasts for 2020, reductions in the range of 30-40%. Continued uncertainty, including about the impact of COVID-19, and commodity price volatility and regulatory complications are expected to cause our Canadian oil sands and pipeline customers to delay expansionary and maintenance spending and defer additional investments in their oil sands assets. Additionally, if oil prices do not improve, the resulting impact could continue to negatively affect the value of our long-lived assets.</w:t>
      </w:r>
    </w:p>
    <w:p>
      <w:pPr>
        <w:spacing w:after="0" w:line="7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British Columbia, Canada. </w:t>
      </w:r>
      <w:r>
        <w:rPr>
          <w:rFonts w:ascii="Arial" w:cs="Arial" w:eastAsia="Arial" w:hAnsi="Arial"/>
          <w:sz w:val="18"/>
          <w:szCs w:val="18"/>
          <w:color w:val="auto"/>
        </w:rPr>
        <w:t>Our Sitka Lodge supports the British Columbia LNG market and related pipeline projects. From a macroeconomic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standpoint, global LNG imports continued to significantly increase in 2019, rising by 40 million tonnes and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2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While Western Canada does not currently have any operational LNG export facilities, LNG Canada (LNGC),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As a result, British Columbia LNG activity and related pipeline projects have become a material driver of activity for our Sitka Lodge, as well as for our mobile fleet assets, which are contracted to serve several portions of the related pipeline construction activity. The actual timing of when revenue is realized from the CGL pipeline and Sitka Lodge contracts could be impacted by any delays in the construction of the Kitimat LNG Facility or the pipeline, including recent blockades that aim to delay construction. In late March 2020, LNGC announced steps being taken to reduce the spread of COVID-19, including reduction of the workforce at the project site to essential personnel only. This resulted in a reduction in occupancy at our Sitka Lodge during the second quarter of 2020. Occupancy at the Sitka Lodge has returned to expected levels during July 2020.</w:t>
      </w:r>
    </w:p>
    <w:p>
      <w:pPr>
        <w:spacing w:after="0" w:line="11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In Australia, 82% of our rooms are located in the Bowen Basin and primarily serve met coal mines in that region. Met coal pricing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growth in the Bowen Basin region is predominantly influenced by the levels of global steel production, which decreased by 6% during the first half of 2020 compared to the first half of 2019. As of July 24, 2020, met coal spot prices were $112 per metric tonne. Long-term demand for steel is expected to be driven by increased steel consumption per capita in developing economies, such as China and India, whose current consumption per capita is a fraction of developed countries. The outlook for steel consumption is currently uncertain from both a supply and demand perspective with some large iron ore and met coal producing jurisdictions curtailing or ceasing production during the COVID-19 pandemic, affecting supply. The impact on the demand for steel with the closure or curtailment of manufacturing in economies affected by COVID-19, which will only return to normal levels of consumption once jurisdictions lift quarantine requirements and manufacturing facilities are reopened, is also uncertain. There is a high likelihood that many countries will use infrastructure spend as part of their economic recovery plan, which would have a positive impact on the demand for met coal and the spot price. To date, we have not seen a decline in occupancy at our Australian villages resulting from COVID-19.</w:t>
      </w:r>
    </w:p>
    <w:p>
      <w:pPr>
        <w:spacing w:after="0" w:line="9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Activity in Western Australia is driven primarily by iron ore production, which is a key steel-making ingredient. As of July 24, 2020, iron ore spot prices were $106.27 per metric tonne.</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 2019, we acquired Action Industrial Catering (Action), a provider of catering and managed services to the mining industry in Western Australia. Accordingly, we also have contracts in place for customer-owned villages in Western Australia which service primarily iron ore mines in addition to gold, lithium and nickel mines. We believe prices are currently at a level that may contribute to increased activity over the long term if our customers view these price levels as sustainable.</w:t>
      </w:r>
    </w:p>
    <w:p>
      <w:pPr>
        <w:spacing w:after="0" w:line="11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Met coal and iron ore prices to date have remained at levels that should support the current levels of occupancy in our Australia villages and the customer locations that we manage under Action. Accordingly, we plan to continue focusing on enhancing the quality of our operations, maintaining financial discipline, proactively managing our business as market conditions continue to evolve and integrating Action into our business.</w:t>
      </w:r>
    </w:p>
    <w:p>
      <w:pPr>
        <w:spacing w:after="0" w:line="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U.S. </w:t>
      </w:r>
      <w:r>
        <w:rPr>
          <w:rFonts w:ascii="Arial" w:cs="Arial" w:eastAsia="Arial" w:hAnsi="Arial"/>
          <w:sz w:val="17"/>
          <w:szCs w:val="17"/>
          <w:color w:val="auto"/>
        </w:rPr>
        <w:t>Our U.S. business supports oil shale drilling and completion activity and is primarily tied to WTI oil prices in the U.S. shale formations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Permian Basin, the Mid-Continent, the Bakken and the Rockies. The U.S. oil rig count and associated completion activity has been negatively impacted in the first half of 2020 due to the global oil price decline discussed above. Currently, only 188 oil rigs were active at the end of the second quarter of 2020. The Permian Basin remains the most active U.S. unconventional play, representing 70% of the oil rigs in the U.S. market at the end of the second quarter of 2020. As of July 24, 2020, there were 181 active oil rigs in the U.S. (as measured by Bakerhughes.com). With the recent reduction in oil prices and resulting reduction in spending by exploration and production companies, we will be exiting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Bakken and Rockies markets for our mobile well site units. Those assets will either be sold or transported to our Texas and Oklahoma district locations. U.S. oil shale drilling and completion activity will continue to be dependent on sustained higher WTI oil prices, pipeline capacity and sufficient capital to support E&amp;P drilling and completion plans.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Recent Commodity Prices. </w:t>
      </w:r>
      <w:r>
        <w:rPr>
          <w:rFonts w:ascii="Arial" w:cs="Arial" w:eastAsia="Arial" w:hAnsi="Arial"/>
          <w:sz w:val="18"/>
          <w:szCs w:val="18"/>
          <w:color w:val="auto"/>
        </w:rPr>
        <w:t>Recent WTI crude, WCS crude and met coal pricing trends are as follows:</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 Price (1)</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2"/>
              </w:rPr>
              <w:t>Hard</w:t>
            </w: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rPr>
              <w:t>WTI</w:t>
            </w: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WCS</w:t>
            </w:r>
          </w:p>
        </w:tc>
        <w:tc>
          <w:tcPr>
            <w:tcW w:w="24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3"/>
              </w:rPr>
              <w:t>Coking Coal</w:t>
            </w:r>
          </w:p>
        </w:tc>
      </w:tr>
      <w:tr>
        <w:trPr>
          <w:trHeight w:val="216"/>
        </w:trPr>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Quarter</w:t>
            </w:r>
          </w:p>
        </w:tc>
        <w:tc>
          <w:tcPr>
            <w:tcW w:w="32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Crude</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Crude</w:t>
            </w: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5"/>
              </w:rPr>
              <w:t>(Met Coal)</w:t>
            </w:r>
          </w:p>
        </w:tc>
      </w:tr>
      <w:tr>
        <w:trPr>
          <w:trHeight w:val="230"/>
        </w:trPr>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ended</w:t>
            </w:r>
          </w:p>
        </w:tc>
        <w:tc>
          <w:tcPr>
            <w:tcW w:w="32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(per bbl)</w:t>
            </w: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 bbl)</w:t>
            </w:r>
          </w:p>
        </w:tc>
        <w:tc>
          <w:tcPr>
            <w:tcW w:w="24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0"/>
              </w:rPr>
              <w:t>(per tonne)</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Third Quarter through 7/24/2020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114.16</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2"/>
              </w:rPr>
              <w:t>6/30/2020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120.27</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3/31/2020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156.17</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0"/>
              </w:rPr>
              <w:t>12/30/2019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141.39</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9/30/2019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160.25</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2"/>
              </w:rPr>
              <w:t>6/30/2019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204.78</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3/31/2019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203.30</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223.02</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9/30/2018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188.46</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2"/>
              </w:rPr>
              <w:t>6/30/2018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189.41</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3/31/2018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228.82</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0"/>
              </w:rPr>
              <w:t>12/31/2017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202.33</w:t>
            </w: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9/30/2017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187.89</w:t>
            </w:r>
          </w:p>
        </w:tc>
      </w:tr>
      <w:tr>
        <w:trPr>
          <w:trHeight w:val="243"/>
        </w:trPr>
        <w:tc>
          <w:tcPr>
            <w:tcW w:w="3360" w:type="dxa"/>
            <w:vAlign w:val="bottom"/>
          </w:tcPr>
          <w:p>
            <w:pPr>
              <w:jc w:val="center"/>
              <w:spacing w:after="0"/>
              <w:rPr>
                <w:sz w:val="20"/>
                <w:szCs w:val="20"/>
                <w:color w:val="auto"/>
              </w:rPr>
            </w:pPr>
            <w:r>
              <w:rPr>
                <w:rFonts w:ascii="Arial" w:cs="Arial" w:eastAsia="Arial" w:hAnsi="Arial"/>
                <w:sz w:val="18"/>
                <w:szCs w:val="18"/>
                <w:color w:val="auto"/>
                <w:w w:val="92"/>
              </w:rPr>
              <w:t>6/30/2017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193.27</w:t>
            </w:r>
          </w:p>
        </w:tc>
      </w:tr>
    </w:tbl>
    <w:p>
      <w:pPr>
        <w:spacing w:after="0" w:line="350" w:lineRule="exact"/>
        <w:rPr>
          <w:sz w:val="20"/>
          <w:szCs w:val="20"/>
          <w:color w:val="auto"/>
        </w:rPr>
      </w:pPr>
    </w:p>
    <w:p>
      <w:pPr>
        <w:ind w:left="340" w:right="2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WCS crude prices are from Bloomberg and hard coking coal prices are from IHS Markit.</w:t>
      </w:r>
    </w:p>
    <w:p>
      <w:pPr>
        <w:spacing w:after="0" w:line="19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 reported financial results. Our business has historically derived the vast majority of its revenues and operating income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2"/>
              </w:rPr>
              <w:t>Three Months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left="52"/>
              <w:spacing w:after="0"/>
              <w:rPr>
                <w:sz w:val="20"/>
                <w:szCs w:val="20"/>
                <w:color w:val="auto"/>
              </w:rPr>
            </w:pPr>
            <w:r>
              <w:rPr>
                <w:rFonts w:ascii="Arial" w:cs="Arial" w:eastAsia="Arial" w:hAnsi="Arial"/>
                <w:sz w:val="18"/>
                <w:szCs w:val="18"/>
                <w:b w:val="1"/>
                <w:bCs w:val="1"/>
                <w:color w:val="auto"/>
                <w:w w:val="90"/>
              </w:rPr>
              <w:t>Six Months Ended</w:t>
            </w:r>
          </w:p>
        </w:tc>
        <w:tc>
          <w:tcPr>
            <w:tcW w:w="108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center"/>
              <w:ind w:left="52"/>
              <w:spacing w:after="0"/>
              <w:rPr>
                <w:sz w:val="20"/>
                <w:szCs w:val="20"/>
                <w:color w:val="auto"/>
              </w:rPr>
            </w:pPr>
            <w:r>
              <w:rPr>
                <w:rFonts w:ascii="Arial" w:cs="Arial" w:eastAsia="Arial" w:hAnsi="Arial"/>
                <w:sz w:val="18"/>
                <w:szCs w:val="18"/>
                <w:b w:val="1"/>
                <w:bCs w:val="1"/>
                <w:color w:val="auto"/>
                <w:w w:val="85"/>
              </w:rPr>
              <w:t>June 30,</w:t>
            </w:r>
          </w:p>
        </w:tc>
        <w:tc>
          <w:tcPr>
            <w:tcW w:w="10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820" w:type="dxa"/>
            <w:vAlign w:val="bottom"/>
          </w:tcPr>
          <w:p>
            <w:pPr>
              <w:jc w:val="right"/>
              <w:ind w:right="1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2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2"/>
              </w:rPr>
              <w:t>Average Canadian dollar to U.S.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dollar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Average Australian dollar to</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U.S. dollar</w:t>
            </w: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(0.04)</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(6.1)%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(6.8)%</w:t>
            </w:r>
          </w:p>
        </w:tc>
      </w:tr>
    </w:tbl>
    <w:p>
      <w:pPr>
        <w:spacing w:after="0" w:line="157"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106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Change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3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Canadian dollar to U.S. dollar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(0.04)</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(4.7)%</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280" w:type="dxa"/>
            <w:vAlign w:val="bottom"/>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(0.01)</w:t>
            </w:r>
          </w:p>
        </w:tc>
        <w:tc>
          <w:tcPr>
            <w:tcW w:w="1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(1.7)%</w:t>
            </w: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9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We continue to monitor the COVID-19 global pandemic and the responses thereto, the global economy, the price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crude oil, met coal and iron ore and the resultant impact on the capital spending plans of our customers in order to plan our business activities. In April 2020, we revised downward our 2020 capital expenditure plans</w:t>
      </w:r>
    </w:p>
    <w:p>
      <w:pPr>
        <w:sectPr>
          <w:pgSz w:w="11900" w:h="16838" w:orient="portrait"/>
          <w:cols w:equalWidth="0" w:num="1">
            <w:col w:w="11240"/>
          </w:cols>
          <w:pgMar w:left="320" w:top="1440" w:right="339" w:bottom="102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020" w:gutter="0" w:footer="0" w:header="0"/>
          <w:type w:val="continuous"/>
        </w:sectPr>
      </w:pPr>
    </w:p>
    <w:bookmarkStart w:id="23" w:name="page24"/>
    <w:bookmarkEnd w:id="23"/>
    <w:p>
      <w:pPr>
        <w:jc w:val="both"/>
        <w:spacing w:after="0" w:line="311" w:lineRule="auto"/>
        <w:rPr>
          <w:sz w:val="20"/>
          <w:szCs w:val="20"/>
          <w:color w:val="auto"/>
        </w:rPr>
      </w:pPr>
      <w:r>
        <w:rPr>
          <w:rFonts w:ascii="Arial" w:cs="Arial" w:eastAsia="Arial" w:hAnsi="Arial"/>
          <w:sz w:val="16"/>
          <w:szCs w:val="16"/>
          <w:color w:val="auto"/>
        </w:rPr>
        <w:t>and we currently expect that our 2020 capital expenditures, exclusive of any expansionary spending, which is contingent on obtaining customer contracts, will total approximately $15 million, compared to 2019 capital expenditures of $29.8 million. We may adjust our capital expenditure plans in the future as we continue to monitor the impact of COVID-19.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2020 capital expenditures.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 months ended June 30, 2020, is based on a comparison to the corresponding period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2020 Compared to Three Months Ended June 30, 2019</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50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r>
      <w:tr>
        <w:trPr>
          <w:trHeight w:val="236"/>
        </w:trPr>
        <w:tc>
          <w:tcPr>
            <w:tcW w:w="5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5080" w:type="dxa"/>
            <w:vAlign w:val="bottom"/>
          </w:tcPr>
          <w:p>
            <w:pPr>
              <w:ind w:left="12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52,986</w:t>
            </w:r>
          </w:p>
        </w:tc>
        <w:tc>
          <w:tcPr>
            <w:tcW w:w="100" w:type="dxa"/>
            <w:vAlign w:val="bottom"/>
          </w:tcPr>
          <w:p>
            <w:pPr>
              <w:spacing w:after="0"/>
              <w:rPr>
                <w:sz w:val="17"/>
                <w:szCs w:val="17"/>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78,102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(25,116)</w:t>
            </w:r>
          </w:p>
        </w:tc>
      </w:tr>
      <w:tr>
        <w:trPr>
          <w:trHeight w:val="209"/>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26,075</w:t>
            </w:r>
          </w:p>
        </w:tc>
      </w:tr>
      <w:tr>
        <w:trPr>
          <w:trHeight w:val="196"/>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(8,410)</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114,702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(7,451)</w:t>
            </w: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8"/>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7"/>
        </w:trPr>
        <w:tc>
          <w:tcPr>
            <w:tcW w:w="508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42,465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59,276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(16,811)</w:t>
            </w:r>
          </w:p>
        </w:tc>
      </w:tr>
      <w:tr>
        <w:trPr>
          <w:trHeight w:val="208"/>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18,858</w:t>
            </w:r>
          </w:p>
        </w:tc>
      </w:tr>
      <w:tr>
        <w:trPr>
          <w:trHeight w:val="197"/>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5,755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(4,154)</w:t>
            </w:r>
          </w:p>
        </w:tc>
      </w:tr>
      <w:tr>
        <w:trPr>
          <w:trHeight w:val="202"/>
        </w:trPr>
        <w:tc>
          <w:tcPr>
            <w:tcW w:w="50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83,133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(2,107)</w:t>
            </w:r>
          </w:p>
        </w:tc>
      </w:tr>
      <w:tr>
        <w:trPr>
          <w:trHeight w:val="196"/>
        </w:trPr>
        <w:tc>
          <w:tcPr>
            <w:tcW w:w="50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12,530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ind w:left="860"/>
              <w:spacing w:after="0"/>
              <w:rPr>
                <w:sz w:val="20"/>
                <w:szCs w:val="20"/>
                <w:color w:val="auto"/>
              </w:rPr>
            </w:pPr>
            <w:r>
              <w:rPr>
                <w:rFonts w:ascii="Arial" w:cs="Arial" w:eastAsia="Arial" w:hAnsi="Arial"/>
                <w:sz w:val="14"/>
                <w:szCs w:val="14"/>
                <w:color w:val="auto"/>
              </w:rPr>
              <w:t>(1,040)</w:t>
            </w:r>
          </w:p>
        </w:tc>
      </w:tr>
      <w:tr>
        <w:trPr>
          <w:trHeight w:val="209"/>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22,205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(8,791)</w:t>
            </w:r>
          </w:p>
        </w:tc>
      </w:tr>
      <w:tr>
        <w:trPr>
          <w:trHeight w:val="196"/>
        </w:trPr>
        <w:tc>
          <w:tcPr>
            <w:tcW w:w="50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ind w:left="860"/>
              <w:spacing w:after="0"/>
              <w:rPr>
                <w:sz w:val="20"/>
                <w:szCs w:val="20"/>
                <w:color w:val="auto"/>
              </w:rPr>
            </w:pPr>
            <w:r>
              <w:rPr>
                <w:rFonts w:ascii="Arial" w:cs="Arial" w:eastAsia="Arial" w:hAnsi="Arial"/>
                <w:sz w:val="14"/>
                <w:szCs w:val="14"/>
                <w:color w:val="auto"/>
              </w:rPr>
              <w:t>(5,546)</w:t>
            </w:r>
          </w:p>
        </w:tc>
      </w:tr>
      <w:tr>
        <w:trPr>
          <w:trHeight w:val="203"/>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income</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196"/>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116,543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134,209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(17,666)</w:t>
            </w:r>
          </w:p>
        </w:tc>
      </w:tr>
      <w:tr>
        <w:trPr>
          <w:trHeight w:val="202"/>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10,215</w:t>
            </w:r>
          </w:p>
        </w:tc>
      </w:tr>
      <w:tr>
        <w:trPr>
          <w:trHeight w:val="216"/>
        </w:trPr>
        <w:tc>
          <w:tcPr>
            <w:tcW w:w="5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and income, net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2,848</w:t>
            </w:r>
          </w:p>
        </w:tc>
      </w:tr>
      <w:tr>
        <w:trPr>
          <w:trHeight w:val="1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12,642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11,587</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(loss) before income taxes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(17,699)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24,650</w:t>
            </w:r>
          </w:p>
        </w:tc>
      </w:tr>
      <w:tr>
        <w:trPr>
          <w:trHeight w:val="1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(2,972)</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 (loss)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6,829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21,678</w:t>
            </w: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222</w:t>
            </w:r>
          </w:p>
        </w:tc>
      </w:tr>
      <w:tr>
        <w:trPr>
          <w:trHeight w:val="20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6,607</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(14,849)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21,456</w:t>
            </w:r>
          </w:p>
        </w:tc>
      </w:tr>
      <w:tr>
        <w:trPr>
          <w:trHeight w:val="196"/>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Dividends attributable to preferred shares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r>
      <w:tr>
        <w:trPr>
          <w:trHeight w:val="22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6,136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21,446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reported net income attributable to Civeo for the quarter ended June 30, 2020 of $6.1 million, or $0.03 per diluted share. As further discussed below, net income included $4.7 million ($4.7 million after-tax, or $0.03 per diluted share) of income associated with the settlement of a representations and warranties claim related to the Noralta acquisition included in Other income.</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reported net loss attributable to Civeo for the quarter ended June 30, 2019 of $15.3 million, or $0.09 per diluted share. As further discussed below, net loss included a $5.5 million pre-tax loss ($5.5 million after-tax, or $0.03 per diluted share) resulting from the impairment of fixed assets included in Impairment expense.</w:t>
      </w:r>
    </w:p>
    <w:p>
      <w:pPr>
        <w:spacing w:after="0" w:line="7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$7.5 million, or 6%, in the second quarter of 2020 compared to the second quarter of 2019. This</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lower revenue in Canada resulting from lower occupancy at oil sands lodges and reduced food services activity, both related to the COVID-19 pandemic and lower oil prices. Additionally, lower</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activity levels in certain markets in the U.S. and weaker Canadian and Australian dollars relative to the U.S. dollar in the second quarter of 2020 compared to the second quarter of 2019 contributed to decreased revenues. These items were partially offset by higher revenues in Australia due to the Action acquisition completed on July 1, 2019, increased occupancy at our Bowen Basin villages and increased mobile camp activity from a pipeline project in Canada. See the discussion of segment results of operations below for further information.</w:t>
      </w:r>
    </w:p>
    <w:p>
      <w:pPr>
        <w:spacing w:after="0" w:line="11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and services decreased $2.1 million, or 2%, in the second quarter of 2020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2019. This decrease was primarily due to lower cost of sales in Canada resulting from lower occupancy at oil sands lodges and reduced food services activity, both related to the COVID-19 pandemic and lower oil prices. Additionally, lower activity levels in certain markets in the U.S. and weaker Canadian and Australian dollars relative to the U.S. dollar in the second quarter of 2020 compared to the second quarter of 2019 contributed to decreased cost of sales and services. This was partially offset by the Action acquisition, increased occupancy at our Bowen Basin villages in Australia and higher cost of sales and services due to increased mobile camp activity from a pipeline project in Canada. See the discussion of segment results of operations below for further information.</w:t>
      </w:r>
    </w:p>
    <w:p>
      <w:pPr>
        <w:spacing w:after="0" w:line="10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$1.0 million, or 8%, in the second quarter of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2019. This decrease was primarily due to lower share-based compensation expense, lower professional fees and lower travel and entertainment expenses, partially offset by higher incentive compensation costs. The decrease in share-based compensation was due to a reduction in the amount of restricted share and performance share awards outstanding and the reduction in our stock price associated with phantom share awards during the second quarter of 2020 compared to the second quarter of 2019.</w:t>
      </w:r>
    </w:p>
    <w:p>
      <w:pPr>
        <w:spacing w:after="0" w:line="11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$8.8 million, or 28%, in the second quarter of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2019. The decrease was primarily due to (1) certain assets and intangibles becoming fully depreciated during 2019, (2) the extension of the remaining life of certain long-lived accommodation assets in Canada during the fourth quarter of 2019, (3) the impairment of certain long-lived assets in Canada and the U.S. during the first quarter of 2020 and (4) weaker Canadian and Australian dollars relative to the U.S. dollar in the second quarter of 2020 compared to the second quarter of 2019. These items were partially offset by additional depreciation and intangible amortization expense related to our Action acquisition in 2019.</w:t>
      </w:r>
    </w:p>
    <w:p>
      <w:pPr>
        <w:spacing w:after="0" w:line="120"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$5.5 million in second quarter of 2019 associated with long-lived assets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reporting unit. Please see Note 6 - Impairment Charges to the notes to the unaudited consolidated financial statements included in Item 1 of this quarterly report for further discussion.</w:t>
      </w:r>
    </w:p>
    <w:p>
      <w:pPr>
        <w:spacing w:after="0" w:line="20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loss decreased $10.2 million, or 85%, in the second quarter of 2020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primarily due to lower depreciation and amortization expense, lower impairment expense and increased activity levels in Australia, partially offset by decreased activity levels in Canada and U.S. markets.</w:t>
      </w:r>
    </w:p>
    <w:p>
      <w:pPr>
        <w:spacing w:after="0" w:line="17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decreased by $2.8 million, or 43%, in the second quarter of 2020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primarily related to lower average debt levels and lower interest rates on term loan and revolving credit facility borrowings during 2020 compared to 2019.</w:t>
      </w:r>
    </w:p>
    <w:p>
      <w:pPr>
        <w:spacing w:after="0" w:line="203"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$11.6 million, or 1098%, in the second quarter of 2020 compared to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primarily due to $4.7 million of other income associated with the settlement of a representations and warranties claim related to the Noralta acquisition, $6.2 million of other income related to proceeds from the Canada Emergency Wage Subsidy (CEWS) and a higher gain on sale of assets compared to the second quarter of 2019. The second quarter of 2019 included $1.1 million of other income related to proceeds from an insurance claim associated with the closure of a lodge in 2018 for maintenance-related operational issues.</w:t>
      </w:r>
    </w:p>
    <w:p>
      <w:pPr>
        <w:spacing w:after="0" w:line="18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three months ended June 30, 2020 totaled $0.1 million, or 1.8% of pretax loss, compared to a</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$2.9 million, or 16.1% of pretax loss, for the three months ended June 30, 2019. Under ASC 740-270, "Accounting for Income Taxes," the quarterly tax provision is based on our current estimate of the annual effective tax rate less the prior quarter's year-to-date provision.</w:t>
      </w:r>
    </w:p>
    <w:p>
      <w:pPr>
        <w:spacing w:after="0" w:line="18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$28.3 million in the second quarter of 2020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primarily as a result of foreign currency translation adjustments due to changes in the Canadian and Australian dollar exchange rates compared to the U.S. dollar. The Canadian dollar exchange rate compared to the U.S. dollar decreased 4% in the second quarter of 2020 compared to a 2% increase in the second quarter of 2019.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Australian dollar exchange rate compared to the U.S. dollar decreased 2% in the second quarter of 2020 compared to a 1% decrease in the second quarter of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5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6"/>
        </w:trPr>
        <w:tc>
          <w:tcPr>
            <w:tcW w:w="486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40,204</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66,183</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(25,979)</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revenue (2)</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4,253</w:t>
            </w:r>
          </w:p>
        </w:tc>
      </w:tr>
      <w:tr>
        <w:trPr>
          <w:trHeight w:val="196"/>
        </w:trPr>
        <w:tc>
          <w:tcPr>
            <w:tcW w:w="4860" w:type="dxa"/>
            <w:vAlign w:val="bottom"/>
          </w:tcPr>
          <w:p>
            <w:pPr>
              <w:ind w:left="140"/>
              <w:spacing w:after="0"/>
              <w:rPr>
                <w:sz w:val="20"/>
                <w:szCs w:val="20"/>
                <w:color w:val="auto"/>
              </w:rPr>
            </w:pPr>
            <w:r>
              <w:rPr>
                <w:rFonts w:ascii="Arial" w:cs="Arial" w:eastAsia="Arial" w:hAnsi="Arial"/>
                <w:sz w:val="14"/>
                <w:szCs w:val="14"/>
                <w:color w:val="auto"/>
              </w:rPr>
              <w:t>Food service and other services revenue (3)</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(2,376)</w:t>
            </w:r>
          </w:p>
        </w:tc>
      </w:tr>
      <w:tr>
        <w:trPr>
          <w:trHeight w:val="203"/>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Manufacturing revenue (4)</w:t>
            </w: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(1,014)</w:t>
            </w:r>
          </w:p>
        </w:tc>
      </w:tr>
      <w:tr>
        <w:trPr>
          <w:trHeight w:val="196"/>
        </w:trPr>
        <w:tc>
          <w:tcPr>
            <w:tcW w:w="486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52,986</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78,102</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(25,116)</w:t>
            </w:r>
          </w:p>
        </w:tc>
      </w:tr>
      <w:tr>
        <w:trPr>
          <w:trHeight w:val="154"/>
        </w:trPr>
        <w:tc>
          <w:tcPr>
            <w:tcW w:w="48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28,598</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45,145</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(16,547)</w:t>
            </w:r>
          </w:p>
        </w:tc>
      </w:tr>
      <w:tr>
        <w:trPr>
          <w:trHeight w:val="196"/>
        </w:trPr>
        <w:tc>
          <w:tcPr>
            <w:tcW w:w="4860" w:type="dxa"/>
            <w:vAlign w:val="bottom"/>
          </w:tcPr>
          <w:p>
            <w:pPr>
              <w:ind w:left="140"/>
              <w:spacing w:after="0"/>
              <w:rPr>
                <w:sz w:val="20"/>
                <w:szCs w:val="20"/>
                <w:color w:val="auto"/>
              </w:rPr>
            </w:pPr>
            <w:r>
              <w:rPr>
                <w:rFonts w:ascii="Arial" w:cs="Arial" w:eastAsia="Arial" w:hAnsi="Arial"/>
                <w:sz w:val="14"/>
                <w:szCs w:val="14"/>
                <w:color w:val="auto"/>
              </w:rPr>
              <w:t>Mobile facility rental cost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3,258</w:t>
            </w:r>
          </w:p>
        </w:tc>
      </w:tr>
      <w:tr>
        <w:trPr>
          <w:trHeight w:val="209"/>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(2,303)</w:t>
            </w:r>
          </w:p>
        </w:tc>
      </w:tr>
      <w:tr>
        <w:trPr>
          <w:trHeight w:val="196"/>
        </w:trPr>
        <w:tc>
          <w:tcPr>
            <w:tcW w:w="4860" w:type="dxa"/>
            <w:vAlign w:val="bottom"/>
          </w:tcPr>
          <w:p>
            <w:pPr>
              <w:ind w:left="140"/>
              <w:spacing w:after="0"/>
              <w:rPr>
                <w:sz w:val="20"/>
                <w:szCs w:val="20"/>
                <w:color w:val="auto"/>
              </w:rPr>
            </w:pPr>
            <w:r>
              <w:rPr>
                <w:rFonts w:ascii="Arial" w:cs="Arial" w:eastAsia="Arial" w:hAnsi="Arial"/>
                <w:sz w:val="14"/>
                <w:szCs w:val="14"/>
                <w:color w:val="auto"/>
              </w:rPr>
              <w:t>Manufacturing cost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(527)</w:t>
            </w:r>
          </w:p>
        </w:tc>
      </w:tr>
      <w:tr>
        <w:trPr>
          <w:trHeight w:val="203"/>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(692)</w:t>
            </w:r>
          </w:p>
        </w:tc>
      </w:tr>
      <w:tr>
        <w:trPr>
          <w:trHeight w:val="196"/>
        </w:trPr>
        <w:tc>
          <w:tcPr>
            <w:tcW w:w="486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42,465</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59,276</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(16,811)</w:t>
            </w:r>
          </w:p>
        </w:tc>
      </w:tr>
      <w:tr>
        <w:trPr>
          <w:trHeight w:val="154"/>
        </w:trPr>
        <w:tc>
          <w:tcPr>
            <w:tcW w:w="48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 %</w:t>
            </w:r>
          </w:p>
        </w:tc>
      </w:tr>
      <w:tr>
        <w:trPr>
          <w:trHeight w:val="155"/>
        </w:trPr>
        <w:tc>
          <w:tcPr>
            <w:tcW w:w="48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7"/>
        </w:trPr>
        <w:tc>
          <w:tcPr>
            <w:tcW w:w="4860" w:type="dxa"/>
            <w:vAlign w:val="bottom"/>
          </w:tcPr>
          <w:p>
            <w:pPr>
              <w:ind w:left="20"/>
              <w:spacing w:after="0"/>
              <w:rPr>
                <w:sz w:val="20"/>
                <w:szCs w:val="20"/>
                <w:color w:val="auto"/>
              </w:rPr>
            </w:pPr>
            <w:r>
              <w:rPr>
                <w:rFonts w:ascii="Arial" w:cs="Arial" w:eastAsia="Arial" w:hAnsi="Arial"/>
                <w:sz w:val="14"/>
                <w:szCs w:val="14"/>
                <w:color w:val="auto"/>
              </w:rPr>
              <w:t>Average daily rate for lodges (5)</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96</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89</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7</w:t>
            </w:r>
          </w:p>
        </w:tc>
      </w:tr>
      <w:tr>
        <w:trPr>
          <w:trHeight w:val="155"/>
        </w:trPr>
        <w:tc>
          <w:tcPr>
            <w:tcW w:w="48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Total billed rooms for lodges (6)</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409,897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739,627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(329,730)</w:t>
            </w:r>
          </w:p>
        </w:tc>
      </w:tr>
      <w:tr>
        <w:trPr>
          <w:trHeight w:val="155"/>
        </w:trPr>
        <w:tc>
          <w:tcPr>
            <w:tcW w:w="48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0.72</w:t>
            </w: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0.75</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(0.03)</w:t>
            </w:r>
          </w:p>
        </w:tc>
      </w:tr>
    </w:tbl>
    <w:p>
      <w:pPr>
        <w:spacing w:after="0" w:line="32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Canadian segment reported revenues in the second quarter of 2020 that were $25.1 million, or 32%, lower than the second quarter of 2019. The weakening of the average exchange rates for the Canadian dollar relative to the U.S. dollar by 4% in the second quarter of 2020 compared to the second quarter of 2019 resulted in a $1.9 million period-over-period decrease in revenues. Excluding the impact of the weaker Canadian exchange rates, the segment experienced a 30% decrease in revenues. This decrease was driven by lower occupancy at oil sands lodges, where billed rooms were down 45% year-over-year, and reduced food services activity. These decreases were both related to the COVID-19 pandemic and lower oil prices. Additionally, revenue was negatively impacted by reduced manufacturing activity as 2019 included two projects that did not recur in 2020. Partially offsetting these items was increased mobile camp activity from a pipeline project.</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Canadian segment cost of sales and services decreased $16.8 million, or 28%, in the second quarter of 2020 compared to the second quarter of 2019. The weakening of the average exchange rates for the Canadian dollar relative to the U.S. dollar by 4% in the second quarter of 2020 compared to the second quarter of 2019 resulted in a $1.5 million period-over-period decrease in cost of sales and services. Excluding the impact of the weaker Canadian exchange rates, the decreased cost of sales and services was driven by lower occupancy at our oil sands lodges and reduced food services activity. These decreases were both related to the COVID-19 pandemic and lower oil prices. Additionally, lower costs resulted from reduced indirect other costs due to a continued focus on cost containment and operational efficiencies, partially offset by increased costs related to enhanced measures during the COVID-19 pandemic and increased mobile camp activity.</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6" w:name="page27"/>
    <w:bookmarkEnd w:id="26"/>
    <w:p>
      <w:pPr>
        <w:jc w:val="both"/>
        <w:ind w:firstLine="486"/>
        <w:spacing w:after="0" w:line="263" w:lineRule="auto"/>
        <w:rPr>
          <w:sz w:val="20"/>
          <w:szCs w:val="20"/>
          <w:color w:val="auto"/>
        </w:rPr>
      </w:pPr>
      <w:r>
        <w:rPr>
          <w:rFonts w:ascii="Arial" w:cs="Arial" w:eastAsia="Arial" w:hAnsi="Arial"/>
          <w:sz w:val="18"/>
          <w:szCs w:val="18"/>
          <w:color w:val="auto"/>
        </w:rPr>
        <w:t>Our Canadian segment gross margin as a percentage of revenues decreased from 24.1% in the second quarter of 2019 to 19.9% in the second quarter of 2020. This was primarily driven by increased costs related to enhanced measures during the COVID-19 pandemic, as well as reduced operating efficiencies due to lower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188"/>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97"/>
        </w:trPr>
        <w:tc>
          <w:tcPr>
            <w:tcW w:w="470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34,933</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30,996</w:t>
            </w:r>
          </w:p>
        </w:tc>
        <w:tc>
          <w:tcPr>
            <w:tcW w:w="66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3,937</w:t>
            </w: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revenue (2)</w:t>
            </w: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22,138</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22,138</w:t>
            </w:r>
          </w:p>
        </w:tc>
      </w:tr>
      <w:tr>
        <w:trPr>
          <w:trHeight w:val="196"/>
        </w:trPr>
        <w:tc>
          <w:tcPr>
            <w:tcW w:w="470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57,071</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30,996</w:t>
            </w:r>
          </w:p>
        </w:tc>
        <w:tc>
          <w:tcPr>
            <w:tcW w:w="66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26,075</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Cost of sales ($ in thousands)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15,269</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w:t>
            </w:r>
          </w:p>
        </w:tc>
        <w:tc>
          <w:tcPr>
            <w:tcW w:w="660" w:type="dxa"/>
            <w:vAlign w:val="bottom"/>
            <w:gridSpan w:val="3"/>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w:t>
            </w:r>
          </w:p>
        </w:tc>
      </w:tr>
      <w:tr>
        <w:trPr>
          <w:trHeight w:val="196"/>
        </w:trPr>
        <w:tc>
          <w:tcPr>
            <w:tcW w:w="470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18,759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18,759</w:t>
            </w: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295</w:t>
            </w:r>
          </w:p>
        </w:tc>
      </w:tr>
      <w:tr>
        <w:trPr>
          <w:trHeight w:val="196"/>
        </w:trPr>
        <w:tc>
          <w:tcPr>
            <w:tcW w:w="470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34,913</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16,055</w:t>
            </w:r>
          </w:p>
        </w:tc>
        <w:tc>
          <w:tcPr>
            <w:tcW w:w="66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18,858</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 %</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Average daily rate for villages (3)</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74</w:t>
            </w:r>
          </w:p>
        </w:tc>
        <w:tc>
          <w:tcPr>
            <w:tcW w:w="66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(4)</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Total billed rooms for villages (4)</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502,392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416,416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85,976</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0.66</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0.70</w:t>
            </w:r>
          </w:p>
        </w:tc>
        <w:tc>
          <w:tcPr>
            <w:tcW w:w="660" w:type="dxa"/>
            <w:vAlign w:val="bottom"/>
            <w:gridSpan w:val="3"/>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(0.04)</w:t>
            </w:r>
          </w:p>
        </w:tc>
      </w:tr>
    </w:tbl>
    <w:p>
      <w:pPr>
        <w:spacing w:after="0" w:line="33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Australian segment reported revenues in the second quarter of 2020 that were $26.1 million, or 84%, higher than the second quarter of 2019. Action contributed $22.1 million in revenues in the second quarter of 2020. The weakening of the average exchange rates for Australian dollars relative to the U.S. dollar by 6% in the second quarter of 2020 compared to the second quarter of 2019 resulted in a $2.2 million period-over-period decrease in revenues and a $5 reduction in the average daily rate. Excluding the impact of the weaker Australian exchange rates, the Australian segment experienced an 96% increase in revenues largely due to the Action acquisition and increased occupancy of our Bowen Basin villages, partially offset by decreased activity at our Western Australia villages.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Australian segment cost of sales increased $18.9 million, or 117%, in the second quarter of 2020 compared to the second quarter of 2019. The increase was largely driven by the Action acquisition. Increases also related to increased occupancy at our Bowen Basin villages which were entirely offset by decreased activity at our Western Australia villages, additional accretion expense in 2019 related to an asset retirement obligation at one of our Australia villages and the weakening of the Australian dollar.</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Australian segment gross margin as a percentage of revenues decreased to 38.8% in the second quarter of 2020 from 48.2% in the second quarter of 2019. This was primarily driven by Action, which has a service-only business model and therefore results in lower overall gross margins than the accommodation business, partially offset by improved margins at our Bowen Basin villages as a result of increased occupancy.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4,645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13,055</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(8,410)</w:t>
            </w:r>
          </w:p>
        </w:tc>
      </w:tr>
      <w:tr>
        <w:trPr>
          <w:trHeight w:val="216"/>
        </w:trPr>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in thousands)</w:t>
            </w:r>
          </w:p>
        </w:tc>
        <w:tc>
          <w:tcPr>
            <w:tcW w:w="11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5,755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(4,154)</w:t>
            </w:r>
          </w:p>
        </w:tc>
      </w:tr>
      <w:tr>
        <w:trPr>
          <w:trHeight w:val="216"/>
        </w:trPr>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as a % of revenues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(23.9)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 %</w:t>
            </w: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U.S. segment reported revenues in the second quarter of 2020 that were $8.4 million, or 64%, lower than the second quarter of 2019. This was primarily due to reduced occupancy at our West Permian, Killdeer and Acadian Acres lodges, reduced U.S. drilling activity affecting our wellsite business and reduced activity in our offshore rental business, all resulting from the COVID-19 pandemic and lower oil prices.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U.S. segment cost of sales decreased $4.2 million, or 42%, in the second quarter of 2020 compared to the second quarter of 2019. The decrease was driven by reduced occupancy at our West Permian and Killdeer lodges, reduced U.S. drilling activity affecting our wellsite business and reduced activity in our offshore rental business.</w:t>
      </w:r>
    </w:p>
    <w:p>
      <w:pPr>
        <w:spacing w:after="0" w:line="21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Our U.S. segment gross margin as a percentage of revenues decreased from 24.1% in the second quarter of 2019 to (23.9)% in the second quarter of 2020 primarily due to reduced activity in all areas of the business and reduced operating efficiencies at lower activity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Results of Operations – Six Months Ended June 30, 2020 Compared to Six Months Ended June 30, 2019</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50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237"/>
        </w:trPr>
        <w:tc>
          <w:tcPr>
            <w:tcW w:w="5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8"/>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5080" w:type="dxa"/>
            <w:vAlign w:val="bottom"/>
          </w:tcPr>
          <w:p>
            <w:pPr>
              <w:ind w:left="12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132,334</w:t>
            </w:r>
          </w:p>
        </w:tc>
        <w:tc>
          <w:tcPr>
            <w:tcW w:w="100" w:type="dxa"/>
            <w:vAlign w:val="bottom"/>
          </w:tcPr>
          <w:p>
            <w:pPr>
              <w:spacing w:after="0"/>
              <w:rPr>
                <w:sz w:val="17"/>
                <w:szCs w:val="17"/>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144,872</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(12,538)</w:t>
            </w:r>
          </w:p>
        </w:tc>
      </w:tr>
      <w:tr>
        <w:trPr>
          <w:trHeight w:val="209"/>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106,184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46,767</w:t>
            </w:r>
          </w:p>
        </w:tc>
      </w:tr>
      <w:tr>
        <w:trPr>
          <w:trHeight w:val="196"/>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14,976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(11,438)</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253,494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230,703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22,791</w:t>
            </w:r>
          </w:p>
        </w:tc>
      </w:tr>
      <w:tr>
        <w:trPr>
          <w:trHeight w:val="197"/>
        </w:trPr>
        <w:tc>
          <w:tcPr>
            <w:tcW w:w="50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8"/>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7"/>
        </w:trPr>
        <w:tc>
          <w:tcPr>
            <w:tcW w:w="508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106,737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113,923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(7,186)</w:t>
            </w:r>
          </w:p>
        </w:tc>
      </w:tr>
      <w:tr>
        <w:trPr>
          <w:trHeight w:val="208"/>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33,412</w:t>
            </w:r>
          </w:p>
        </w:tc>
      </w:tr>
      <w:tr>
        <w:trPr>
          <w:trHeight w:val="197"/>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15,243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19,893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(4,650)</w:t>
            </w:r>
          </w:p>
        </w:tc>
      </w:tr>
      <w:tr>
        <w:trPr>
          <w:trHeight w:val="202"/>
        </w:trPr>
        <w:tc>
          <w:tcPr>
            <w:tcW w:w="50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186,446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21,576</w:t>
            </w:r>
          </w:p>
        </w:tc>
      </w:tr>
      <w:tr>
        <w:trPr>
          <w:trHeight w:val="196"/>
        </w:trPr>
        <w:tc>
          <w:tcPr>
            <w:tcW w:w="50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25,427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28,626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(3,199)</w:t>
            </w:r>
          </w:p>
        </w:tc>
      </w:tr>
      <w:tr>
        <w:trPr>
          <w:trHeight w:val="208"/>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47,707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(14,071)</w:t>
            </w:r>
          </w:p>
        </w:tc>
      </w:tr>
      <w:tr>
        <w:trPr>
          <w:trHeight w:val="197"/>
        </w:trPr>
        <w:tc>
          <w:tcPr>
            <w:tcW w:w="50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144,120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138,574</w:t>
            </w:r>
          </w:p>
        </w:tc>
      </w:tr>
      <w:tr>
        <w:trPr>
          <w:trHeight w:val="203"/>
        </w:trPr>
        <w:tc>
          <w:tcPr>
            <w:tcW w:w="5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 (income)</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872</w:t>
            </w:r>
          </w:p>
        </w:tc>
      </w:tr>
      <w:tr>
        <w:trPr>
          <w:trHeight w:val="196"/>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404,404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260,652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143,752</w:t>
            </w:r>
          </w:p>
        </w:tc>
      </w:tr>
      <w:tr>
        <w:trPr>
          <w:trHeight w:val="202"/>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(150,910)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(120,961)</w:t>
            </w:r>
          </w:p>
        </w:tc>
      </w:tr>
      <w:tr>
        <w:trPr>
          <w:trHeight w:val="216"/>
        </w:trPr>
        <w:tc>
          <w:tcPr>
            <w:tcW w:w="5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and income, net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3,877</w:t>
            </w:r>
          </w:p>
        </w:tc>
      </w:tr>
      <w:tr>
        <w:trPr>
          <w:trHeight w:val="1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12,667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8,634</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before income taxes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(147,672)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(108,450)</w:t>
            </w:r>
          </w:p>
        </w:tc>
      </w:tr>
      <w:tr>
        <w:trPr>
          <w:trHeight w:val="1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8,689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1,355</w:t>
            </w:r>
          </w:p>
        </w:tc>
      </w:tr>
      <w:tr>
        <w:trPr>
          <w:trHeight w:val="202"/>
        </w:trPr>
        <w:tc>
          <w:tcPr>
            <w:tcW w:w="5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(138,983)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(107,095)</w:t>
            </w:r>
          </w:p>
        </w:tc>
      </w:tr>
      <w:tr>
        <w:trPr>
          <w:trHeight w:val="196"/>
        </w:trPr>
        <w:tc>
          <w:tcPr>
            <w:tcW w:w="508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480</w:t>
            </w:r>
          </w:p>
        </w:tc>
      </w:tr>
      <w:tr>
        <w:trPr>
          <w:trHeight w:val="20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4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(139,463)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(31,888)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(107,575)</w:t>
            </w:r>
          </w:p>
        </w:tc>
      </w:tr>
      <w:tr>
        <w:trPr>
          <w:trHeight w:val="196"/>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Dividends attributable to preferred shares</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r>
      <w:tr>
        <w:trPr>
          <w:trHeight w:val="22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(140,402)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(107,594)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reported net loss attributable to Civeo for the six months ended June 30, 2020 of $140.4 million, or $0.83 per diluted share. As further discussed below, net loss included (i) a $93.6 million pre-tax loss ($93.6 million after-tax, or $0.55 per diluted share) resulting from the impairment of goodwill in our Canadian reporting unit included in Impairment expense, (ii) a $38.1 million pre-tax loss ($38.1 million after-tax, or $0.23 per diluted share) resulting from the impairment of long-lived assets in our Canadian reporting unit included in Impairment expense and (iii) a $12.4 million pre-tax loss ($12.4 million after-tax, or $0.07 per diluted share) resulting from the impairment of long-lived assets in our U.S. reporting unit included in Impairment expense. Net loss was partially offset by $4.7 million ($4.7 million after-tax, or $0.03 per diluted share) of income associated with the settlement of a representations and warranties claim related to the Noralta acquisition included in Other income.</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reported net loss attributable to Civeo for the six months ended June 30, 2019 of $32.8 million, or $(0.20) per diluted share. As further discussed below, net loss included a $5.5 million pre-tax loss ($5.5 million after-tax, or $0.03 per diluted share) resulting from the impairment of fixed assets included in Impairment expense.</w:t>
      </w:r>
    </w:p>
    <w:p>
      <w:pPr>
        <w:spacing w:after="0" w:line="7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$22.8 million, or 10%, in the six months ended June 30, 2020 compared to the six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2019. This increase was primarily due to higher revenues in Australia due to the Action acquisition completed on July 1, 2019, increased occupancy at our Bowen Basin villages and at our Sitka Lodge, as well as higher mobile camp revenues in Canada related to a pipeline project. These items were partially offset by lower revenue from reduced occupancy at our north oil sands lodges in Canada resulting from the COVID-19 pandemic and lower oil prices. Additionally, lower activity levels in certain markets in the U.S. and weaker Canadian and Australian dollars relative to the U.S. dollar in the six months ended June 30, 2020 compared to the six months ended June 30, 2019 also offset the increased revenues. See the discussion of segment results of operations below for further information.</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9" w:name="page30"/>
    <w:bookmarkEnd w:id="29"/>
    <w:p>
      <w:pPr>
        <w:spacing w:after="0" w:line="12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$21.6 million, or 13%, in the six months ended June 30, 2020</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six months ended June 30, 2019, primarily due to the Action acquisition and increased occupancy at our Bowen Basin villages in Australia and at our Sitka Lodge as well as higher cost of sales and services in Canada due to increased mobile camp activity from a pipeline project. These items were partially offset by decreased cost of sales and services due to reduced occupancy at our north oil sands lodges in Canada resulting from the COVID-19 pandemic and lower oil prices. Additionally, lower activity levels in certain markets in the U.S. and weaker Canadian and Australian dollars relative to the U.S. dollar in the six months ended June 30, 2020 compared to the six months ended June 30, 2019 offset the increased cost of sales and services. See the discussion of segment results of operations below for further information.</w:t>
      </w:r>
    </w:p>
    <w:p>
      <w:pPr>
        <w:spacing w:after="0" w:line="91" w:lineRule="exact"/>
        <w:rPr>
          <w:sz w:val="20"/>
          <w:szCs w:val="20"/>
          <w:color w:val="auto"/>
        </w:rPr>
      </w:pPr>
    </w:p>
    <w:p>
      <w:pPr>
        <w:jc w:val="both"/>
        <w:ind w:firstLine="486"/>
        <w:spacing w:after="0" w:line="303"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decreased $3.2 million, or 11%, in the six months ended June 30, 2020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six months ended June 30, 2019. This decrease was primarily due to lower share-based compensation expense, partially offset by higher incentive compensation costs and professional fees. The decrease in share-based compensation was due to a reduction in the amount of phantom share awards outstanding and the reduction in our stock price during the six months ended June 30, 2020 compared to the six months ended June 30, 2019.</w:t>
      </w:r>
    </w:p>
    <w:p>
      <w:pPr>
        <w:spacing w:after="0" w:line="83"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$14.1 million, or 23%, in the six months ended June</w:t>
      </w:r>
      <w:r>
        <w:rPr>
          <w:rFonts w:ascii="Arial" w:cs="Arial" w:eastAsia="Arial" w:hAnsi="Arial"/>
          <w:sz w:val="17"/>
          <w:szCs w:val="17"/>
          <w:b w:val="1"/>
          <w:bCs w:val="1"/>
          <w:color w:val="auto"/>
        </w:rPr>
        <w:t xml:space="preserve"> </w:t>
      </w:r>
      <w:r>
        <w:rPr>
          <w:rFonts w:ascii="Arial" w:cs="Arial" w:eastAsia="Arial" w:hAnsi="Arial"/>
          <w:sz w:val="17"/>
          <w:szCs w:val="17"/>
          <w:color w:val="auto"/>
        </w:rPr>
        <w:t>30, 2020 compared to the six months ended June 30, 2019. The decrease was primarily due to (1) certain assets and intangibles becoming fully depreciated during 2019, (2) the extension of the remaining life of certain long-lived accommodation assets in Canada during the fourth quarter of 2019, (3) the impairment of certain long-lived assets in Canada and the U.S. during the first quarter of 2020 and (4) weaker Canadian and Australian dollars relative to the U.S. dollar in the six months ended June 30, 2020 compared to the six months ended June 30, 2019. These items were partially offset by additional depreciation and intangible amortization expense related to our acquisition in 2019.</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$144.1 million in the six months ended June 30, 2020 included the following items:</w:t>
      </w:r>
    </w:p>
    <w:p>
      <w:pPr>
        <w:spacing w:after="0" w:line="256"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Pre-tax impairment expense of $93.6 million related to the impairment of goodwill in our Canadian reporting unit.</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Pre-tax impairment expense of $38.1 million associated with long-lived assets in our Canadian reporting unit.</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Pre-tax impairment expense of $12.4 million associated with long-lived assets in our U.S. reporting unit.</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Impairment expense of $5.5 million in the six months ended June 30, 2019 was associated with long-lived assets in our Australian segment.</w:t>
      </w:r>
    </w:p>
    <w:p>
      <w:pPr>
        <w:spacing w:after="0" w:line="2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6 - Impairment Charges to the notes to the unaudited consolidated financial statements included in Item 1 of this quarterly report for further discussion.</w:t>
      </w:r>
    </w:p>
    <w:p>
      <w:pPr>
        <w:spacing w:after="0" w:line="19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loss increased $121.0 million, or 404%, in the six months ended June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2019 primarily due to impairments of goodwill and long-lived assets, partially offset by increased activity levels in Australia, as well as lower depreciation and amortization expense.</w:t>
      </w:r>
    </w:p>
    <w:p>
      <w:pPr>
        <w:spacing w:after="0" w:line="176"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decreased by $3.9 million, or 29%, in the six months ended June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ended June 30, 2019 primarily related to lower average debt levels and lower interest rates on term loan and revolving credit facility borrowings during 2020 compared to 2019.</w:t>
      </w:r>
    </w:p>
    <w:p>
      <w:pPr>
        <w:spacing w:after="0" w:line="203"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$8.6 million, or 214%, in the six months ended June 30, 2020 compared to the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2019, primarily due to $4.7 million of other income associated with the settlement of a representations and warranties claim related to the Noralta acquisition, $6.2 million of other income related to proceeds from the CEWS and a higher gain on sale of assets compared to the first half of 2019. The first half of 2019 included $2.6 million of other income related to proceeds from an insurance claim associated with the closure of a lodge in 2018 for maintenance-related operational issues.</w:t>
      </w:r>
    </w:p>
    <w:p>
      <w:pPr>
        <w:spacing w:after="0" w:line="17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six months ended June 30, 2020 totaled $8.7 million, or 5.9%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$7.3 million, or 18.7% of pretax loss, for the six months ended June 30, 2019. Our effective tax rate for the six months ended June 30, 2020 was impacted by a deferred tax benefit of $9.6 million offset by an increase of $0.7 million in the valuation allowance in Canada. For the six months ended June 30, 2020, Canada and the U.S. were considered loss jurisdictions for tax accounting purposes and were removed from the annual effective tax rate computation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for purposes of computing the interim tax provision. Although Australia is not considered a loss jurisdiction for the six months ended June 30, 2020, our effective tax rate is impacted by utilization of deferred tax assets and a release of the corresponding valuation allowance in Australia, resulting in no income tax expense for that jurisdiction. For the six months ended June 30, 2019, Australia and the U.S. were considered loss jurisdictions for tax accounting purposes and were removed from the annual effective tax rate computation for purposes of computing the interim tax provision.</w:t>
      </w:r>
    </w:p>
    <w:p>
      <w:pPr>
        <w:spacing w:after="0" w:line="194"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income decreased $25.6 million in the six months ended June 30, 2020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six months ended June 30, 2019, primarily as a result of foreign currency translation adjustments due to changes in the Canadian and Australian dollar exchange rates compared to the U.S. dollar. The Canadian dollar exchange rate compared to the U.S. dollar decreased 5% in the six months ended June 30, 2020 compared to a 4% increase in the six months ended June 30, 2019. The Australian dollar exchange rate compared to the U.S. dollar decreased 2% in the six months ended June 30, 2020 compared to a 1% decrease in the six months ended June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5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7"/>
        </w:trPr>
        <w:tc>
          <w:tcPr>
            <w:tcW w:w="486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106,270</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123,835</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(17,565)</w:t>
            </w:r>
          </w:p>
        </w:tc>
      </w:tr>
      <w:tr>
        <w:trPr>
          <w:trHeight w:val="208"/>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revenue (2)</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5,980</w:t>
            </w:r>
          </w:p>
        </w:tc>
      </w:tr>
      <w:tr>
        <w:trPr>
          <w:trHeight w:val="197"/>
        </w:trPr>
        <w:tc>
          <w:tcPr>
            <w:tcW w:w="4860" w:type="dxa"/>
            <w:vAlign w:val="bottom"/>
          </w:tcPr>
          <w:p>
            <w:pPr>
              <w:ind w:left="140"/>
              <w:spacing w:after="0"/>
              <w:rPr>
                <w:sz w:val="20"/>
                <w:szCs w:val="20"/>
                <w:color w:val="auto"/>
              </w:rPr>
            </w:pPr>
            <w:r>
              <w:rPr>
                <w:rFonts w:ascii="Arial" w:cs="Arial" w:eastAsia="Arial" w:hAnsi="Arial"/>
                <w:sz w:val="14"/>
                <w:szCs w:val="14"/>
                <w:color w:val="auto"/>
              </w:rPr>
              <w:t>Food service and other services revenue (3)</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17,423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61</w:t>
            </w:r>
          </w:p>
        </w:tc>
      </w:tr>
      <w:tr>
        <w:trPr>
          <w:trHeight w:val="202"/>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Manufacturing revenue (4)</w:t>
            </w:r>
          </w:p>
        </w:tc>
        <w:tc>
          <w:tcPr>
            <w:tcW w:w="4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(1,014)</w:t>
            </w:r>
          </w:p>
        </w:tc>
      </w:tr>
      <w:tr>
        <w:trPr>
          <w:trHeight w:val="196"/>
        </w:trPr>
        <w:tc>
          <w:tcPr>
            <w:tcW w:w="486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132,334</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144,872</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(12,538)</w:t>
            </w:r>
          </w:p>
        </w:tc>
      </w:tr>
      <w:tr>
        <w:trPr>
          <w:trHeight w:val="155"/>
        </w:trPr>
        <w:tc>
          <w:tcPr>
            <w:tcW w:w="4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7"/>
        </w:trPr>
        <w:tc>
          <w:tcPr>
            <w:tcW w:w="486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8"/>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76,653</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87,763</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(11,110)</w:t>
            </w:r>
          </w:p>
        </w:tc>
      </w:tr>
      <w:tr>
        <w:trPr>
          <w:trHeight w:val="197"/>
        </w:trPr>
        <w:tc>
          <w:tcPr>
            <w:tcW w:w="4860" w:type="dxa"/>
            <w:vAlign w:val="bottom"/>
          </w:tcPr>
          <w:p>
            <w:pPr>
              <w:ind w:left="140"/>
              <w:spacing w:after="0"/>
              <w:rPr>
                <w:sz w:val="20"/>
                <w:szCs w:val="20"/>
                <w:color w:val="auto"/>
              </w:rPr>
            </w:pPr>
            <w:r>
              <w:rPr>
                <w:rFonts w:ascii="Arial" w:cs="Arial" w:eastAsia="Arial" w:hAnsi="Arial"/>
                <w:sz w:val="14"/>
                <w:szCs w:val="14"/>
                <w:color w:val="auto"/>
              </w:rPr>
              <w:t>Mobile facility rental cost</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5,866</w:t>
            </w:r>
          </w:p>
        </w:tc>
      </w:tr>
      <w:tr>
        <w:trPr>
          <w:trHeight w:val="208"/>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cost</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w:t>
            </w:r>
          </w:p>
        </w:tc>
      </w:tr>
      <w:tr>
        <w:trPr>
          <w:trHeight w:val="197"/>
        </w:trPr>
        <w:tc>
          <w:tcPr>
            <w:tcW w:w="4860" w:type="dxa"/>
            <w:vAlign w:val="bottom"/>
          </w:tcPr>
          <w:p>
            <w:pPr>
              <w:ind w:left="140"/>
              <w:spacing w:after="0"/>
              <w:rPr>
                <w:sz w:val="20"/>
                <w:szCs w:val="20"/>
                <w:color w:val="auto"/>
              </w:rPr>
            </w:pPr>
            <w:r>
              <w:rPr>
                <w:rFonts w:ascii="Arial" w:cs="Arial" w:eastAsia="Arial" w:hAnsi="Arial"/>
                <w:sz w:val="14"/>
                <w:szCs w:val="14"/>
                <w:color w:val="auto"/>
              </w:rPr>
              <w:t>Manufacturing cost</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(560)</w:t>
            </w:r>
          </w:p>
        </w:tc>
      </w:tr>
      <w:tr>
        <w:trPr>
          <w:trHeight w:val="203"/>
        </w:trPr>
        <w:tc>
          <w:tcPr>
            <w:tcW w:w="4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4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5,067</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(1,259)</w:t>
            </w:r>
          </w:p>
        </w:tc>
      </w:tr>
      <w:tr>
        <w:trPr>
          <w:trHeight w:val="196"/>
        </w:trPr>
        <w:tc>
          <w:tcPr>
            <w:tcW w:w="486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106,737</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113,923</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(7,186)</w:t>
            </w:r>
          </w:p>
        </w:tc>
      </w:tr>
      <w:tr>
        <w:trPr>
          <w:trHeight w:val="154"/>
        </w:trPr>
        <w:tc>
          <w:tcPr>
            <w:tcW w:w="4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7"/>
        </w:trPr>
        <w:tc>
          <w:tcPr>
            <w:tcW w:w="486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55"/>
        </w:trPr>
        <w:tc>
          <w:tcPr>
            <w:tcW w:w="4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Average daily rate for lodges (5)</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91</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3</w:t>
            </w:r>
          </w:p>
        </w:tc>
      </w:tr>
      <w:tr>
        <w:trPr>
          <w:trHeight w:val="155"/>
        </w:trPr>
        <w:tc>
          <w:tcPr>
            <w:tcW w:w="4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6"/>
        </w:trPr>
        <w:tc>
          <w:tcPr>
            <w:tcW w:w="4860" w:type="dxa"/>
            <w:vAlign w:val="bottom"/>
          </w:tcPr>
          <w:p>
            <w:pPr>
              <w:ind w:left="20"/>
              <w:spacing w:after="0"/>
              <w:rPr>
                <w:sz w:val="20"/>
                <w:szCs w:val="20"/>
                <w:color w:val="auto"/>
              </w:rPr>
            </w:pPr>
            <w:r>
              <w:rPr>
                <w:rFonts w:ascii="Arial" w:cs="Arial" w:eastAsia="Arial" w:hAnsi="Arial"/>
                <w:sz w:val="14"/>
                <w:szCs w:val="14"/>
                <w:color w:val="auto"/>
              </w:rPr>
              <w:t>Total billed rooms for lodges (6)</w:t>
            </w:r>
          </w:p>
        </w:tc>
        <w:tc>
          <w:tcPr>
            <w:tcW w:w="4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1,118,220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1,365,619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(247,399)</w:t>
            </w:r>
          </w:p>
        </w:tc>
      </w:tr>
      <w:tr>
        <w:trPr>
          <w:trHeight w:val="155"/>
        </w:trPr>
        <w:tc>
          <w:tcPr>
            <w:tcW w:w="4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91"/>
        </w:trPr>
        <w:tc>
          <w:tcPr>
            <w:tcW w:w="486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0.73</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0.75</w:t>
            </w:r>
          </w:p>
        </w:tc>
        <w:tc>
          <w:tcPr>
            <w:tcW w:w="6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(0.02)</w:t>
            </w:r>
          </w:p>
        </w:tc>
      </w:tr>
    </w:tbl>
    <w:p>
      <w:pPr>
        <w:spacing w:after="0" w:line="32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Canadian segment reported revenues in the six months ended June 30, 2020 that were $12.5 million, or 9%, lower than the six months ended June 30, 2019. The weakening of the average exchange rates for the Canadian dollar relative to the U.S. dollar by 2% in the six months ended June 30, 2020 compared to the six months ended June 30, 2019 resulted in a $2.6 million period-over-period decrease in revenues. Excluding the impact of the weaker Canadian exchange rates, the segment experienced a 7% decrease in revenues. This decrease was driven by reduced occupancy at our lodges in the north oil sands region related to lower oil prices and the COVID-19 pandemic. Additionally, revenue was negatively impacted by reduced manufacturing revenue as 2019 included two projects that did not recur in 2020. Partially offsetting these items, revenue was favorably impacted by higher occupancy at our Sitka Lodge related to an LNG project and increased mobile camp activity from a pipeline project.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Canadian segment cost of sales and services decreased $7.2 million, or 6%, in the six months ended June 30, 2020 compared to the six months ended June 30, 2019. The weakening of the average exchange rates for the Canadian dollar relative to the U.S. dollar by 2% in the six months ended June 30, 2020 compared to the six months ended June 30, 2019 resulted in a $2.2 million period-over-period decrease in cost of sales and services. Excluding the impact of the weaker Canadian exchange rates, the decreased cost of sales and services was driven by reduced occupancy at our lodges in the north oil sands region and reduced indirect other costs from a continued focus on cost containment and operational efficiencies. These decreases were partially offset by higher occupancy at our Sitka Lodge, as well as increased mobile camp activity from a pipeline project and increased costs related to enhanced measures during the COVID-19 pandemic.</w:t>
      </w:r>
    </w:p>
    <w:p>
      <w:pPr>
        <w:spacing w:after="0" w:line="20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Canadian segment gross margin as a percentage of revenues decreased from 21.4% in the six months ended June 30, 2019 to 19.3% in the six months ended June 30, 2020. This was primarily driven by increased costs related to enhanced measures during the COVID-19 pandemic, as well as reduced operating efficiencies due to lower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96"/>
        </w:trPr>
        <w:tc>
          <w:tcPr>
            <w:tcW w:w="470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67,518</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59,417</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8,101</w:t>
            </w: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revenue (2)</w:t>
            </w: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38,666</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38,666</w:t>
            </w:r>
          </w:p>
        </w:tc>
      </w:tr>
      <w:tr>
        <w:trPr>
          <w:trHeight w:val="196"/>
        </w:trPr>
        <w:tc>
          <w:tcPr>
            <w:tcW w:w="470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106,184</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59,417</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46,767</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Cost of sales ($ in thousands)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30,264</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29,862</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402</w:t>
            </w:r>
          </w:p>
        </w:tc>
      </w:tr>
      <w:tr>
        <w:trPr>
          <w:trHeight w:val="196"/>
        </w:trPr>
        <w:tc>
          <w:tcPr>
            <w:tcW w:w="470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32,466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32,466</w:t>
            </w: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544</w:t>
            </w:r>
          </w:p>
        </w:tc>
      </w:tr>
      <w:tr>
        <w:trPr>
          <w:trHeight w:val="196"/>
        </w:trPr>
        <w:tc>
          <w:tcPr>
            <w:tcW w:w="470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64,466</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31,054</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33,412</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4"/>
                <w:szCs w:val="14"/>
                <w:color w:val="auto"/>
              </w:rPr>
              <w:t>Average daily rate for villages (3)</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74</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color w:val="auto"/>
              </w:rPr>
              <w:t>Total billed rooms for villages (4)</w:t>
            </w:r>
          </w:p>
        </w:tc>
        <w:tc>
          <w:tcPr>
            <w:tcW w:w="10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974,232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798,997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175,235</w:t>
            </w:r>
          </w:p>
        </w:tc>
      </w:tr>
      <w:tr>
        <w:trPr>
          <w:trHeight w:val="222"/>
        </w:trPr>
        <w:tc>
          <w:tcPr>
            <w:tcW w:w="47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1"/>
        </w:trPr>
        <w:tc>
          <w:tcPr>
            <w:tcW w:w="470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0.66</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0.71</w:t>
            </w:r>
          </w:p>
        </w:tc>
        <w:tc>
          <w:tcPr>
            <w:tcW w:w="6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(0.05)</w:t>
            </w:r>
          </w:p>
        </w:tc>
      </w:tr>
    </w:tbl>
    <w:p>
      <w:pPr>
        <w:spacing w:after="0" w:line="33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Australian segment reported revenues in the six months ended June 30, 2020 that were $46.8 million, or 79%, higher than the six months ended June 30, 2019. Action contributed $38.7 million in revenues in the six months ended June 30, 2020. The weakening of the average exchange rates for Australian dollars relative to the U.S. dollar by 7% in the six months ended June 30, 2020 compared to the six months ended June 30, 2019 resulted in a $5.0 million period-over-period decrease in revenues and a $5 reduction in the average daily rate. Excluding the impact of the weaker Australian exchange rates, the Australian segment experienced an 92% increase in revenues primarily due to the Action acquisition. In addition, increased activity at our Bowen Basin villages was partially offset by decreased activity at our Western Australia villages.</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Australian segment cost of sales increased $33.4 million, or 108%, in the six months ended June 30, 2020 compared to the six months ended June 30, 2019. The increase was primarily driven by the Action acquisition. Increases related to increased activity at our Bowen Basin villages were almost entirely offset by decreased activity at our Western Australia villages and the weakening of the Australian dollar.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jc w:val="both"/>
        <w:ind w:firstLine="486"/>
        <w:spacing w:after="0" w:line="311" w:lineRule="auto"/>
        <w:rPr>
          <w:sz w:val="20"/>
          <w:szCs w:val="20"/>
          <w:color w:val="auto"/>
        </w:rPr>
      </w:pPr>
      <w:r>
        <w:rPr>
          <w:rFonts w:ascii="Arial" w:cs="Arial" w:eastAsia="Arial" w:hAnsi="Arial"/>
          <w:sz w:val="16"/>
          <w:szCs w:val="16"/>
          <w:color w:val="auto"/>
        </w:rPr>
        <w:t>Our Australian segment gross margin as a percentage of revenues decreased to 39.3% in the six months ended June 30, 2020 from 47.7% in the six months ended June 30, 2019. This was primarily driven by Action, which has a service-only business model and therefore results in lower overall gross margins than the accommodation business, partially offset by improved margins at our Bowen Basin villages as a result of increased occupancy.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9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96"/>
        </w:trPr>
        <w:tc>
          <w:tcPr>
            <w:tcW w:w="49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0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14,976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26,414</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(11,438)</w:t>
            </w:r>
          </w:p>
        </w:tc>
      </w:tr>
      <w:tr>
        <w:trPr>
          <w:trHeight w:val="216"/>
        </w:trPr>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in thousands)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15,243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19,893</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(4,650)</w:t>
            </w:r>
          </w:p>
        </w:tc>
      </w:tr>
      <w:tr>
        <w:trPr>
          <w:trHeight w:val="216"/>
        </w:trPr>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as a % of revenues</w:t>
            </w: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 %</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U.S. segment reported revenues in the six months ended June 30, 2020 that were $11.4 million, or 43%, lower than the six months ended June 30, 2019. This was primarily due to reduced occupancy at our West Permian, Killdeer and Acadian Acres lodges, reduced U.S. drilling activity in the Bakken, Rockies and the Mid-Continent market affecting our wellsite business, partially offset by increased activity in the West Permian market positively affecting our wellsite business.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U.S. segment cost of sales decreased $4.7 million, or 23%, in the six months ended June 30, 2020 compared to the six months ended June 30, 2019. The decrease was driven by reduced occupancy at our West Permian and Killdeer lodges, reduced U.S. drilling activity in the Bakken, Rockies and the Mid-Continent markets affecting our wellsite business, partially offset by increased activity in West Permian market positively affecting our wellsite business.</w:t>
      </w:r>
    </w:p>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U.S. segment gross margin as a percentage of revenues decreased from 24.7% in the six months ended June 30, 2019 to (1.8)% in the six months ended June 30, 2020 primarily due to reduced activity at our lodges and certain wellsite markets and reduced operating efficiencies at lower activity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liquidity position as of June 30, 2020 and December 31,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 2019</w:t>
            </w:r>
          </w:p>
        </w:tc>
      </w:tr>
      <w:tr>
        <w:trPr>
          <w:trHeight w:val="202"/>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Lender commitments (1)</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263,500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263,500</w:t>
            </w:r>
          </w:p>
        </w:tc>
      </w:tr>
      <w:tr>
        <w:trPr>
          <w:trHeight w:val="197"/>
        </w:trPr>
        <w:tc>
          <w:tcPr>
            <w:tcW w:w="7160" w:type="dxa"/>
            <w:vAlign w:val="bottom"/>
          </w:tcPr>
          <w:p>
            <w:pPr>
              <w:ind w:left="180"/>
              <w:spacing w:after="0"/>
              <w:rPr>
                <w:sz w:val="20"/>
                <w:szCs w:val="20"/>
                <w:color w:val="auto"/>
              </w:rPr>
            </w:pPr>
            <w:r>
              <w:rPr>
                <w:rFonts w:ascii="Arial" w:cs="Arial" w:eastAsia="Arial" w:hAnsi="Arial"/>
                <w:sz w:val="14"/>
                <w:szCs w:val="14"/>
                <w:color w:val="auto"/>
              </w:rPr>
              <w:t>Reductions in availability (2)</w:t>
            </w:r>
          </w:p>
        </w:tc>
        <w:tc>
          <w:tcPr>
            <w:tcW w:w="28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(6,591)</w:t>
            </w:r>
          </w:p>
        </w:tc>
      </w:tr>
      <w:tr>
        <w:trPr>
          <w:trHeight w:val="208"/>
        </w:trPr>
        <w:tc>
          <w:tcPr>
            <w:tcW w:w="7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against revolving credit capacity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(134,117)</w:t>
            </w:r>
          </w:p>
        </w:tc>
      </w:tr>
      <w:tr>
        <w:trPr>
          <w:trHeight w:val="197"/>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Outstanding letters of credit</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w:t>
            </w:r>
          </w:p>
        </w:tc>
      </w:tr>
      <w:tr>
        <w:trPr>
          <w:trHeight w:val="202"/>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Unused availability</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158,879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120,761</w:t>
            </w:r>
          </w:p>
        </w:tc>
      </w:tr>
      <w:tr>
        <w:trPr>
          <w:trHeight w:val="197"/>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3,331</w:t>
            </w:r>
          </w:p>
        </w:tc>
      </w:tr>
      <w:tr>
        <w:trPr>
          <w:trHeight w:val="22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available liquidity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166,190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124,092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hanging="332"/>
        <w:spacing w:after="0" w:line="258"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June 30, 2020 and December 31, 2019,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June 30, 2020, there were no reductions in our availability under the Credit Agreement. As of December 31, 2019, $6.6 million of our borrowing capacity under the Credit Agreement could not be utilized in order to maintain compliance with the maximum leverage ratio financial covenant in the Credit Agreement.</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3" w:name="page34"/>
    <w:bookmarkEnd w:id="33"/>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totaling $45.3 million was provided by operations during the six months ended June 30, 2020, compared to $10.0 million provided by operations during the six months ended June 30, 2019. During the six months ended June 30, 2020 and 2019, $2.9 million was provided by working capital and $22.7 million was used in working capital, respectively. The increase in cash provided by working capital in 2020 compared to 2019 is largely due to decreased accounts receivable balances in Canada.</w:t>
      </w:r>
    </w:p>
    <w:p>
      <w:pPr>
        <w:spacing w:after="0" w:line="21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Cash was provided by investing activities during the six months ended June 30, 2020 in the amount of $2.7 million, compared to cash used in investing activities during the six months ended June 30, 2019 in the amount of $15.0 million. The decrease in cash used in investing activities was primarily due to lower capital expenditures and $4.7 million of other income associated with the settlement of a representations and warranties claim related to the Noralta acquisition in the six months ended June 30, 2020, partially offset by higher proceeds from the disposition of property, plant and equipment in the six months ended June 30, 2019. Capital expenditures totaled $3.8 million and $21.2 million during the six months ended June 30, 2020 and 2019, respectively. The decrease in capital expenditures from 2019 to 2020 was related primarily to the completion of the Sitka Lodge expansion, which occurred during 2019.</w:t>
      </w:r>
    </w:p>
    <w:p>
      <w:pPr>
        <w:spacing w:after="0" w:line="22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expect our capital expenditures for 2020, exclusive of any expansionary spending, to be approximately $15 million, which excludes any expansionary projects, the spending for which is contingent on obtaining customer contracts. Whether planned expenditures will actually be spent in 2020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economic environment in our industry improve and the transaction economics are deemed to be attractive to us.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 as we continue to monitor the impact of COVID-19.</w:t>
      </w:r>
    </w:p>
    <w:p>
      <w:pPr>
        <w:spacing w:after="0" w:line="1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cash of $43.6 million was used in financing activities during the six months ended June 30, 2020 primarily due to net repayments under our revolving credit facilities of $25.6 million, repayments of term loan borrowings of $16.5 million and $1.5 million used to settle tax obligations on vested shares under our share-based compensation plans. Net cash of $6.1 million was provided by financing activities during the six months ended June 30, 2019 primarily due to net borrowings under our revolving credit facilities of $27.8 million, partially offset by repayments of term loan borrowings of $17.4 million and $4.3 million used to settle tax obligations on vested shares under our share-based compensation plans.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changes in debt outstanding during the six months ended June 30, 2020 (in thousands):</w:t>
      </w:r>
    </w:p>
    <w:p>
      <w:pPr>
        <w:spacing w:after="0" w:line="347" w:lineRule="exact"/>
        <w:rPr>
          <w:sz w:val="20"/>
          <w:szCs w:val="20"/>
          <w:color w:val="auto"/>
        </w:rPr>
      </w:pPr>
    </w:p>
    <w:tbl>
      <w:tblPr>
        <w:tblLayout w:type="fixed"/>
        <w:tblInd w:w="2460" w:type="dxa"/>
        <w:tblCellMar>
          <w:top w:w="0" w:type="dxa"/>
          <w:left w:w="0" w:type="dxa"/>
          <w:bottom w:w="0" w:type="dxa"/>
          <w:right w:w="0" w:type="dxa"/>
        </w:tblCellMar>
      </w:tblPr>
      <w:tr>
        <w:trPr>
          <w:trHeight w:val="20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359,080</w:t>
            </w:r>
          </w:p>
        </w:tc>
      </w:tr>
      <w:tr>
        <w:trPr>
          <w:trHeight w:val="196"/>
        </w:trPr>
        <w:tc>
          <w:tcPr>
            <w:tcW w:w="496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2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122,320</w:t>
            </w:r>
          </w:p>
        </w:tc>
      </w:tr>
      <w:tr>
        <w:trPr>
          <w:trHeight w:val="208"/>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(147,950)</w:t>
            </w:r>
          </w:p>
        </w:tc>
      </w:tr>
      <w:tr>
        <w:trPr>
          <w:trHeight w:val="197"/>
        </w:trPr>
        <w:tc>
          <w:tcPr>
            <w:tcW w:w="496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(16,551)</w:t>
            </w:r>
          </w:p>
        </w:tc>
      </w:tr>
      <w:tr>
        <w:trPr>
          <w:trHeight w:val="20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(17,369)</w:t>
            </w:r>
          </w:p>
        </w:tc>
      </w:tr>
      <w:tr>
        <w:trPr>
          <w:trHeight w:val="202"/>
        </w:trPr>
        <w:tc>
          <w:tcPr>
            <w:tcW w:w="496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299,530</w:t>
            </w:r>
          </w:p>
        </w:tc>
      </w:tr>
      <w:tr>
        <w:trPr>
          <w:trHeight w:val="20"/>
        </w:trPr>
        <w:tc>
          <w:tcPr>
            <w:tcW w:w="4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the historic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burden on our results of operations and financial condition, and the issuance of additional equity securities could result in significant dilution to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5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June 30, 2020, our Credit Agreement (as then amended to date, the Credit Agreement),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20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of June 30, 2020, one lender had an outstanding Canadian term loan of $5.9 million and an outstanding Canadian revolver loan of $8.7 million that matures on November 30, 2020. One other lender had an outstanding Canadian revolver loan of $12.5 million that matures on November 30, 2020. Maturities in 2020 are not classified as current as of June 30, 2020 and December 31, 2019, since we are able, and have the intent, to repay the outstanding 2020 maturities by borrowing amounts equal to such maturities under our existing revolving credit facility, which matures on November 30, 2021.</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20" w:type="dxa"/>
            <w:vAlign w:val="bottom"/>
          </w:tcPr>
          <w:p>
            <w:pPr>
              <w:jc w:val="right"/>
              <w:ind w:right="195"/>
              <w:spacing w:after="0"/>
              <w:rPr>
                <w:sz w:val="20"/>
                <w:szCs w:val="20"/>
                <w:color w:val="auto"/>
              </w:rPr>
            </w:pPr>
            <w:r>
              <w:rPr>
                <w:rFonts w:ascii="Arial" w:cs="Arial" w:eastAsia="Arial" w:hAnsi="Arial"/>
                <w:sz w:val="16"/>
                <w:szCs w:val="16"/>
                <w:b w:val="1"/>
                <w:bCs w:val="1"/>
                <w:color w:val="auto"/>
              </w:rPr>
              <w:t>Maximum</w:t>
            </w:r>
          </w:p>
        </w:tc>
      </w:tr>
      <w:tr>
        <w:trPr>
          <w:trHeight w:val="176"/>
        </w:trPr>
        <w:tc>
          <w:tcPr>
            <w:tcW w:w="7600" w:type="dxa"/>
            <w:vAlign w:val="bottom"/>
            <w:gridSpan w:val="3"/>
          </w:tcPr>
          <w:p>
            <w:pPr>
              <w:ind w:left="4400"/>
              <w:spacing w:after="0" w:line="176" w:lineRule="exact"/>
              <w:rPr>
                <w:sz w:val="20"/>
                <w:szCs w:val="20"/>
                <w:color w:val="auto"/>
              </w:rPr>
            </w:pPr>
            <w:r>
              <w:rPr>
                <w:rFonts w:ascii="Arial" w:cs="Arial" w:eastAsia="Arial" w:hAnsi="Arial"/>
                <w:sz w:val="16"/>
                <w:szCs w:val="16"/>
                <w:b w:val="1"/>
                <w:bCs w:val="1"/>
                <w:color w:val="auto"/>
              </w:rPr>
              <w:t>Period Ended</w:t>
            </w:r>
          </w:p>
        </w:tc>
        <w:tc>
          <w:tcPr>
            <w:tcW w:w="3420" w:type="dxa"/>
            <w:vAlign w:val="bottom"/>
          </w:tcPr>
          <w:p>
            <w:pPr>
              <w:jc w:val="right"/>
              <w:ind w:right="35"/>
              <w:spacing w:after="0" w:line="176" w:lineRule="exact"/>
              <w:rPr>
                <w:sz w:val="20"/>
                <w:szCs w:val="20"/>
                <w:color w:val="auto"/>
              </w:rPr>
            </w:pPr>
            <w:r>
              <w:rPr>
                <w:rFonts w:ascii="Arial" w:cs="Arial" w:eastAsia="Arial" w:hAnsi="Arial"/>
                <w:sz w:val="16"/>
                <w:szCs w:val="16"/>
                <w:b w:val="1"/>
                <w:bCs w:val="1"/>
                <w:color w:val="auto"/>
              </w:rPr>
              <w:t>Leverage Ratio</w:t>
            </w:r>
          </w:p>
        </w:tc>
      </w:tr>
      <w:tr>
        <w:trPr>
          <w:trHeight w:val="48"/>
        </w:trPr>
        <w:tc>
          <w:tcPr>
            <w:tcW w:w="44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3420" w:type="dxa"/>
            <w:vAlign w:val="bottom"/>
          </w:tcPr>
          <w:p>
            <w:pPr>
              <w:spacing w:after="0"/>
              <w:rPr>
                <w:sz w:val="4"/>
                <w:szCs w:val="4"/>
                <w:color w:val="auto"/>
              </w:rPr>
            </w:pPr>
          </w:p>
        </w:tc>
      </w:tr>
      <w:tr>
        <w:trPr>
          <w:trHeight w:val="250"/>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June 30, 2020 &amp; September 30, 2020</w:t>
            </w:r>
          </w:p>
        </w:tc>
        <w:tc>
          <w:tcPr>
            <w:tcW w:w="3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3.75 : 1.00</w:t>
            </w:r>
          </w:p>
        </w:tc>
      </w:tr>
      <w:tr>
        <w:trPr>
          <w:trHeight w:val="243"/>
        </w:trPr>
        <w:tc>
          <w:tcPr>
            <w:tcW w:w="7600" w:type="dxa"/>
            <w:vAlign w:val="bottom"/>
            <w:gridSpan w:val="3"/>
          </w:tcPr>
          <w:p>
            <w:pPr>
              <w:ind w:left="20"/>
              <w:spacing w:after="0"/>
              <w:rPr>
                <w:sz w:val="20"/>
                <w:szCs w:val="20"/>
                <w:color w:val="auto"/>
              </w:rPr>
            </w:pPr>
            <w:r>
              <w:rPr>
                <w:rFonts w:ascii="Arial" w:cs="Arial" w:eastAsia="Arial" w:hAnsi="Arial"/>
                <w:sz w:val="16"/>
                <w:szCs w:val="16"/>
                <w:color w:val="auto"/>
              </w:rPr>
              <w:t>December 31, 2020 &amp; thereafter</w:t>
            </w:r>
          </w:p>
        </w:tc>
        <w:tc>
          <w:tcPr>
            <w:tcW w:w="3420" w:type="dxa"/>
            <w:vAlign w:val="bottom"/>
          </w:tcPr>
          <w:p>
            <w:pPr>
              <w:jc w:val="right"/>
              <w:ind w:right="215"/>
              <w:spacing w:after="0"/>
              <w:rPr>
                <w:sz w:val="20"/>
                <w:szCs w:val="20"/>
                <w:color w:val="auto"/>
              </w:rPr>
            </w:pPr>
            <w:r>
              <w:rPr>
                <w:rFonts w:ascii="Arial" w:cs="Arial" w:eastAsia="Arial" w:hAnsi="Arial"/>
                <w:sz w:val="18"/>
                <w:szCs w:val="18"/>
                <w:color w:val="auto"/>
              </w:rPr>
              <w:t>3.50 : 1.00</w:t>
            </w:r>
          </w:p>
        </w:tc>
      </w:tr>
    </w:tbl>
    <w:p>
      <w:pPr>
        <w:spacing w:after="0" w:line="33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the London Inter-Bank Offered Rate (LIBOR) plus a margin of 2.25% to 4.00%, or a base rate plus 1.25% to 3.00%, in each case based on a ratio of our total debt to consolidated EBITDA (as defined in the Credit Agreement). Canadian dollar amounts outstanding bear interest at a variable rate equal to a B/A Discount Rate (as defined in the Credit Agreement) based on the Canadian Dollar Offered Rate (CDOR) plus a margin of 2.25% to 4.00%, or a Canadian Prime rate plus a margin of 1.25% to 3.00%, in each case based on a ratio of our total debt to consolidated EBITDA. Australian dollar amounts outstanding under the Credit Agreement bear interest at a variable rate equal to the Bank Bill Swap Bid Rate plus a margin of 2.25% to 4.00%, based on a ratio of our total debt to consolidated EBITDA. The future transitions from LIBOR and CDOR as interest rate benchmarks is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18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June 30, 2020). As noted above, the permitted maximum leverage ratio changes over time. Following a qualified offering of indebtedness with gross proceeds in excess of $150 million, we will be required to maintain a maximum senior secured ratio less than 2.50 to 1.0.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June 30, 2020.</w:t>
      </w:r>
    </w:p>
    <w:p>
      <w:pPr>
        <w:spacing w:after="0" w:line="2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Borrowings under the Credit Agreement are secured by a pledge of substantially all of our assets and the assets of our subsidiaries. The obligations under the Credit Agreement are guaranteed by our significant subsidiaries. As of June 30,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we had ten lenders that were parties to the Credit Agreement, with total commitments (including both revolving commitments and term commitments) ranging from $24.9 million to $85.4 million. As of June 30, 2020, we had outstanding letters of credit of $0.3 million under the U.S. facility, $0.5 million under the Australian facility and $1.8 million under the Canadian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21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June 30, 2020, thereby increasing the liquidation preference to $10,459 per share as of June 30, 2020. We currently expect to pay dividends on the preferred shares for the foreseeable future through an increase in liquidation preference rather than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2019. As of June 30, 2020, except for net repayments under our revolving credit facilities, there were no material changes to the disclosure regarding our contractual obligations made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2019.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June 30, 2020, we had $299.5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$3.0 million annually, based on our floating-rate debt obligations and interest rates in effect as of June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C$0.1 billion and A$0.3 billion, respectively, at June 30, 2020.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2020 would result in translation adjustments of approximately $10 million and $35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2020,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June 30, 2020,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left="44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There are numerous factors that affect our business and results of operations, many of which are beyond our control. 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2019 and "Risk Factors" in our Form 10-Q for the quarter ended March 31, 2020, which contain descriptions of significant factors that may cause our future operating results to differ materially from those currently expected.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June 30, 2020.</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5"/>
              </w:rPr>
              <w:t>Maximum number of</w:t>
            </w:r>
          </w:p>
        </w:tc>
      </w:tr>
      <w:tr>
        <w:trPr>
          <w:trHeight w:val="203"/>
        </w:trPr>
        <w:tc>
          <w:tcPr>
            <w:tcW w:w="2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shares that may yet be</w:t>
            </w:r>
          </w:p>
        </w:tc>
      </w:tr>
      <w:tr>
        <w:trPr>
          <w:trHeight w:val="203"/>
        </w:trPr>
        <w:tc>
          <w:tcPr>
            <w:tcW w:w="28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Total Number of</w:t>
            </w:r>
          </w:p>
        </w:tc>
        <w:tc>
          <w:tcPr>
            <w:tcW w:w="32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Average Price Paid</w:t>
            </w:r>
          </w:p>
        </w:tc>
        <w:tc>
          <w:tcPr>
            <w:tcW w:w="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purchased under the</w:t>
            </w:r>
          </w:p>
        </w:tc>
      </w:tr>
      <w:tr>
        <w:trPr>
          <w:trHeight w:val="210"/>
        </w:trPr>
        <w:tc>
          <w:tcPr>
            <w:tcW w:w="2840" w:type="dxa"/>
            <w:vAlign w:val="bottom"/>
          </w:tcPr>
          <w:p>
            <w:pPr>
              <w:ind w:left="1580"/>
              <w:spacing w:after="0"/>
              <w:rPr>
                <w:sz w:val="20"/>
                <w:szCs w:val="20"/>
                <w:color w:val="auto"/>
              </w:rPr>
            </w:pPr>
            <w:r>
              <w:rPr>
                <w:rFonts w:ascii="Arial" w:cs="Arial" w:eastAsia="Arial" w:hAnsi="Arial"/>
                <w:sz w:val="16"/>
                <w:szCs w:val="16"/>
                <w:b w:val="1"/>
                <w:bCs w:val="1"/>
                <w:color w:val="auto"/>
              </w:rPr>
              <w:t>Period</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 (3)</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 (3)</w:t>
            </w:r>
          </w:p>
        </w:tc>
      </w:tr>
      <w:tr>
        <w:trPr>
          <w:trHeight w:val="33"/>
        </w:trPr>
        <w:tc>
          <w:tcPr>
            <w:tcW w:w="2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April 1, 2020 - April 30, 2020</w:t>
            </w: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44,247</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9"/>
                <w:szCs w:val="9"/>
                <w:color w:val="auto"/>
              </w:rPr>
              <w:t>(1)</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0.37</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w w:val="90"/>
              </w:rPr>
              <w:t>(2)</w:t>
            </w:r>
          </w:p>
        </w:tc>
        <w:tc>
          <w:tcPr>
            <w:tcW w:w="178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May 1, 2020 - May 31, 2020</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780" w:type="dxa"/>
            <w:vAlign w:val="bottom"/>
          </w:tcPr>
          <w:p>
            <w:pPr>
              <w:ind w:left="14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2020 - June 30, 2020</w:t>
            </w: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44,247</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$0.37</w:t>
            </w:r>
          </w:p>
        </w:tc>
        <w:tc>
          <w:tcPr>
            <w:tcW w:w="260" w:type="dxa"/>
            <w:vAlign w:val="bottom"/>
          </w:tcPr>
          <w:p>
            <w:pPr>
              <w:spacing w:after="0"/>
              <w:rPr>
                <w:sz w:val="19"/>
                <w:szCs w:val="19"/>
                <w:color w:val="auto"/>
              </w:rPr>
            </w:pPr>
          </w:p>
        </w:tc>
        <w:tc>
          <w:tcPr>
            <w:tcW w:w="1780" w:type="dxa"/>
            <w:vAlign w:val="bottom"/>
          </w:tcPr>
          <w:p>
            <w:pPr>
              <w:ind w:left="148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423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309" w:lineRule="exact"/>
        <w:rPr>
          <w:sz w:val="20"/>
          <w:szCs w:val="20"/>
          <w:color w:val="auto"/>
        </w:rPr>
      </w:pPr>
    </w:p>
    <w:p>
      <w:pPr>
        <w:ind w:left="340" w:hanging="332"/>
        <w:spacing w:after="0" w:line="258"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paid per share was based on the closing price of our common shares on April 3, 2020, the date as of which the restrictions lapsed on such shares.</w:t>
      </w: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did not have at any time during the quarter ended June 30, 2020, and currently do not have, a share repurchase program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54" w:lineRule="exact"/>
        <w:rPr>
          <w:sz w:val="20"/>
          <w:szCs w:val="20"/>
          <w:color w:val="auto"/>
        </w:rPr>
      </w:pPr>
    </w:p>
    <w:p>
      <w:pPr>
        <w:ind w:left="820"/>
        <w:spacing w:after="0"/>
        <w:tabs>
          <w:tab w:leader="none" w:pos="6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73" w:lineRule="exact"/>
        <w:rPr>
          <w:sz w:val="20"/>
          <w:szCs w:val="20"/>
          <w:color w:val="auto"/>
        </w:rPr>
      </w:pPr>
    </w:p>
    <w:tbl>
      <w:tblPr>
        <w:tblLayout w:type="fixed"/>
        <w:tblInd w:w="680" w:type="dxa"/>
        <w:tblCellMar>
          <w:top w:w="0" w:type="dxa"/>
          <w:left w:w="0" w:type="dxa"/>
          <w:bottom w:w="0" w:type="dxa"/>
          <w:right w:w="0" w:type="dxa"/>
        </w:tblCellMar>
      </w:tblPr>
      <w:tr>
        <w:trPr>
          <w:trHeight w:val="227"/>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9000" w:type="dxa"/>
            <w:vAlign w:val="bottom"/>
            <w:tcBorders>
              <w:bottom w:val="single" w:sz="8" w:color="0000FF"/>
            </w:tcBorders>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Amended and Restated 2014 Equity Participation Plan of Civeo Corporation, as amended by Amendment No. 1,</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0" w:type="dxa"/>
            <w:vAlign w:val="bottom"/>
            <w:gridSpan w:val="4"/>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Amendment No. 2 and Amendment No. 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66">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55"/>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Exchange Act of 1934.</w:t>
              </w:r>
            </w:hyperlink>
          </w:p>
        </w:tc>
        <w:tc>
          <w:tcPr>
            <w:tcW w:w="732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962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67">
              <w:r>
                <w:rPr>
                  <w:rFonts w:ascii="Arial" w:cs="Arial" w:eastAsia="Arial" w:hAnsi="Arial"/>
                  <w:sz w:val="18"/>
                  <w:szCs w:val="18"/>
                  <w:color w:val="0000FF"/>
                  <w:w w:val="94"/>
                </w:rPr>
                <w:t>Certification of Chief Financial Officer of Civeo Corporation pursuant to Rules 13a-14(a) or 15d-14(a) under the Securities</w:t>
              </w:r>
            </w:hyperlink>
          </w:p>
        </w:tc>
      </w:tr>
      <w:tr>
        <w:trPr>
          <w:trHeight w:val="155"/>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Exchange Act of 1934.</w:t>
              </w:r>
            </w:hyperlink>
          </w:p>
        </w:tc>
        <w:tc>
          <w:tcPr>
            <w:tcW w:w="73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68">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55"/>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68">
              <w:r>
                <w:rPr>
                  <w:rFonts w:ascii="Arial" w:cs="Arial" w:eastAsia="Arial" w:hAnsi="Arial"/>
                  <w:sz w:val="18"/>
                  <w:szCs w:val="18"/>
                  <w:color w:val="0000FF"/>
                  <w:w w:val="90"/>
                </w:rPr>
                <w:t>Exchange Act of 1934.</w:t>
              </w:r>
            </w:hyperlink>
          </w:p>
        </w:tc>
        <w:tc>
          <w:tcPr>
            <w:tcW w:w="73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9620" w:type="dxa"/>
            <w:vAlign w:val="bottom"/>
            <w:gridSpan w:val="9"/>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69">
              <w:r>
                <w:rPr>
                  <w:rFonts w:ascii="Arial" w:cs="Arial" w:eastAsia="Arial" w:hAnsi="Arial"/>
                  <w:sz w:val="18"/>
                  <w:szCs w:val="18"/>
                  <w:color w:val="0000FF"/>
                  <w:w w:val="94"/>
                </w:rPr>
                <w:t>Certification of Chief Financial Officer of Civeo Corporation pursuant to Rules 13a-14(b) or 15d-14(b) under the Securities</w:t>
              </w:r>
            </w:hyperlink>
          </w:p>
        </w:tc>
      </w:tr>
      <w:tr>
        <w:trPr>
          <w:trHeight w:val="155"/>
        </w:trPr>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Exchange Act of 1934.</w:t>
              </w:r>
            </w:hyperlink>
          </w:p>
        </w:tc>
        <w:tc>
          <w:tcPr>
            <w:tcW w:w="74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534"/>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90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62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62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62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62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620" w:type="dxa"/>
            <w:vAlign w:val="bottom"/>
            <w:gridSpan w:val="9"/>
          </w:tcPr>
          <w:p>
            <w:pPr>
              <w:ind w:left="2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52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90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40" w:hanging="41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40" w:hanging="41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440" w:hanging="414"/>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w:t>
      </w:r>
    </w:p>
    <w:p>
      <w:pPr>
        <w:spacing w:after="0" w:line="3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9" w:name="page40"/>
    <w:bookmarkEnd w:id="3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CIVEO CORPORATION</w:t>
      </w:r>
    </w:p>
    <w:p>
      <w:pPr>
        <w:spacing w:after="0" w:line="374"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u w:val="single" w:color="auto"/>
          <w:color w:val="auto"/>
        </w:rPr>
        <w:t>Date: July 29, 2020</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6350</wp:posOffset>
            </wp:positionV>
            <wp:extent cx="16929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3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Carolyn J. Stone</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Senior Vice President, Chief Financial Officer and Treasurer (Duly</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17" w:right="339" w:bottom="1440" w:gutter="0" w:footer="0" w:header="0"/>
        </w:sectPr>
      </w:pPr>
    </w:p>
    <w:bookmarkStart w:id="40" w:name="page41"/>
    <w:bookmarkEnd w:id="40"/>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Equity Participation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as of May 12, 2016)</w:t>
      </w:r>
    </w:p>
    <w:p>
      <w:pPr>
        <w:spacing w:after="0" w:line="220" w:lineRule="exact"/>
        <w:rPr>
          <w:sz w:val="20"/>
          <w:szCs w:val="20"/>
          <w:color w:val="auto"/>
        </w:rPr>
      </w:pPr>
    </w:p>
    <w:p>
      <w:pPr>
        <w:ind w:right="60" w:firstLine="648"/>
        <w:spacing w:after="0" w:line="295" w:lineRule="auto"/>
        <w:rPr>
          <w:sz w:val="20"/>
          <w:szCs w:val="20"/>
          <w:color w:val="auto"/>
        </w:rPr>
      </w:pPr>
      <w:r>
        <w:rPr>
          <w:rFonts w:ascii="Arial" w:cs="Arial" w:eastAsia="Arial" w:hAnsi="Arial"/>
          <w:sz w:val="19"/>
          <w:szCs w:val="19"/>
          <w:color w:val="auto"/>
        </w:rPr>
        <w:t>Civeo Corporation, a Delaware corporation (“</w:t>
      </w:r>
      <w:r>
        <w:rPr>
          <w:rFonts w:ascii="Arial" w:cs="Arial" w:eastAsia="Arial" w:hAnsi="Arial"/>
          <w:sz w:val="19"/>
          <w:szCs w:val="19"/>
          <w:b w:val="1"/>
          <w:bCs w:val="1"/>
          <w:color w:val="auto"/>
        </w:rPr>
        <w:t>Civeo US</w:t>
      </w:r>
      <w:r>
        <w:rPr>
          <w:rFonts w:ascii="Arial" w:cs="Arial" w:eastAsia="Arial" w:hAnsi="Arial"/>
          <w:sz w:val="19"/>
          <w:szCs w:val="19"/>
          <w:color w:val="auto"/>
        </w:rPr>
        <w:t>”), adopted the 2014 Equity Participation Plan of Civeo Corporation (the “</w:t>
      </w:r>
      <w:r>
        <w:rPr>
          <w:rFonts w:ascii="Arial" w:cs="Arial" w:eastAsia="Arial" w:hAnsi="Arial"/>
          <w:sz w:val="19"/>
          <w:szCs w:val="19"/>
          <w:b w:val="1"/>
          <w:bCs w:val="1"/>
          <w:color w:val="auto"/>
        </w:rPr>
        <w:t>Plan</w:t>
      </w:r>
      <w:r>
        <w:rPr>
          <w:rFonts w:ascii="Arial" w:cs="Arial" w:eastAsia="Arial" w:hAnsi="Arial"/>
          <w:sz w:val="19"/>
          <w:szCs w:val="19"/>
          <w:color w:val="auto"/>
        </w:rPr>
        <w:t>”), effective May 30, 2014 (the “</w:t>
      </w:r>
      <w:r>
        <w:rPr>
          <w:rFonts w:ascii="Arial" w:cs="Arial" w:eastAsia="Arial" w:hAnsi="Arial"/>
          <w:sz w:val="19"/>
          <w:szCs w:val="19"/>
          <w:b w:val="1"/>
          <w:bCs w:val="1"/>
          <w:color w:val="auto"/>
        </w:rPr>
        <w:t>Effective Date</w:t>
      </w:r>
      <w:r>
        <w:rPr>
          <w:rFonts w:ascii="Arial" w:cs="Arial" w:eastAsia="Arial" w:hAnsi="Arial"/>
          <w:sz w:val="19"/>
          <w:szCs w:val="19"/>
          <w:color w:val="auto"/>
        </w:rPr>
        <w:t>”). In connection with a corporate reorganization, the Plan was amended and restated on July 17, 2015 to reflect that Civeo Corporation, a limited company organized under the laws of British Columbia, Canada, and formerly known as Civeo Canadian Holdings ULC (the “</w:t>
      </w:r>
      <w:r>
        <w:rPr>
          <w:rFonts w:ascii="Arial" w:cs="Arial" w:eastAsia="Arial" w:hAnsi="Arial"/>
          <w:sz w:val="19"/>
          <w:szCs w:val="19"/>
          <w:b w:val="1"/>
          <w:bCs w:val="1"/>
          <w:color w:val="auto"/>
        </w:rPr>
        <w:t>Company</w:t>
      </w:r>
      <w:r>
        <w:rPr>
          <w:rFonts w:ascii="Arial" w:cs="Arial" w:eastAsia="Arial" w:hAnsi="Arial"/>
          <w:sz w:val="19"/>
          <w:szCs w:val="19"/>
          <w:color w:val="auto"/>
        </w:rPr>
        <w:t>”),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purposes of the Plan are as follows:</w:t>
      </w:r>
    </w:p>
    <w:p>
      <w:pPr>
        <w:spacing w:after="0" w:line="220" w:lineRule="exact"/>
        <w:rPr>
          <w:sz w:val="20"/>
          <w:szCs w:val="20"/>
          <w:color w:val="auto"/>
        </w:rPr>
      </w:pPr>
    </w:p>
    <w:p>
      <w:pPr>
        <w:jc w:val="both"/>
        <w:ind w:right="260" w:firstLine="656"/>
        <w:spacing w:after="0" w:line="253" w:lineRule="auto"/>
        <w:tabs>
          <w:tab w:leader="none" w:pos="129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85" w:lineRule="exact"/>
        <w:rPr>
          <w:rFonts w:ascii="Arial" w:cs="Arial" w:eastAsia="Arial" w:hAnsi="Arial"/>
          <w:sz w:val="22"/>
          <w:szCs w:val="22"/>
          <w:color w:val="auto"/>
        </w:rPr>
      </w:pPr>
    </w:p>
    <w:p>
      <w:pPr>
        <w:ind w:right="160" w:firstLine="656"/>
        <w:spacing w:after="0" w:line="253" w:lineRule="auto"/>
        <w:tabs>
          <w:tab w:leader="none" w:pos="129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1.</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Wherever the following terms are used in the Plan they shall have the meaning specified below, unless the context clearly indicates otherwise.</w:t>
      </w:r>
    </w:p>
    <w:p>
      <w:pPr>
        <w:spacing w:after="0" w:line="175" w:lineRule="exact"/>
        <w:rPr>
          <w:sz w:val="20"/>
          <w:szCs w:val="20"/>
          <w:color w:val="auto"/>
        </w:rPr>
      </w:pPr>
    </w:p>
    <w:p>
      <w:pPr>
        <w:ind w:left="1200" w:hanging="544"/>
        <w:spacing w:after="0"/>
        <w:tabs>
          <w:tab w:leader="none" w:pos="1200" w:val="left"/>
        </w:tabs>
        <w:numPr>
          <w:ilvl w:val="0"/>
          <w:numId w:val="27"/>
        </w:numPr>
        <w:rPr>
          <w:rFonts w:ascii="Arial" w:cs="Arial" w:eastAsia="Arial" w:hAnsi="Arial"/>
          <w:sz w:val="22"/>
          <w:szCs w:val="22"/>
          <w:color w:val="010000"/>
        </w:rPr>
      </w:pPr>
      <w:r>
        <w:rPr>
          <w:rFonts w:ascii="Arial" w:cs="Arial" w:eastAsia="Arial" w:hAnsi="Arial"/>
          <w:sz w:val="22"/>
          <w:szCs w:val="22"/>
          <w:u w:val="single" w:color="auto"/>
          <w:color w:val="auto"/>
        </w:rPr>
        <w:t>Affiliate</w:t>
      </w:r>
    </w:p>
    <w:p>
      <w:pPr>
        <w:spacing w:after="0" w:line="21" w:lineRule="exact"/>
        <w:rPr>
          <w:sz w:val="20"/>
          <w:szCs w:val="20"/>
          <w:color w:val="auto"/>
        </w:rPr>
      </w:pPr>
    </w:p>
    <w:p>
      <w:pPr>
        <w:ind w:firstLine="656"/>
        <w:spacing w:after="0" w:line="302" w:lineRule="auto"/>
        <w:tabs>
          <w:tab w:leader="none" w:pos="756" w:val="left"/>
        </w:tabs>
        <w:numPr>
          <w:ilvl w:val="0"/>
          <w:numId w:val="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43" w:lineRule="exact"/>
        <w:rPr>
          <w:sz w:val="20"/>
          <w:szCs w:val="20"/>
          <w:color w:val="auto"/>
        </w:rPr>
      </w:pPr>
    </w:p>
    <w:p>
      <w:pPr>
        <w:ind w:left="1220" w:hanging="564"/>
        <w:spacing w:after="0"/>
        <w:tabs>
          <w:tab w:leader="none" w:pos="1220"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Award</w:t>
      </w:r>
    </w:p>
    <w:p>
      <w:pPr>
        <w:spacing w:after="0" w:line="21" w:lineRule="exact"/>
        <w:rPr>
          <w:sz w:val="20"/>
          <w:szCs w:val="20"/>
          <w:color w:val="auto"/>
        </w:rPr>
      </w:pPr>
    </w:p>
    <w:p>
      <w:pPr>
        <w:ind w:right="500" w:firstLine="656"/>
        <w:spacing w:after="0" w:line="246" w:lineRule="auto"/>
        <w:tabs>
          <w:tab w:leader="none" w:pos="756" w:val="left"/>
        </w:tabs>
        <w:numPr>
          <w:ilvl w:val="0"/>
          <w:numId w:val="3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w:t>
      </w:r>
      <w:r>
        <w:rPr>
          <w:rFonts w:ascii="Arial" w:cs="Arial" w:eastAsia="Arial" w:hAnsi="Arial"/>
          <w:sz w:val="22"/>
          <w:szCs w:val="22"/>
          <w:color w:val="auto"/>
        </w:rPr>
        <w:t>” shall mean, as the context requires, any or all of: Deferred Shares, Dividend Equivalents, Options, SARs, Performance Awards, Restricted Shares, or Share Payments.</w:t>
      </w:r>
    </w:p>
    <w:p>
      <w:pPr>
        <w:spacing w:after="0" w:line="192" w:lineRule="exact"/>
        <w:rPr>
          <w:sz w:val="20"/>
          <w:szCs w:val="20"/>
          <w:color w:val="auto"/>
        </w:rPr>
      </w:pPr>
    </w:p>
    <w:p>
      <w:pPr>
        <w:ind w:left="1200" w:hanging="544"/>
        <w:spacing w:after="0"/>
        <w:tabs>
          <w:tab w:leader="none" w:pos="1200"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Board</w:t>
      </w:r>
    </w:p>
    <w:p>
      <w:pPr>
        <w:sectPr>
          <w:pgSz w:w="11900" w:h="16838" w:orient="portrait"/>
          <w:cols w:equalWidth="0" w:num="1">
            <w:col w:w="11220"/>
          </w:cols>
          <w:pgMar w:left="320" w:top="1440" w:right="359" w:bottom="1440" w:gutter="0" w:footer="0" w:header="0"/>
        </w:sectPr>
      </w:pPr>
    </w:p>
    <w:bookmarkStart w:id="41" w:name="page42"/>
    <w:bookmarkEnd w:id="41"/>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Board</w:t>
      </w:r>
      <w:r>
        <w:rPr>
          <w:rFonts w:ascii="Arial" w:cs="Arial" w:eastAsia="Arial" w:hAnsi="Arial"/>
          <w:sz w:val="22"/>
          <w:szCs w:val="22"/>
          <w:color w:val="auto"/>
        </w:rPr>
        <w:t>” shall mean the Board of Directors of the Company.</w:t>
      </w:r>
    </w:p>
    <w:p>
      <w:pPr>
        <w:spacing w:after="0" w:line="226" w:lineRule="exact"/>
        <w:rPr>
          <w:sz w:val="20"/>
          <w:szCs w:val="20"/>
          <w:color w:val="auto"/>
        </w:rPr>
      </w:pPr>
    </w:p>
    <w:p>
      <w:pPr>
        <w:ind w:left="1220" w:hanging="564"/>
        <w:spacing w:after="0"/>
        <w:tabs>
          <w:tab w:leader="none" w:pos="1220"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Canadian Grantee</w:t>
      </w:r>
    </w:p>
    <w:p>
      <w:pPr>
        <w:spacing w:after="0" w:line="21" w:lineRule="exact"/>
        <w:rPr>
          <w:sz w:val="20"/>
          <w:szCs w:val="20"/>
          <w:color w:val="auto"/>
        </w:rPr>
      </w:pPr>
    </w:p>
    <w:p>
      <w:pPr>
        <w:jc w:val="both"/>
        <w:ind w:right="180" w:firstLine="656"/>
        <w:spacing w:after="0" w:line="245" w:lineRule="auto"/>
        <w:tabs>
          <w:tab w:leader="none" w:pos="756"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Grantee</w:t>
      </w:r>
      <w:r>
        <w:rPr>
          <w:rFonts w:ascii="Arial" w:cs="Arial" w:eastAsia="Arial" w:hAnsi="Arial"/>
          <w:sz w:val="22"/>
          <w:szCs w:val="22"/>
          <w:color w:val="auto"/>
        </w:rPr>
        <w:t>”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93" w:lineRule="exact"/>
        <w:rPr>
          <w:sz w:val="20"/>
          <w:szCs w:val="20"/>
          <w:color w:val="auto"/>
        </w:rPr>
      </w:pPr>
    </w:p>
    <w:p>
      <w:pPr>
        <w:ind w:left="1200" w:hanging="544"/>
        <w:spacing w:after="0"/>
        <w:tabs>
          <w:tab w:leader="none" w:pos="1200" w:val="left"/>
        </w:tabs>
        <w:numPr>
          <w:ilvl w:val="0"/>
          <w:numId w:val="34"/>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Change of Control</w:t>
      </w:r>
      <w:r>
        <w:rPr>
          <w:rFonts w:ascii="Arial" w:cs="Arial" w:eastAsia="Arial" w:hAnsi="Arial"/>
          <w:sz w:val="22"/>
          <w:szCs w:val="22"/>
          <w:color w:val="auto"/>
        </w:rPr>
        <w:t>” shall mean any of the following:</w:t>
      </w:r>
    </w:p>
    <w:p>
      <w:pPr>
        <w:spacing w:after="0" w:line="202" w:lineRule="exact"/>
        <w:rPr>
          <w:sz w:val="20"/>
          <w:szCs w:val="20"/>
          <w:color w:val="auto"/>
        </w:rPr>
      </w:pPr>
    </w:p>
    <w:p>
      <w:pPr>
        <w:ind w:firstLine="1092"/>
        <w:spacing w:after="0" w:line="290" w:lineRule="auto"/>
        <w:rPr>
          <w:sz w:val="20"/>
          <w:szCs w:val="20"/>
          <w:color w:val="auto"/>
        </w:rPr>
      </w:pPr>
      <w:r>
        <w:rPr>
          <w:rFonts w:ascii="Arial" w:cs="Arial" w:eastAsia="Arial" w:hAnsi="Arial"/>
          <w:sz w:val="19"/>
          <w:szCs w:val="19"/>
          <w:color w:val="010000"/>
        </w:rPr>
        <w:t>(i)</w:t>
      </w:r>
      <w:r>
        <w:rPr>
          <w:rFonts w:ascii="Arial" w:cs="Arial" w:eastAsia="Arial" w:hAnsi="Arial"/>
          <w:sz w:val="19"/>
          <w:szCs w:val="19"/>
          <w:color w:val="000000"/>
        </w:rPr>
        <w:t>any “person” (as such term is used in Section 13(d) and 14(d) of the Securities Exchange Act of 1934, as amended</w:t>
      </w:r>
      <w:r>
        <w:rPr>
          <w:rFonts w:ascii="Arial" w:cs="Arial" w:eastAsia="Arial" w:hAnsi="Arial"/>
          <w:sz w:val="19"/>
          <w:szCs w:val="19"/>
          <w:color w:val="010000"/>
        </w:rPr>
        <w:t xml:space="preserve"> </w:t>
      </w:r>
      <w:r>
        <w:rPr>
          <w:rFonts w:ascii="Arial" w:cs="Arial" w:eastAsia="Arial" w:hAnsi="Arial"/>
          <w:sz w:val="19"/>
          <w:szCs w:val="19"/>
          <w:color w:val="000000"/>
        </w:rPr>
        <w:t>(the “</w:t>
      </w:r>
      <w:r>
        <w:rPr>
          <w:rFonts w:ascii="Arial" w:cs="Arial" w:eastAsia="Arial" w:hAnsi="Arial"/>
          <w:sz w:val="19"/>
          <w:szCs w:val="19"/>
          <w:b w:val="1"/>
          <w:bCs w:val="1"/>
          <w:color w:val="000000"/>
        </w:rPr>
        <w:t>Exchange Act</w:t>
      </w:r>
      <w:r>
        <w:rPr>
          <w:rFonts w:ascii="Arial" w:cs="Arial" w:eastAsia="Arial" w:hAnsi="Arial"/>
          <w:sz w:val="19"/>
          <w:szCs w:val="19"/>
          <w:color w:val="000000"/>
        </w:rPr>
        <w: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56" w:lineRule="exact"/>
        <w:rPr>
          <w:sz w:val="20"/>
          <w:szCs w:val="20"/>
          <w:color w:val="auto"/>
        </w:rPr>
      </w:pPr>
    </w:p>
    <w:p>
      <w:pPr>
        <w:ind w:firstLine="1032"/>
        <w:spacing w:after="0" w:line="291"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a change in the composition of the Board, as a result of which fewer than a majority of the directors are Incumbent</w:t>
      </w:r>
      <w:r>
        <w:rPr>
          <w:rFonts w:ascii="Arial" w:cs="Arial" w:eastAsia="Arial" w:hAnsi="Arial"/>
          <w:sz w:val="19"/>
          <w:szCs w:val="19"/>
          <w:color w:val="010000"/>
        </w:rPr>
        <w:t xml:space="preserve"> </w:t>
      </w:r>
      <w:r>
        <w:rPr>
          <w:rFonts w:ascii="Arial" w:cs="Arial" w:eastAsia="Arial" w:hAnsi="Arial"/>
          <w:sz w:val="19"/>
          <w:szCs w:val="19"/>
          <w:color w:val="000000"/>
        </w:rPr>
        <w:t>Directors. “</w:t>
      </w:r>
      <w:r>
        <w:rPr>
          <w:rFonts w:ascii="Arial" w:cs="Arial" w:eastAsia="Arial" w:hAnsi="Arial"/>
          <w:sz w:val="19"/>
          <w:szCs w:val="19"/>
          <w:b w:val="1"/>
          <w:bCs w:val="1"/>
          <w:color w:val="000000"/>
        </w:rPr>
        <w:t>Incumbent Directors</w:t>
      </w:r>
      <w:r>
        <w:rPr>
          <w:rFonts w:ascii="Arial" w:cs="Arial" w:eastAsia="Arial" w:hAnsi="Arial"/>
          <w:sz w:val="19"/>
          <w:szCs w:val="19"/>
          <w:color w:val="000000"/>
        </w:rPr>
        <w:t>” shall mean directors who either (i) are directors of the Company as of the Effective Date, or</w:t>
      </w:r>
    </w:p>
    <w:p>
      <w:pPr>
        <w:spacing w:after="0" w:line="1" w:lineRule="exact"/>
        <w:rPr>
          <w:sz w:val="20"/>
          <w:szCs w:val="20"/>
          <w:color w:val="auto"/>
        </w:rPr>
      </w:pPr>
    </w:p>
    <w:p>
      <w:pPr>
        <w:ind w:firstLine="8"/>
        <w:spacing w:after="0" w:line="244" w:lineRule="auto"/>
        <w:tabs>
          <w:tab w:leader="none" w:pos="31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195" w:lineRule="exact"/>
        <w:rPr>
          <w:sz w:val="20"/>
          <w:szCs w:val="20"/>
          <w:color w:val="auto"/>
        </w:rPr>
      </w:pPr>
    </w:p>
    <w:p>
      <w:pPr>
        <w:ind w:firstLine="972"/>
        <w:spacing w:after="0" w:line="247"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the consummation of a merger or consolidation of the Company with any other corporation, other than a merger or</w:t>
      </w:r>
      <w:r>
        <w:rPr>
          <w:rFonts w:ascii="Arial" w:cs="Arial" w:eastAsia="Arial" w:hAnsi="Arial"/>
          <w:sz w:val="22"/>
          <w:szCs w:val="22"/>
          <w:color w:val="010000"/>
        </w:rPr>
        <w:t xml:space="preserve"> </w:t>
      </w:r>
      <w:r>
        <w:rPr>
          <w:rFonts w:ascii="Arial" w:cs="Arial" w:eastAsia="Arial" w:hAnsi="Arial"/>
          <w:sz w:val="22"/>
          <w:szCs w:val="22"/>
          <w:color w:val="000000"/>
        </w:rPr>
        <w:t>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22"/>
          <w:szCs w:val="22"/>
          <w:color w:val="010000"/>
        </w:rPr>
        <w:t>(iv)</w:t>
      </w:r>
      <w:r>
        <w:rPr>
          <w:rFonts w:ascii="Arial" w:cs="Arial" w:eastAsia="Arial" w:hAnsi="Arial"/>
          <w:sz w:val="22"/>
          <w:szCs w:val="22"/>
          <w:color w:val="000000"/>
        </w:rPr>
        <w:t>the shareholders of the Company approve a plan of complete liquidation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2" w:right="359" w:bottom="1440" w:gutter="0" w:footer="0" w:header="0"/>
        </w:sectPr>
      </w:pPr>
    </w:p>
    <w:bookmarkStart w:id="42" w:name="page43"/>
    <w:bookmarkEnd w:id="42"/>
    <w:p>
      <w:pPr>
        <w:spacing w:after="0" w:line="204" w:lineRule="exact"/>
        <w:rPr>
          <w:sz w:val="20"/>
          <w:szCs w:val="20"/>
          <w:color w:val="auto"/>
        </w:rPr>
      </w:pPr>
    </w:p>
    <w:p>
      <w:pPr>
        <w:ind w:right="220" w:firstLine="1044"/>
        <w:spacing w:after="0" w:line="263" w:lineRule="auto"/>
        <w:rPr>
          <w:sz w:val="20"/>
          <w:szCs w:val="20"/>
          <w:color w:val="auto"/>
        </w:rPr>
      </w:pPr>
      <w:r>
        <w:rPr>
          <w:rFonts w:ascii="Arial" w:cs="Arial" w:eastAsia="Arial" w:hAnsi="Arial"/>
          <w:sz w:val="22"/>
          <w:szCs w:val="22"/>
          <w:color w:val="010000"/>
        </w:rPr>
        <w:t>(v)</w:t>
      </w:r>
      <w:r>
        <w:rPr>
          <w:rFonts w:ascii="Arial" w:cs="Arial" w:eastAsia="Arial" w:hAnsi="Arial"/>
          <w:sz w:val="22"/>
          <w:szCs w:val="22"/>
          <w:color w:val="000000"/>
        </w:rPr>
        <w:t>the sale or disposition (other than a pledge or similar encumbrance) by the Company of all or substantially all of</w:t>
      </w:r>
      <w:r>
        <w:rPr>
          <w:rFonts w:ascii="Arial" w:cs="Arial" w:eastAsia="Arial" w:hAnsi="Arial"/>
          <w:sz w:val="22"/>
          <w:szCs w:val="22"/>
          <w:color w:val="010000"/>
        </w:rPr>
        <w:t xml:space="preserve"> </w:t>
      </w:r>
      <w:r>
        <w:rPr>
          <w:rFonts w:ascii="Arial" w:cs="Arial" w:eastAsia="Arial" w:hAnsi="Arial"/>
          <w:sz w:val="22"/>
          <w:szCs w:val="22"/>
          <w:color w:val="000000"/>
        </w:rPr>
        <w:t>the assets of the Company other than to a subsidiary or subsidiaries of the Company.</w:t>
      </w:r>
    </w:p>
    <w:p>
      <w:pPr>
        <w:spacing w:after="0" w:line="175" w:lineRule="exact"/>
        <w:rPr>
          <w:sz w:val="20"/>
          <w:szCs w:val="20"/>
          <w:color w:val="auto"/>
        </w:rPr>
      </w:pPr>
    </w:p>
    <w:p>
      <w:pPr>
        <w:ind w:left="1200" w:hanging="544"/>
        <w:spacing w:after="0"/>
        <w:tabs>
          <w:tab w:leader="none" w:pos="120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Code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02" w:lineRule="exact"/>
        <w:rPr>
          <w:sz w:val="20"/>
          <w:szCs w:val="20"/>
          <w:color w:val="auto"/>
        </w:rPr>
      </w:pPr>
    </w:p>
    <w:p>
      <w:pPr>
        <w:ind w:left="1220" w:hanging="564"/>
        <w:spacing w:after="0"/>
        <w:tabs>
          <w:tab w:leader="none" w:pos="1220"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Committee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Committee</w:t>
      </w:r>
      <w:r>
        <w:rPr>
          <w:rFonts w:ascii="Arial" w:cs="Arial" w:eastAsia="Arial" w:hAnsi="Arial"/>
          <w:sz w:val="22"/>
          <w:szCs w:val="22"/>
          <w:color w:val="auto"/>
        </w:rPr>
        <w:t>” shall mean the Board or a subcommittee of the Board appointed as provided in Section 8.1.</w:t>
      </w:r>
    </w:p>
    <w:p>
      <w:pPr>
        <w:spacing w:after="0" w:line="202" w:lineRule="exact"/>
        <w:rPr>
          <w:sz w:val="20"/>
          <w:szCs w:val="20"/>
          <w:color w:val="auto"/>
        </w:rPr>
      </w:pPr>
    </w:p>
    <w:p>
      <w:pPr>
        <w:ind w:left="1220" w:hanging="564"/>
        <w:spacing w:after="0"/>
        <w:tabs>
          <w:tab w:leader="none" w:pos="1220" w:val="left"/>
        </w:tabs>
        <w:numPr>
          <w:ilvl w:val="0"/>
          <w:numId w:val="38"/>
        </w:numPr>
        <w:rPr>
          <w:rFonts w:ascii="Arial" w:cs="Arial" w:eastAsia="Arial" w:hAnsi="Arial"/>
          <w:sz w:val="22"/>
          <w:szCs w:val="22"/>
          <w:color w:val="010000"/>
        </w:rPr>
      </w:pPr>
      <w:r>
        <w:rPr>
          <w:rFonts w:ascii="Arial" w:cs="Arial" w:eastAsia="Arial" w:hAnsi="Arial"/>
          <w:sz w:val="22"/>
          <w:szCs w:val="22"/>
          <w:u w:val="single" w:color="auto"/>
          <w:color w:val="auto"/>
        </w:rPr>
        <w:t>Common Shares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Common Shares</w:t>
      </w:r>
      <w:r>
        <w:rPr>
          <w:rFonts w:ascii="Arial" w:cs="Arial" w:eastAsia="Arial" w:hAnsi="Arial"/>
          <w:sz w:val="22"/>
          <w:szCs w:val="22"/>
          <w:color w:val="auto"/>
        </w:rPr>
        <w:t>” shall mean the common shares of the Company.</w:t>
      </w:r>
    </w:p>
    <w:p>
      <w:pPr>
        <w:spacing w:after="0" w:line="202" w:lineRule="exact"/>
        <w:rPr>
          <w:sz w:val="20"/>
          <w:szCs w:val="20"/>
          <w:color w:val="auto"/>
        </w:rPr>
      </w:pPr>
    </w:p>
    <w:p>
      <w:pPr>
        <w:ind w:left="1220" w:hanging="564"/>
        <w:spacing w:after="0"/>
        <w:tabs>
          <w:tab w:leader="none" w:pos="1220"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Company</w:t>
      </w:r>
    </w:p>
    <w:p>
      <w:pPr>
        <w:spacing w:after="0" w:line="21" w:lineRule="exact"/>
        <w:rPr>
          <w:sz w:val="20"/>
          <w:szCs w:val="20"/>
          <w:color w:val="auto"/>
        </w:rPr>
      </w:pPr>
    </w:p>
    <w:p>
      <w:pPr>
        <w:ind w:right="180" w:firstLine="656"/>
        <w:spacing w:after="0" w:line="245" w:lineRule="auto"/>
        <w:tabs>
          <w:tab w:leader="none" w:pos="756"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93" w:lineRule="exact"/>
        <w:rPr>
          <w:sz w:val="20"/>
          <w:szCs w:val="20"/>
          <w:color w:val="auto"/>
        </w:rPr>
      </w:pPr>
    </w:p>
    <w:p>
      <w:pPr>
        <w:ind w:left="1220" w:hanging="564"/>
        <w:spacing w:after="0"/>
        <w:tabs>
          <w:tab w:leader="none" w:pos="1220" w:val="left"/>
        </w:tabs>
        <w:numPr>
          <w:ilvl w:val="0"/>
          <w:numId w:val="41"/>
        </w:numPr>
        <w:rPr>
          <w:rFonts w:ascii="Arial" w:cs="Arial" w:eastAsia="Arial" w:hAnsi="Arial"/>
          <w:sz w:val="22"/>
          <w:szCs w:val="22"/>
          <w:color w:val="010000"/>
        </w:rPr>
      </w:pPr>
      <w:r>
        <w:rPr>
          <w:rFonts w:ascii="Arial" w:cs="Arial" w:eastAsia="Arial" w:hAnsi="Arial"/>
          <w:sz w:val="22"/>
          <w:szCs w:val="22"/>
          <w:u w:val="single" w:color="auto"/>
          <w:color w:val="auto"/>
        </w:rPr>
        <w:t>Deferred Share</w:t>
      </w:r>
    </w:p>
    <w:p>
      <w:pPr>
        <w:spacing w:after="0" w:line="21" w:lineRule="exact"/>
        <w:rPr>
          <w:sz w:val="20"/>
          <w:szCs w:val="20"/>
          <w:color w:val="auto"/>
        </w:rPr>
      </w:pPr>
    </w:p>
    <w:p>
      <w:pPr>
        <w:ind w:right="220" w:firstLine="656"/>
        <w:spacing w:after="0" w:line="295" w:lineRule="auto"/>
        <w:tabs>
          <w:tab w:leader="none" w:pos="75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Deferred Share</w:t>
      </w:r>
      <w:r>
        <w:rPr>
          <w:rFonts w:ascii="Arial" w:cs="Arial" w:eastAsia="Arial" w:hAnsi="Arial"/>
          <w:sz w:val="19"/>
          <w:szCs w:val="19"/>
          <w:color w:val="auto"/>
        </w:rPr>
        <w:t>” means a contractual promise to distribute to a Grantee one Common Share or cash equal to the Fair Market Value of one Common Share, which shall be delivered to the Grantee upon satisfaction of the vesting and any other requirements set forth in the related award agreement, as awarded under Article VII of the Plan. For the avoidance of doubt, Deferred Shares may also be referred to as a Restricted Share Units for purposes of this Plan.</w:t>
      </w:r>
    </w:p>
    <w:p>
      <w:pPr>
        <w:spacing w:after="0" w:line="150" w:lineRule="exact"/>
        <w:rPr>
          <w:sz w:val="20"/>
          <w:szCs w:val="20"/>
          <w:color w:val="auto"/>
        </w:rPr>
      </w:pPr>
    </w:p>
    <w:p>
      <w:pPr>
        <w:ind w:left="1220" w:hanging="564"/>
        <w:spacing w:after="0"/>
        <w:tabs>
          <w:tab w:leader="none" w:pos="1220"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Director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Director</w:t>
      </w:r>
      <w:r>
        <w:rPr>
          <w:rFonts w:ascii="Arial" w:cs="Arial" w:eastAsia="Arial" w:hAnsi="Arial"/>
          <w:sz w:val="22"/>
          <w:szCs w:val="22"/>
          <w:color w:val="auto"/>
        </w:rPr>
        <w:t>” shall mean a member of the Board who is not otherwise also an Employee.</w:t>
      </w:r>
    </w:p>
    <w:p>
      <w:pPr>
        <w:spacing w:after="0" w:line="202" w:lineRule="exact"/>
        <w:rPr>
          <w:sz w:val="20"/>
          <w:szCs w:val="20"/>
          <w:color w:val="auto"/>
        </w:rPr>
      </w:pPr>
    </w:p>
    <w:p>
      <w:pPr>
        <w:ind w:left="1220" w:hanging="564"/>
        <w:spacing w:after="0"/>
        <w:tabs>
          <w:tab w:leader="none" w:pos="1220"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Dividend Equivalent</w:t>
      </w:r>
    </w:p>
    <w:p>
      <w:pPr>
        <w:spacing w:after="0" w:line="21" w:lineRule="exact"/>
        <w:rPr>
          <w:sz w:val="20"/>
          <w:szCs w:val="20"/>
          <w:color w:val="auto"/>
        </w:rPr>
      </w:pPr>
    </w:p>
    <w:p>
      <w:pPr>
        <w:ind w:firstLine="656"/>
        <w:spacing w:after="0" w:line="245" w:lineRule="auto"/>
        <w:tabs>
          <w:tab w:leader="none" w:pos="756"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Dividend Equivalent</w:t>
      </w:r>
      <w:r>
        <w:rPr>
          <w:rFonts w:ascii="Arial" w:cs="Arial" w:eastAsia="Arial" w:hAnsi="Arial"/>
          <w:sz w:val="22"/>
          <w:szCs w:val="22"/>
          <w:color w:val="auto"/>
        </w:rPr>
        <w:t>” shall mean a right to receive the equivalent value (in cash or Common Shares) of dividends paid on Common Shares, awarded under Article VII of the Plan. Dividend Equivalents shall not be permitted on Options or SARs under the Plan.</w:t>
      </w:r>
    </w:p>
    <w:p>
      <w:pPr>
        <w:spacing w:after="0" w:line="193" w:lineRule="exact"/>
        <w:rPr>
          <w:sz w:val="20"/>
          <w:szCs w:val="20"/>
          <w:color w:val="auto"/>
        </w:rPr>
      </w:pPr>
    </w:p>
    <w:p>
      <w:pPr>
        <w:ind w:left="1220" w:hanging="564"/>
        <w:spacing w:after="0"/>
        <w:tabs>
          <w:tab w:leader="none" w:pos="1220" w:val="left"/>
        </w:tabs>
        <w:numPr>
          <w:ilvl w:val="0"/>
          <w:numId w:val="46"/>
        </w:numPr>
        <w:rPr>
          <w:rFonts w:ascii="Arial" w:cs="Arial" w:eastAsia="Arial" w:hAnsi="Arial"/>
          <w:sz w:val="22"/>
          <w:szCs w:val="22"/>
          <w:color w:val="010000"/>
        </w:rPr>
      </w:pPr>
      <w:r>
        <w:rPr>
          <w:rFonts w:ascii="Arial" w:cs="Arial" w:eastAsia="Arial" w:hAnsi="Arial"/>
          <w:sz w:val="22"/>
          <w:szCs w:val="22"/>
          <w:u w:val="single" w:color="auto"/>
          <w:color w:val="auto"/>
        </w:rPr>
        <w:t>Employee</w:t>
      </w:r>
    </w:p>
    <w:p>
      <w:pPr>
        <w:spacing w:after="0" w:line="21" w:lineRule="exact"/>
        <w:rPr>
          <w:sz w:val="20"/>
          <w:szCs w:val="20"/>
          <w:color w:val="auto"/>
        </w:rPr>
      </w:pPr>
    </w:p>
    <w:p>
      <w:pPr>
        <w:ind w:right="260" w:firstLine="656"/>
        <w:spacing w:after="0" w:line="245" w:lineRule="auto"/>
        <w:tabs>
          <w:tab w:leader="none" w:pos="756"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w:t>
      </w:r>
      <w:r>
        <w:rPr>
          <w:rFonts w:ascii="Arial" w:cs="Arial" w:eastAsia="Arial" w:hAnsi="Arial"/>
          <w:sz w:val="22"/>
          <w:szCs w:val="22"/>
          <w:color w:val="auto"/>
        </w:rPr>
        <w:t>”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93" w:lineRule="exact"/>
        <w:rPr>
          <w:sz w:val="20"/>
          <w:szCs w:val="20"/>
          <w:color w:val="auto"/>
        </w:rPr>
      </w:pPr>
    </w:p>
    <w:p>
      <w:pPr>
        <w:ind w:left="1220" w:hanging="564"/>
        <w:spacing w:after="0"/>
        <w:tabs>
          <w:tab w:leader="none" w:pos="1220"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Exchange Act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02" w:lineRule="exact"/>
        <w:rPr>
          <w:sz w:val="20"/>
          <w:szCs w:val="20"/>
          <w:color w:val="auto"/>
        </w:rPr>
      </w:pPr>
    </w:p>
    <w:p>
      <w:pPr>
        <w:ind w:left="1220" w:hanging="564"/>
        <w:spacing w:after="0"/>
        <w:tabs>
          <w:tab w:leader="none" w:pos="122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Fair Market Value</w:t>
      </w:r>
    </w:p>
    <w:p>
      <w:pPr>
        <w:spacing w:after="0" w:line="21" w:lineRule="exact"/>
        <w:rPr>
          <w:sz w:val="20"/>
          <w:szCs w:val="20"/>
          <w:color w:val="auto"/>
        </w:rPr>
      </w:pPr>
    </w:p>
    <w:p>
      <w:pPr>
        <w:ind w:right="360" w:firstLine="656"/>
        <w:spacing w:after="0" w:line="246" w:lineRule="auto"/>
        <w:tabs>
          <w:tab w:leader="none" w:pos="7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of a Common Share as of a given date shall be (i) the closing price of a Common Share on the principal exchange on which Common Shares are then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40" w:right="359" w:bottom="1440" w:gutter="0" w:footer="0" w:header="0"/>
        </w:sectPr>
      </w:pPr>
    </w:p>
    <w:bookmarkStart w:id="43" w:name="page44"/>
    <w:bookmarkEnd w:id="43"/>
    <w:p>
      <w:pPr>
        <w:ind w:right="120"/>
        <w:spacing w:after="0" w:line="290" w:lineRule="auto"/>
        <w:rPr>
          <w:sz w:val="20"/>
          <w:szCs w:val="20"/>
          <w:color w:val="auto"/>
        </w:rPr>
      </w:pPr>
      <w:r>
        <w:rPr>
          <w:rFonts w:ascii="Arial" w:cs="Arial" w:eastAsia="Arial" w:hAnsi="Arial"/>
          <w:sz w:val="19"/>
          <w:szCs w:val="19"/>
          <w:color w:val="auto"/>
        </w:rPr>
        <w:t>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56" w:lineRule="exact"/>
        <w:rPr>
          <w:sz w:val="20"/>
          <w:szCs w:val="20"/>
          <w:color w:val="auto"/>
        </w:rPr>
      </w:pPr>
    </w:p>
    <w:p>
      <w:pPr>
        <w:ind w:left="1220" w:hanging="564"/>
        <w:spacing w:after="0"/>
        <w:tabs>
          <w:tab w:leader="none" w:pos="1220"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Grantee</w:t>
      </w:r>
    </w:p>
    <w:p>
      <w:pPr>
        <w:spacing w:after="0" w:line="21" w:lineRule="exact"/>
        <w:rPr>
          <w:sz w:val="20"/>
          <w:szCs w:val="20"/>
          <w:color w:val="auto"/>
        </w:rPr>
      </w:pPr>
    </w:p>
    <w:p>
      <w:pPr>
        <w:ind w:right="60" w:firstLine="656"/>
        <w:spacing w:after="0" w:line="246" w:lineRule="auto"/>
        <w:tabs>
          <w:tab w:leader="none" w:pos="756"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Grantee</w:t>
      </w:r>
      <w:r>
        <w:rPr>
          <w:rFonts w:ascii="Arial" w:cs="Arial" w:eastAsia="Arial" w:hAnsi="Arial"/>
          <w:sz w:val="22"/>
          <w:szCs w:val="22"/>
          <w:color w:val="auto"/>
        </w:rPr>
        <w:t>” shall mean an Employee, Director or consultant granted a Performance Award, Dividend Equivalent, SAR or Share Payment, or an award of Deferred Shares, under the Plan.</w:t>
      </w:r>
    </w:p>
    <w:p>
      <w:pPr>
        <w:spacing w:after="0" w:line="192" w:lineRule="exact"/>
        <w:rPr>
          <w:sz w:val="20"/>
          <w:szCs w:val="20"/>
          <w:color w:val="auto"/>
        </w:rPr>
      </w:pPr>
    </w:p>
    <w:p>
      <w:pPr>
        <w:ind w:left="1220" w:hanging="564"/>
        <w:spacing w:after="0"/>
        <w:tabs>
          <w:tab w:leader="none" w:pos="1220"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Incentive Option</w:t>
      </w:r>
    </w:p>
    <w:p>
      <w:pPr>
        <w:spacing w:after="0" w:line="21" w:lineRule="exact"/>
        <w:rPr>
          <w:sz w:val="20"/>
          <w:szCs w:val="20"/>
          <w:color w:val="auto"/>
        </w:rPr>
      </w:pPr>
    </w:p>
    <w:p>
      <w:pPr>
        <w:ind w:firstLine="656"/>
        <w:spacing w:after="0" w:line="246" w:lineRule="auto"/>
        <w:tabs>
          <w:tab w:leader="none" w:pos="756" w:val="left"/>
        </w:tabs>
        <w:numPr>
          <w:ilvl w:val="0"/>
          <w:numId w:val="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Incentive Option</w:t>
      </w:r>
      <w:r>
        <w:rPr>
          <w:rFonts w:ascii="Arial" w:cs="Arial" w:eastAsia="Arial" w:hAnsi="Arial"/>
          <w:sz w:val="22"/>
          <w:szCs w:val="22"/>
          <w:color w:val="auto"/>
        </w:rPr>
        <w:t>” shall mean an Option which is intended to qualify as an “incentive stock option” within the meaning of Section 422 of the Code.</w:t>
      </w:r>
    </w:p>
    <w:p>
      <w:pPr>
        <w:spacing w:after="0" w:line="192" w:lineRule="exact"/>
        <w:rPr>
          <w:sz w:val="20"/>
          <w:szCs w:val="20"/>
          <w:color w:val="auto"/>
        </w:rPr>
      </w:pPr>
    </w:p>
    <w:p>
      <w:pPr>
        <w:ind w:left="1200" w:hanging="544"/>
        <w:spacing w:after="0"/>
        <w:tabs>
          <w:tab w:leader="none" w:pos="1200"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ITA</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w:t>
      </w:r>
      <w:r>
        <w:rPr>
          <w:rFonts w:ascii="Arial" w:cs="Arial" w:eastAsia="Arial" w:hAnsi="Arial"/>
          <w:sz w:val="21"/>
          <w:szCs w:val="21"/>
          <w:b w:val="1"/>
          <w:bCs w:val="1"/>
          <w:color w:val="auto"/>
        </w:rPr>
        <w:t>ITA</w:t>
      </w:r>
      <w:r>
        <w:rPr>
          <w:rFonts w:ascii="Arial" w:cs="Arial" w:eastAsia="Arial" w:hAnsi="Arial"/>
          <w:sz w:val="21"/>
          <w:szCs w:val="21"/>
          <w:color w:val="auto"/>
        </w:rPr>
        <w:t xml:space="preserve">” shall mean the </w:t>
      </w:r>
      <w:r>
        <w:rPr>
          <w:rFonts w:ascii="Arial" w:cs="Arial" w:eastAsia="Arial" w:hAnsi="Arial"/>
          <w:sz w:val="21"/>
          <w:szCs w:val="21"/>
          <w:i w:val="1"/>
          <w:iCs w:val="1"/>
          <w:color w:val="auto"/>
        </w:rPr>
        <w:t>Income Tax Act</w:t>
      </w:r>
      <w:r>
        <w:rPr>
          <w:rFonts w:ascii="Arial" w:cs="Arial" w:eastAsia="Arial" w:hAnsi="Arial"/>
          <w:sz w:val="21"/>
          <w:szCs w:val="21"/>
          <w:color w:val="auto"/>
        </w:rPr>
        <w:t xml:space="preserve"> (Canada) and any regulations thereunder, as amended from time to time.</w:t>
      </w:r>
    </w:p>
    <w:p>
      <w:pPr>
        <w:spacing w:after="0" w:line="213" w:lineRule="exact"/>
        <w:rPr>
          <w:sz w:val="20"/>
          <w:szCs w:val="20"/>
          <w:color w:val="auto"/>
        </w:rPr>
      </w:pPr>
    </w:p>
    <w:p>
      <w:pPr>
        <w:ind w:left="1200" w:hanging="544"/>
        <w:spacing w:after="0"/>
        <w:tabs>
          <w:tab w:leader="none" w:pos="1200"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Non-Qualified Option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Non-Qualified Option</w:t>
      </w:r>
      <w:r>
        <w:rPr>
          <w:rFonts w:ascii="Arial" w:cs="Arial" w:eastAsia="Arial" w:hAnsi="Arial"/>
          <w:sz w:val="22"/>
          <w:szCs w:val="22"/>
          <w:color w:val="auto"/>
        </w:rPr>
        <w:t>” shall mean an Option which is not designated as an Incentive Option by the Committee.</w:t>
      </w:r>
    </w:p>
    <w:p>
      <w:pPr>
        <w:spacing w:after="0" w:line="202" w:lineRule="exact"/>
        <w:rPr>
          <w:sz w:val="20"/>
          <w:szCs w:val="20"/>
          <w:color w:val="auto"/>
        </w:rPr>
      </w:pPr>
    </w:p>
    <w:p>
      <w:pPr>
        <w:ind w:left="1220" w:hanging="564"/>
        <w:spacing w:after="0"/>
        <w:tabs>
          <w:tab w:leader="none" w:pos="1220"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Option</w:t>
      </w:r>
    </w:p>
    <w:p>
      <w:pPr>
        <w:spacing w:after="0" w:line="21" w:lineRule="exact"/>
        <w:rPr>
          <w:sz w:val="20"/>
          <w:szCs w:val="20"/>
          <w:color w:val="auto"/>
        </w:rPr>
      </w:pPr>
    </w:p>
    <w:p>
      <w:pPr>
        <w:ind w:right="80" w:firstLine="656"/>
        <w:spacing w:after="0" w:line="302" w:lineRule="auto"/>
        <w:tabs>
          <w:tab w:leader="none" w:pos="756" w:val="left"/>
        </w:tabs>
        <w:numPr>
          <w:ilvl w:val="0"/>
          <w:numId w:val="5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spacing w:after="0" w:line="143" w:lineRule="exact"/>
        <w:rPr>
          <w:sz w:val="20"/>
          <w:szCs w:val="20"/>
          <w:color w:val="auto"/>
        </w:rPr>
      </w:pPr>
    </w:p>
    <w:p>
      <w:pPr>
        <w:ind w:left="1220" w:hanging="564"/>
        <w:spacing w:after="0"/>
        <w:tabs>
          <w:tab w:leader="none" w:pos="1220"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Optionee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Optionee</w:t>
      </w:r>
      <w:r>
        <w:rPr>
          <w:rFonts w:ascii="Arial" w:cs="Arial" w:eastAsia="Arial" w:hAnsi="Arial"/>
          <w:sz w:val="22"/>
          <w:szCs w:val="22"/>
          <w:color w:val="auto"/>
        </w:rPr>
        <w:t>” shall mean an Employee, Director or consultant granted an Option under the Plan.</w:t>
      </w:r>
    </w:p>
    <w:p>
      <w:pPr>
        <w:spacing w:after="0" w:line="202" w:lineRule="exact"/>
        <w:rPr>
          <w:sz w:val="20"/>
          <w:szCs w:val="20"/>
          <w:color w:val="auto"/>
        </w:rPr>
      </w:pPr>
    </w:p>
    <w:p>
      <w:pPr>
        <w:ind w:left="1200" w:hanging="544"/>
        <w:spacing w:after="0"/>
        <w:tabs>
          <w:tab w:leader="none" w:pos="1200"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Performance Award</w:t>
      </w:r>
    </w:p>
    <w:p>
      <w:pPr>
        <w:spacing w:after="0" w:line="21" w:lineRule="exact"/>
        <w:rPr>
          <w:sz w:val="20"/>
          <w:szCs w:val="20"/>
          <w:color w:val="auto"/>
        </w:rPr>
      </w:pPr>
    </w:p>
    <w:p>
      <w:pPr>
        <w:ind w:right="180" w:firstLine="656"/>
        <w:spacing w:after="0" w:line="245" w:lineRule="auto"/>
        <w:tabs>
          <w:tab w:leader="none" w:pos="7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“Performance Award” shall mean a performance or incentive award, other than an Option, SAR, Restricted Share, Deferred Share or Share Payments, that is paid in cash, Common Shares or a combination of both, awarded under Article VII of the Plan.</w:t>
      </w:r>
    </w:p>
    <w:p>
      <w:pPr>
        <w:spacing w:after="0" w:line="193" w:lineRule="exact"/>
        <w:rPr>
          <w:sz w:val="20"/>
          <w:szCs w:val="20"/>
          <w:color w:val="auto"/>
        </w:rPr>
      </w:pPr>
    </w:p>
    <w:p>
      <w:pPr>
        <w:ind w:left="1200" w:hanging="544"/>
        <w:spacing w:after="0"/>
        <w:tabs>
          <w:tab w:leader="none" w:pos="1200"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4" w:name="page45"/>
    <w:bookmarkEnd w:id="44"/>
    <w:p>
      <w:pPr>
        <w:ind w:firstLine="656"/>
        <w:spacing w:after="0" w:line="287" w:lineRule="auto"/>
        <w:tabs>
          <w:tab w:leader="none" w:pos="756" w:val="left"/>
        </w:tabs>
        <w:numPr>
          <w:ilvl w:val="0"/>
          <w:numId w:val="63"/>
        </w:numPr>
        <w:rPr>
          <w:rFonts w:ascii="Arial" w:cs="Arial" w:eastAsia="Arial" w:hAnsi="Arial"/>
          <w:sz w:val="19"/>
          <w:szCs w:val="19"/>
          <w:color w:val="auto"/>
        </w:rPr>
      </w:pPr>
      <w:r>
        <w:rPr>
          <w:rFonts w:ascii="Arial" w:cs="Arial" w:eastAsia="Arial" w:hAnsi="Arial"/>
          <w:sz w:val="19"/>
          <w:szCs w:val="19"/>
          <w:color w:val="auto"/>
        </w:rPr>
        <w:t>“Performance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200" w:lineRule="exact"/>
        <w:rPr>
          <w:sz w:val="20"/>
          <w:szCs w:val="20"/>
          <w:color w:val="auto"/>
        </w:rPr>
      </w:pPr>
    </w:p>
    <w:p>
      <w:pPr>
        <w:spacing w:after="0" w:line="215" w:lineRule="exact"/>
        <w:rPr>
          <w:sz w:val="20"/>
          <w:szCs w:val="20"/>
          <w:color w:val="auto"/>
        </w:rPr>
      </w:pPr>
    </w:p>
    <w:p>
      <w:pPr>
        <w:ind w:left="1220" w:hanging="564"/>
        <w:spacing w:after="0"/>
        <w:tabs>
          <w:tab w:leader="none" w:pos="1220"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Plan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Plan</w:t>
      </w:r>
      <w:r>
        <w:rPr>
          <w:rFonts w:ascii="Arial" w:cs="Arial" w:eastAsia="Arial" w:hAnsi="Arial"/>
          <w:sz w:val="19"/>
          <w:szCs w:val="19"/>
          <w:color w:val="auto"/>
        </w:rPr>
        <w:t>” shall mean the 2014 Equity Participation Plan of Civeo Corporation, as amended and restated as of May 12,</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2016.</w:t>
      </w:r>
    </w:p>
    <w:p>
      <w:pPr>
        <w:spacing w:after="0" w:line="202" w:lineRule="exact"/>
        <w:rPr>
          <w:sz w:val="20"/>
          <w:szCs w:val="20"/>
          <w:color w:val="auto"/>
        </w:rPr>
      </w:pPr>
    </w:p>
    <w:p>
      <w:pPr>
        <w:ind w:left="1200" w:hanging="544"/>
        <w:spacing w:after="0"/>
        <w:tabs>
          <w:tab w:leader="none" w:pos="1200"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QDRO</w:t>
      </w:r>
    </w:p>
    <w:p>
      <w:pPr>
        <w:spacing w:after="0" w:line="21" w:lineRule="exact"/>
        <w:rPr>
          <w:sz w:val="20"/>
          <w:szCs w:val="20"/>
          <w:color w:val="auto"/>
        </w:rPr>
      </w:pPr>
    </w:p>
    <w:p>
      <w:pPr>
        <w:ind w:right="200" w:firstLine="656"/>
        <w:spacing w:after="0" w:line="246" w:lineRule="auto"/>
        <w:tabs>
          <w:tab w:leader="none" w:pos="7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QDRO</w:t>
      </w:r>
      <w:r>
        <w:rPr>
          <w:rFonts w:ascii="Arial" w:cs="Arial" w:eastAsia="Arial" w:hAnsi="Arial"/>
          <w:sz w:val="22"/>
          <w:szCs w:val="22"/>
          <w:color w:val="auto"/>
        </w:rPr>
        <w:t>” shall mean a qualified domestic relations order as defined by the Code or Title I of the Employee Retirement Income Security Act of 1974, as amended, or the rules thereunder.</w:t>
      </w:r>
    </w:p>
    <w:p>
      <w:pPr>
        <w:spacing w:after="0" w:line="192" w:lineRule="exact"/>
        <w:rPr>
          <w:sz w:val="20"/>
          <w:szCs w:val="20"/>
          <w:color w:val="auto"/>
        </w:rPr>
      </w:pPr>
    </w:p>
    <w:p>
      <w:pPr>
        <w:ind w:left="1200" w:hanging="544"/>
        <w:spacing w:after="0"/>
        <w:tabs>
          <w:tab w:leader="none" w:pos="1200"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Restricted Share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w:t>
      </w:r>
      <w:r>
        <w:rPr>
          <w:rFonts w:ascii="Arial" w:cs="Arial" w:eastAsia="Arial" w:hAnsi="Arial"/>
          <w:sz w:val="22"/>
          <w:szCs w:val="22"/>
          <w:b w:val="1"/>
          <w:bCs w:val="1"/>
          <w:color w:val="auto"/>
        </w:rPr>
        <w:t>Restricted Share</w:t>
      </w:r>
      <w:r>
        <w:rPr>
          <w:rFonts w:ascii="Arial" w:cs="Arial" w:eastAsia="Arial" w:hAnsi="Arial"/>
          <w:sz w:val="22"/>
          <w:szCs w:val="22"/>
          <w:color w:val="auto"/>
        </w:rPr>
        <w:t>” shall mean Common Shares awarded under Article VI of the Plan.</w:t>
      </w:r>
    </w:p>
    <w:p>
      <w:pPr>
        <w:spacing w:after="0" w:line="202" w:lineRule="exact"/>
        <w:rPr>
          <w:sz w:val="20"/>
          <w:szCs w:val="20"/>
          <w:color w:val="auto"/>
        </w:rPr>
      </w:pPr>
    </w:p>
    <w:p>
      <w:pPr>
        <w:ind w:left="1200" w:hanging="544"/>
        <w:spacing w:after="0"/>
        <w:tabs>
          <w:tab w:leader="none" w:pos="1200" w:val="left"/>
        </w:tabs>
        <w:numPr>
          <w:ilvl w:val="0"/>
          <w:numId w:val="68"/>
        </w:numPr>
        <w:rPr>
          <w:rFonts w:ascii="Arial" w:cs="Arial" w:eastAsia="Arial" w:hAnsi="Arial"/>
          <w:sz w:val="22"/>
          <w:szCs w:val="22"/>
          <w:color w:val="010000"/>
        </w:rPr>
      </w:pPr>
      <w:r>
        <w:rPr>
          <w:rFonts w:ascii="Arial" w:cs="Arial" w:eastAsia="Arial" w:hAnsi="Arial"/>
          <w:sz w:val="22"/>
          <w:szCs w:val="22"/>
          <w:u w:val="single" w:color="auto"/>
          <w:color w:val="auto"/>
        </w:rPr>
        <w:t>Restricted Shareholder</w:t>
      </w:r>
    </w:p>
    <w:p>
      <w:pPr>
        <w:spacing w:after="0" w:line="21" w:lineRule="exact"/>
        <w:rPr>
          <w:sz w:val="20"/>
          <w:szCs w:val="20"/>
          <w:color w:val="auto"/>
        </w:rPr>
      </w:pPr>
    </w:p>
    <w:p>
      <w:pPr>
        <w:ind w:right="100" w:firstLine="656"/>
        <w:spacing w:after="0" w:line="246" w:lineRule="auto"/>
        <w:tabs>
          <w:tab w:leader="none" w:pos="756"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Shareholder</w:t>
      </w:r>
      <w:r>
        <w:rPr>
          <w:rFonts w:ascii="Arial" w:cs="Arial" w:eastAsia="Arial" w:hAnsi="Arial"/>
          <w:sz w:val="22"/>
          <w:szCs w:val="22"/>
          <w:color w:val="auto"/>
        </w:rPr>
        <w:t>” shall mean an Employee, Director or consultant granted an award of Restricted Shares under Article VI of the Plan.</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010000"/>
        </w:rPr>
        <w:t>ab.</w:t>
      </w:r>
      <w:r>
        <w:rPr>
          <w:sz w:val="20"/>
          <w:szCs w:val="20"/>
          <w:color w:val="auto"/>
        </w:rPr>
        <w:tab/>
      </w:r>
      <w:r>
        <w:rPr>
          <w:rFonts w:ascii="Arial" w:cs="Arial" w:eastAsia="Arial" w:hAnsi="Arial"/>
          <w:sz w:val="22"/>
          <w:szCs w:val="22"/>
          <w:u w:val="single" w:color="auto"/>
          <w:color w:val="auto"/>
        </w:rPr>
        <w:t>Rule 16b-3</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Rule 16b-3</w:t>
      </w:r>
      <w:r>
        <w:rPr>
          <w:rFonts w:ascii="Arial" w:cs="Arial" w:eastAsia="Arial" w:hAnsi="Arial"/>
          <w:sz w:val="19"/>
          <w:szCs w:val="19"/>
          <w:color w:val="auto"/>
        </w:rPr>
        <w:t>” shall mean that certain Rule 16b-3 under the Exchange Act, as such Rule may be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010000"/>
        </w:rPr>
        <w:t>ac.</w:t>
      </w:r>
      <w:r>
        <w:rPr>
          <w:sz w:val="20"/>
          <w:szCs w:val="20"/>
          <w:color w:val="auto"/>
        </w:rPr>
        <w:tab/>
      </w:r>
      <w:r>
        <w:rPr>
          <w:rFonts w:ascii="Arial" w:cs="Arial" w:eastAsia="Arial" w:hAnsi="Arial"/>
          <w:sz w:val="22"/>
          <w:szCs w:val="22"/>
          <w:u w:val="single" w:color="auto"/>
          <w:color w:val="auto"/>
        </w:rPr>
        <w:t>Share Appreciation Right</w:t>
      </w:r>
    </w:p>
    <w:p>
      <w:pPr>
        <w:spacing w:after="0" w:line="21" w:lineRule="exact"/>
        <w:rPr>
          <w:sz w:val="20"/>
          <w:szCs w:val="20"/>
          <w:color w:val="auto"/>
        </w:rPr>
      </w:pPr>
    </w:p>
    <w:p>
      <w:pPr>
        <w:ind w:right="160" w:firstLine="656"/>
        <w:spacing w:after="0" w:line="262" w:lineRule="auto"/>
        <w:tabs>
          <w:tab w:leader="none" w:pos="756" w:val="left"/>
        </w:tabs>
        <w:numPr>
          <w:ilvl w:val="0"/>
          <w:numId w:val="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 Appreciation Right</w:t>
      </w:r>
      <w:r>
        <w:rPr>
          <w:rFonts w:ascii="Arial" w:cs="Arial" w:eastAsia="Arial" w:hAnsi="Arial"/>
          <w:sz w:val="21"/>
          <w:szCs w:val="21"/>
          <w:color w:val="auto"/>
        </w:rPr>
        <w:t>” or “</w:t>
      </w:r>
      <w:r>
        <w:rPr>
          <w:rFonts w:ascii="Arial" w:cs="Arial" w:eastAsia="Arial" w:hAnsi="Arial"/>
          <w:sz w:val="21"/>
          <w:szCs w:val="21"/>
          <w:b w:val="1"/>
          <w:bCs w:val="1"/>
          <w:color w:val="auto"/>
        </w:rPr>
        <w:t>SAR</w:t>
      </w:r>
      <w:r>
        <w:rPr>
          <w:rFonts w:ascii="Arial" w:cs="Arial" w:eastAsia="Arial" w:hAnsi="Arial"/>
          <w:sz w:val="21"/>
          <w:szCs w:val="21"/>
          <w:color w:val="auto"/>
        </w:rPr>
        <w:t>” 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spacing w:after="0" w:line="17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010000"/>
        </w:rPr>
        <w:t>ad.</w:t>
      </w:r>
      <w:r>
        <w:rPr>
          <w:sz w:val="20"/>
          <w:szCs w:val="20"/>
          <w:color w:val="auto"/>
        </w:rPr>
        <w:tab/>
      </w:r>
      <w:r>
        <w:rPr>
          <w:rFonts w:ascii="Arial" w:cs="Arial" w:eastAsia="Arial" w:hAnsi="Arial"/>
          <w:sz w:val="22"/>
          <w:szCs w:val="22"/>
          <w:u w:val="single" w:color="auto"/>
          <w:color w:val="auto"/>
        </w:rPr>
        <w:t>Share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45" w:name="page46"/>
    <w:bookmarkEnd w:id="45"/>
    <w:p>
      <w:pPr>
        <w:ind w:firstLine="656"/>
        <w:spacing w:after="0" w:line="252" w:lineRule="auto"/>
        <w:tabs>
          <w:tab w:leader="none" w:pos="756"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Payment</w:t>
      </w:r>
      <w:r>
        <w:rPr>
          <w:rFonts w:ascii="Arial" w:cs="Arial" w:eastAsia="Arial" w:hAnsi="Arial"/>
          <w:sz w:val="22"/>
          <w:szCs w:val="22"/>
          <w:color w:val="auto"/>
        </w:rPr>
        <w: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010000"/>
        </w:rPr>
        <w:t>ae.</w:t>
      </w:r>
      <w:r>
        <w:rPr>
          <w:sz w:val="20"/>
          <w:szCs w:val="20"/>
          <w:color w:val="auto"/>
        </w:rPr>
        <w:tab/>
      </w:r>
      <w:r>
        <w:rPr>
          <w:rFonts w:ascii="Arial" w:cs="Arial" w:eastAsia="Arial" w:hAnsi="Arial"/>
          <w:sz w:val="22"/>
          <w:szCs w:val="22"/>
          <w:u w:val="single" w:color="auto"/>
          <w:color w:val="auto"/>
        </w:rPr>
        <w:t>Subsidiary</w:t>
      </w:r>
    </w:p>
    <w:p>
      <w:pPr>
        <w:spacing w:after="0" w:line="21" w:lineRule="exact"/>
        <w:rPr>
          <w:sz w:val="20"/>
          <w:szCs w:val="20"/>
          <w:color w:val="auto"/>
        </w:rPr>
      </w:pPr>
    </w:p>
    <w:p>
      <w:pPr>
        <w:ind w:right="60" w:firstLine="656"/>
        <w:spacing w:after="0" w:line="262" w:lineRule="auto"/>
        <w:tabs>
          <w:tab w:leader="none" w:pos="756" w:val="left"/>
        </w:tabs>
        <w:numPr>
          <w:ilvl w:val="0"/>
          <w:numId w:val="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2.</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SUBJECT TO PLAN</w:t>
      </w:r>
    </w:p>
    <w:p>
      <w:pPr>
        <w:spacing w:after="0" w:line="226" w:lineRule="exact"/>
        <w:rPr>
          <w:sz w:val="20"/>
          <w:szCs w:val="20"/>
          <w:color w:val="auto"/>
        </w:rPr>
      </w:pPr>
    </w:p>
    <w:p>
      <w:pPr>
        <w:ind w:left="1200" w:hanging="544"/>
        <w:spacing w:after="0"/>
        <w:tabs>
          <w:tab w:leader="none" w:pos="1200"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Shares Subject to Plan</w:t>
      </w:r>
    </w:p>
    <w:p>
      <w:pPr>
        <w:spacing w:after="0" w:line="2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right="160" w:firstLine="1092"/>
        <w:spacing w:after="0" w:line="263" w:lineRule="auto"/>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The shares subject to Options, SARs, Restricted Shares, Performance Awards, Dividend Equivalents, Deferred</w:t>
      </w:r>
      <w:r>
        <w:rPr>
          <w:rFonts w:ascii="Arial" w:cs="Arial" w:eastAsia="Arial" w:hAnsi="Arial"/>
          <w:sz w:val="21"/>
          <w:szCs w:val="21"/>
          <w:color w:val="010000"/>
        </w:rPr>
        <w:t xml:space="preserve"> </w:t>
      </w:r>
      <w:r>
        <w:rPr>
          <w:rFonts w:ascii="Arial" w:cs="Arial" w:eastAsia="Arial" w:hAnsi="Arial"/>
          <w:sz w:val="21"/>
          <w:szCs w:val="21"/>
          <w:color w:val="000000"/>
        </w:rPr>
        <w:t>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175" w:lineRule="exact"/>
        <w:rPr>
          <w:sz w:val="20"/>
          <w:szCs w:val="20"/>
          <w:color w:val="auto"/>
        </w:rPr>
      </w:pPr>
    </w:p>
    <w:p>
      <w:pPr>
        <w:ind w:right="80" w:firstLine="1032"/>
        <w:spacing w:after="0" w:line="292"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The maximum number of shares which may be subject to Options or SARs granted under the Plan to any</w:t>
      </w:r>
      <w:r>
        <w:rPr>
          <w:rFonts w:ascii="Arial" w:cs="Arial" w:eastAsia="Arial" w:hAnsi="Arial"/>
          <w:sz w:val="19"/>
          <w:szCs w:val="19"/>
          <w:color w:val="010000"/>
        </w:rPr>
        <w:t xml:space="preserve"> </w:t>
      </w:r>
      <w:r>
        <w:rPr>
          <w:rFonts w:ascii="Arial" w:cs="Arial" w:eastAsia="Arial" w:hAnsi="Arial"/>
          <w:sz w:val="19"/>
          <w:szCs w:val="19"/>
          <w:color w:val="000000"/>
        </w:rPr>
        <w:t>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151" w:lineRule="exact"/>
        <w:rPr>
          <w:sz w:val="20"/>
          <w:szCs w:val="20"/>
          <w:color w:val="auto"/>
        </w:rPr>
      </w:pPr>
    </w:p>
    <w:p>
      <w:pPr>
        <w:ind w:left="1220" w:hanging="564"/>
        <w:spacing w:after="0"/>
        <w:tabs>
          <w:tab w:leader="none" w:pos="1220"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Add-back Restricted Share Performance Awards, Dividend Equivalents, Awards of Deferred Shares or Share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Payments</w:t>
      </w:r>
    </w:p>
    <w:p>
      <w:pPr>
        <w:spacing w:after="0" w:line="3" w:lineRule="exact"/>
        <w:rPr>
          <w:rFonts w:ascii="Arial" w:cs="Arial" w:eastAsia="Arial" w:hAnsi="Arial"/>
          <w:sz w:val="19"/>
          <w:szCs w:val="19"/>
          <w:color w:val="010000"/>
        </w:rPr>
      </w:pPr>
    </w:p>
    <w:p>
      <w:pPr>
        <w:ind w:right="140" w:firstLine="648"/>
        <w:spacing w:after="0" w:line="244" w:lineRule="auto"/>
        <w:rPr>
          <w:rFonts w:ascii="Arial" w:cs="Arial" w:eastAsia="Arial" w:hAnsi="Arial"/>
          <w:sz w:val="19"/>
          <w:szCs w:val="19"/>
          <w:color w:val="010000"/>
        </w:rPr>
      </w:pPr>
      <w:r>
        <w:rPr>
          <w:rFonts w:ascii="Arial" w:cs="Arial" w:eastAsia="Arial" w:hAnsi="Arial"/>
          <w:sz w:val="22"/>
          <w:szCs w:val="22"/>
          <w:color w:val="auto"/>
        </w:rPr>
        <w:t>.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2" w:right="339" w:bottom="1440" w:gutter="0" w:footer="0" w:header="0"/>
        </w:sectPr>
      </w:pPr>
    </w:p>
    <w:bookmarkStart w:id="46" w:name="page47"/>
    <w:bookmarkEnd w:id="46"/>
    <w:p>
      <w:pPr>
        <w:ind w:right="20"/>
        <w:spacing w:after="0" w:line="260" w:lineRule="auto"/>
        <w:rPr>
          <w:sz w:val="20"/>
          <w:szCs w:val="20"/>
          <w:color w:val="auto"/>
        </w:rPr>
      </w:pPr>
      <w:r>
        <w:rPr>
          <w:rFonts w:ascii="Arial" w:cs="Arial" w:eastAsia="Arial" w:hAnsi="Arial"/>
          <w:sz w:val="21"/>
          <w:szCs w:val="21"/>
          <w:color w:val="auto"/>
        </w:rPr>
        <w:t>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price of an Option or (e) reserved for issuance upon grant of an SAR, to the extent the number of reserved Common Shares exceeds the number of Common Shares actually issued upon exercise or settlement of such SAR.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3.</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GRANTING OF OPTIONS AND SHARE APPRECIATION RIGHTS</w:t>
      </w:r>
    </w:p>
    <w:p>
      <w:pPr>
        <w:spacing w:after="0" w:line="226" w:lineRule="exact"/>
        <w:rPr>
          <w:sz w:val="20"/>
          <w:szCs w:val="20"/>
          <w:color w:val="auto"/>
        </w:rPr>
      </w:pPr>
    </w:p>
    <w:p>
      <w:pPr>
        <w:ind w:left="1200" w:hanging="544"/>
        <w:spacing w:after="0"/>
        <w:tabs>
          <w:tab w:leader="none" w:pos="1200" w:val="left"/>
        </w:tabs>
        <w:numPr>
          <w:ilvl w:val="0"/>
          <w:numId w:val="75"/>
        </w:numPr>
        <w:rPr>
          <w:rFonts w:ascii="Arial" w:cs="Arial" w:eastAsia="Arial" w:hAnsi="Arial"/>
          <w:sz w:val="22"/>
          <w:szCs w:val="22"/>
          <w:color w:val="010000"/>
        </w:rPr>
      </w:pPr>
      <w:r>
        <w:rPr>
          <w:rFonts w:ascii="Arial" w:cs="Arial" w:eastAsia="Arial" w:hAnsi="Arial"/>
          <w:sz w:val="22"/>
          <w:szCs w:val="22"/>
          <w:u w:val="single" w:color="auto"/>
          <w:color w:val="auto"/>
        </w:rPr>
        <w:t>Eligibility</w:t>
      </w:r>
    </w:p>
    <w:p>
      <w:pPr>
        <w:spacing w:after="0" w:line="21" w:lineRule="exact"/>
        <w:rPr>
          <w:sz w:val="20"/>
          <w:szCs w:val="20"/>
          <w:color w:val="auto"/>
        </w:rPr>
      </w:pPr>
    </w:p>
    <w:p>
      <w:pPr>
        <w:ind w:right="360" w:firstLine="656"/>
        <w:spacing w:after="0" w:line="246" w:lineRule="auto"/>
        <w:tabs>
          <w:tab w:leader="none" w:pos="75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Employee, Director or consultant selected by the Committee pursuant to Section 3.4(a)(i) shall be eligible to be granted an Option.</w:t>
      </w:r>
    </w:p>
    <w:p>
      <w:pPr>
        <w:spacing w:after="0" w:line="192" w:lineRule="exact"/>
        <w:rPr>
          <w:sz w:val="20"/>
          <w:szCs w:val="20"/>
          <w:color w:val="auto"/>
        </w:rPr>
      </w:pPr>
    </w:p>
    <w:p>
      <w:pPr>
        <w:ind w:left="1220" w:hanging="564"/>
        <w:spacing w:after="0"/>
        <w:tabs>
          <w:tab w:leader="none" w:pos="1220" w:val="left"/>
        </w:tabs>
        <w:numPr>
          <w:ilvl w:val="0"/>
          <w:numId w:val="77"/>
        </w:numPr>
        <w:rPr>
          <w:rFonts w:ascii="Arial" w:cs="Arial" w:eastAsia="Arial" w:hAnsi="Arial"/>
          <w:sz w:val="22"/>
          <w:szCs w:val="22"/>
          <w:color w:val="010000"/>
        </w:rPr>
      </w:pPr>
      <w:r>
        <w:rPr>
          <w:rFonts w:ascii="Arial" w:cs="Arial" w:eastAsia="Arial" w:hAnsi="Arial"/>
          <w:sz w:val="22"/>
          <w:szCs w:val="22"/>
          <w:u w:val="single" w:color="auto"/>
          <w:color w:val="auto"/>
        </w:rPr>
        <w:t>Disqualification for Share Ownership</w:t>
      </w:r>
    </w:p>
    <w:p>
      <w:pPr>
        <w:spacing w:after="0" w:line="21" w:lineRule="exact"/>
        <w:rPr>
          <w:sz w:val="20"/>
          <w:szCs w:val="20"/>
          <w:color w:val="auto"/>
        </w:rPr>
      </w:pPr>
    </w:p>
    <w:p>
      <w:pPr>
        <w:ind w:firstLine="656"/>
        <w:spacing w:after="0" w:line="302" w:lineRule="auto"/>
        <w:tabs>
          <w:tab w:leader="none" w:pos="756"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143" w:lineRule="exact"/>
        <w:rPr>
          <w:sz w:val="20"/>
          <w:szCs w:val="20"/>
          <w:color w:val="auto"/>
        </w:rPr>
      </w:pPr>
    </w:p>
    <w:p>
      <w:pPr>
        <w:ind w:left="1200" w:hanging="544"/>
        <w:spacing w:after="0"/>
        <w:tabs>
          <w:tab w:leader="none" w:pos="1200"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auto"/>
        </w:rPr>
        <w:t>Qualification of Incentive Options</w:t>
      </w:r>
    </w:p>
    <w:p>
      <w:pPr>
        <w:spacing w:after="0" w:line="21" w:lineRule="exact"/>
        <w:rPr>
          <w:sz w:val="20"/>
          <w:szCs w:val="20"/>
          <w:color w:val="auto"/>
        </w:rPr>
      </w:pPr>
    </w:p>
    <w:p>
      <w:pPr>
        <w:ind w:right="200" w:firstLine="656"/>
        <w:spacing w:after="0" w:line="245" w:lineRule="auto"/>
        <w:tabs>
          <w:tab w:leader="none" w:pos="756" w:val="left"/>
        </w:tabs>
        <w:numPr>
          <w:ilvl w:val="0"/>
          <w:numId w:val="80"/>
        </w:numPr>
        <w:rPr>
          <w:rFonts w:ascii="Arial" w:cs="Arial" w:eastAsia="Arial" w:hAnsi="Arial"/>
          <w:sz w:val="22"/>
          <w:szCs w:val="22"/>
          <w:color w:val="auto"/>
        </w:rPr>
      </w:pPr>
      <w:r>
        <w:rPr>
          <w:rFonts w:ascii="Arial" w:cs="Arial" w:eastAsia="Arial" w:hAnsi="Arial"/>
          <w:sz w:val="22"/>
          <w:szCs w:val="22"/>
          <w:color w:val="auto"/>
        </w:rPr>
        <w:t>No Incentive Option shall be granted unless such Option, when granted, qualifies as an “incentive stock option” under Section 422 of the Code. No Incentive Option shall be granted to any person who is not an employee of the Company or a Subsidiary.</w:t>
      </w:r>
    </w:p>
    <w:p>
      <w:pPr>
        <w:spacing w:after="0" w:line="193" w:lineRule="exact"/>
        <w:rPr>
          <w:sz w:val="20"/>
          <w:szCs w:val="20"/>
          <w:color w:val="auto"/>
        </w:rPr>
      </w:pPr>
    </w:p>
    <w:p>
      <w:pPr>
        <w:ind w:left="1220" w:hanging="564"/>
        <w:spacing w:after="0"/>
        <w:tabs>
          <w:tab w:leader="none" w:pos="1220" w:val="left"/>
        </w:tabs>
        <w:numPr>
          <w:ilvl w:val="0"/>
          <w:numId w:val="81"/>
        </w:numPr>
        <w:rPr>
          <w:rFonts w:ascii="Arial" w:cs="Arial" w:eastAsia="Arial" w:hAnsi="Arial"/>
          <w:sz w:val="22"/>
          <w:szCs w:val="22"/>
          <w:color w:val="010000"/>
        </w:rPr>
      </w:pPr>
      <w:r>
        <w:rPr>
          <w:rFonts w:ascii="Arial" w:cs="Arial" w:eastAsia="Arial" w:hAnsi="Arial"/>
          <w:sz w:val="22"/>
          <w:szCs w:val="22"/>
          <w:u w:val="single" w:color="auto"/>
          <w:color w:val="auto"/>
        </w:rPr>
        <w:t>Granting of Options</w:t>
      </w:r>
    </w:p>
    <w:p>
      <w:pPr>
        <w:spacing w:after="0" w:line="2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9"/>
          <w:szCs w:val="19"/>
          <w:color w:val="010000"/>
        </w:rPr>
        <w:t>(i)</w:t>
      </w:r>
      <w:r>
        <w:rPr>
          <w:rFonts w:ascii="Arial" w:cs="Arial" w:eastAsia="Arial" w:hAnsi="Arial"/>
          <w:sz w:val="19"/>
          <w:szCs w:val="19"/>
          <w:color w:val="000000"/>
        </w:rPr>
        <w:t>The Committee shall from time to time, in its absolute discretion, and subject to applicable limitations of the Plan:</w:t>
      </w:r>
    </w:p>
    <w:p>
      <w:pPr>
        <w:spacing w:after="0" w:line="254" w:lineRule="exact"/>
        <w:rPr>
          <w:sz w:val="20"/>
          <w:szCs w:val="20"/>
          <w:color w:val="auto"/>
        </w:rPr>
      </w:pPr>
    </w:p>
    <w:p>
      <w:pPr>
        <w:ind w:left="660" w:right="180" w:firstLine="1292"/>
        <w:spacing w:after="0" w:line="253" w:lineRule="auto"/>
        <w:tabs>
          <w:tab w:leader="none" w:pos="2599"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85" w:lineRule="exact"/>
        <w:rPr>
          <w:rFonts w:ascii="Arial" w:cs="Arial" w:eastAsia="Arial" w:hAnsi="Arial"/>
          <w:sz w:val="22"/>
          <w:szCs w:val="22"/>
          <w:color w:val="010000"/>
        </w:rPr>
      </w:pPr>
    </w:p>
    <w:p>
      <w:pPr>
        <w:ind w:left="660" w:right="20" w:firstLine="1292"/>
        <w:spacing w:after="0" w:line="263" w:lineRule="auto"/>
        <w:tabs>
          <w:tab w:leader="none" w:pos="2599"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Subject to the Section 2.1(b), determine the number of shares to be subject to such Options granted to the selected Employees, Directors or consultants;</w:t>
      </w:r>
    </w:p>
    <w:p>
      <w:pPr>
        <w:spacing w:after="0" w:line="174" w:lineRule="exact"/>
        <w:rPr>
          <w:rFonts w:ascii="Arial" w:cs="Arial" w:eastAsia="Arial" w:hAnsi="Arial"/>
          <w:sz w:val="22"/>
          <w:szCs w:val="22"/>
          <w:color w:val="010000"/>
        </w:rPr>
      </w:pPr>
    </w:p>
    <w:p>
      <w:pPr>
        <w:ind w:left="2600" w:hanging="648"/>
        <w:spacing w:after="0"/>
        <w:tabs>
          <w:tab w:leader="none" w:pos="2600"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Determine whether such Options are to be Incentive Options or Non-Qualified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80"/>
          </w:cols>
          <w:pgMar w:left="320" w:top="1428" w:right="399" w:bottom="1440" w:gutter="0" w:footer="0" w:header="0"/>
        </w:sectPr>
      </w:pPr>
    </w:p>
    <w:bookmarkStart w:id="47" w:name="page48"/>
    <w:bookmarkEnd w:id="47"/>
    <w:p>
      <w:pPr>
        <w:spacing w:after="0" w:line="204" w:lineRule="exact"/>
        <w:rPr>
          <w:sz w:val="20"/>
          <w:szCs w:val="20"/>
          <w:color w:val="auto"/>
        </w:rPr>
      </w:pPr>
    </w:p>
    <w:p>
      <w:pPr>
        <w:ind w:left="2600" w:hanging="648"/>
        <w:spacing w:after="0"/>
        <w:tabs>
          <w:tab w:leader="none" w:pos="2600"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Determine the terms and conditions of such Options, consistent with the Plan.</w:t>
      </w:r>
    </w:p>
    <w:p>
      <w:pPr>
        <w:spacing w:after="0" w:line="220" w:lineRule="exact"/>
        <w:rPr>
          <w:sz w:val="20"/>
          <w:szCs w:val="20"/>
          <w:color w:val="auto"/>
        </w:rPr>
      </w:pPr>
    </w:p>
    <w:p>
      <w:pPr>
        <w:ind w:right="240" w:firstLine="1032"/>
        <w:spacing w:after="0" w:line="25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Upon the selection of an Employee, Director or consultant to be granted an Option, the Committee shall instruct</w:t>
      </w:r>
      <w:r>
        <w:rPr>
          <w:rFonts w:ascii="Arial" w:cs="Arial" w:eastAsia="Arial" w:hAnsi="Arial"/>
          <w:sz w:val="22"/>
          <w:szCs w:val="22"/>
          <w:color w:val="010000"/>
        </w:rPr>
        <w:t xml:space="preserve"> </w:t>
      </w:r>
      <w:r>
        <w:rPr>
          <w:rFonts w:ascii="Arial" w:cs="Arial" w:eastAsia="Arial" w:hAnsi="Arial"/>
          <w:sz w:val="22"/>
          <w:szCs w:val="22"/>
          <w:color w:val="000000"/>
        </w:rPr>
        <w:t>the Secretary of the Company to issue the Option and may impose such conditions on the grant of the Option as it deems appropriate.</w:t>
      </w:r>
    </w:p>
    <w:p>
      <w:pPr>
        <w:spacing w:after="0" w:line="185" w:lineRule="exact"/>
        <w:rPr>
          <w:sz w:val="20"/>
          <w:szCs w:val="20"/>
          <w:color w:val="auto"/>
        </w:rPr>
      </w:pPr>
    </w:p>
    <w:p>
      <w:pPr>
        <w:ind w:right="260" w:firstLine="972"/>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Any Incentive Option granted under the Plan may be modified by the Committee to disqualify such option from</w:t>
      </w:r>
      <w:r>
        <w:rPr>
          <w:rFonts w:ascii="Arial" w:cs="Arial" w:eastAsia="Arial" w:hAnsi="Arial"/>
          <w:sz w:val="22"/>
          <w:szCs w:val="22"/>
          <w:color w:val="010000"/>
        </w:rPr>
        <w:t xml:space="preserve"> </w:t>
      </w:r>
      <w:r>
        <w:rPr>
          <w:rFonts w:ascii="Arial" w:cs="Arial" w:eastAsia="Arial" w:hAnsi="Arial"/>
          <w:sz w:val="22"/>
          <w:szCs w:val="22"/>
          <w:color w:val="000000"/>
        </w:rPr>
        <w:t>treatment as an “incentive stock option” under Section 422 of the Code.</w:t>
      </w:r>
    </w:p>
    <w:p>
      <w:pPr>
        <w:spacing w:after="0" w:line="175" w:lineRule="exact"/>
        <w:rPr>
          <w:sz w:val="20"/>
          <w:szCs w:val="20"/>
          <w:color w:val="auto"/>
        </w:rPr>
      </w:pPr>
    </w:p>
    <w:p>
      <w:pPr>
        <w:ind w:right="640" w:firstLine="984"/>
        <w:spacing w:after="0" w:line="263"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color w:val="000000"/>
        </w:rPr>
        <w:t>Any Option granted to a Canadian Grantee who is an Employee shall have such terms and conditions as are</w:t>
      </w:r>
      <w:r>
        <w:rPr>
          <w:rFonts w:ascii="Arial" w:cs="Arial" w:eastAsia="Arial" w:hAnsi="Arial"/>
          <w:sz w:val="22"/>
          <w:szCs w:val="22"/>
          <w:color w:val="010000"/>
        </w:rPr>
        <w:t xml:space="preserve"> </w:t>
      </w:r>
      <w:r>
        <w:rPr>
          <w:rFonts w:ascii="Arial" w:cs="Arial" w:eastAsia="Arial" w:hAnsi="Arial"/>
          <w:sz w:val="22"/>
          <w:szCs w:val="22"/>
          <w:color w:val="000000"/>
        </w:rPr>
        <w:t>necessary to be governed by section 7 of the ITA.</w:t>
      </w:r>
    </w:p>
    <w:p>
      <w:pPr>
        <w:spacing w:after="0" w:line="175" w:lineRule="exact"/>
        <w:rPr>
          <w:sz w:val="20"/>
          <w:szCs w:val="20"/>
          <w:color w:val="auto"/>
        </w:rPr>
      </w:pPr>
    </w:p>
    <w:p>
      <w:pPr>
        <w:ind w:left="1200" w:hanging="544"/>
        <w:spacing w:after="0"/>
        <w:tabs>
          <w:tab w:leader="none" w:pos="1200"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Share Appreciation Rights</w:t>
      </w:r>
    </w:p>
    <w:p>
      <w:pPr>
        <w:spacing w:after="0" w:line="21" w:lineRule="exact"/>
        <w:rPr>
          <w:sz w:val="20"/>
          <w:szCs w:val="20"/>
          <w:color w:val="auto"/>
        </w:rPr>
      </w:pPr>
    </w:p>
    <w:p>
      <w:pPr>
        <w:ind w:right="100" w:firstLine="656"/>
        <w:spacing w:after="0" w:line="244" w:lineRule="auto"/>
        <w:tabs>
          <w:tab w:leader="none" w:pos="756"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 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94" w:lineRule="exact"/>
        <w:rPr>
          <w:sz w:val="20"/>
          <w:szCs w:val="20"/>
          <w:color w:val="auto"/>
        </w:rPr>
      </w:pPr>
    </w:p>
    <w:p>
      <w:pPr>
        <w:ind w:left="1200" w:hanging="544"/>
        <w:spacing w:after="0"/>
        <w:tabs>
          <w:tab w:leader="none" w:pos="1200" w:val="left"/>
        </w:tabs>
        <w:numPr>
          <w:ilvl w:val="0"/>
          <w:numId w:val="86"/>
        </w:numPr>
        <w:rPr>
          <w:rFonts w:ascii="Arial" w:cs="Arial" w:eastAsia="Arial" w:hAnsi="Arial"/>
          <w:sz w:val="22"/>
          <w:szCs w:val="22"/>
          <w:color w:val="010000"/>
        </w:rPr>
      </w:pPr>
      <w:r>
        <w:rPr>
          <w:rFonts w:ascii="Arial" w:cs="Arial" w:eastAsia="Arial" w:hAnsi="Arial"/>
          <w:sz w:val="22"/>
          <w:szCs w:val="22"/>
          <w:u w:val="single" w:color="auto"/>
          <w:color w:val="auto"/>
        </w:rPr>
        <w:t>Minimum Vesting</w:t>
      </w:r>
    </w:p>
    <w:p>
      <w:pPr>
        <w:spacing w:after="0" w:line="21" w:lineRule="exact"/>
        <w:rPr>
          <w:sz w:val="20"/>
          <w:szCs w:val="20"/>
          <w:color w:val="auto"/>
        </w:rPr>
      </w:pPr>
    </w:p>
    <w:p>
      <w:pPr>
        <w:ind w:right="540" w:firstLine="656"/>
        <w:spacing w:after="0" w:line="269" w:lineRule="auto"/>
        <w:tabs>
          <w:tab w:leader="none" w:pos="756" w:val="left"/>
        </w:tabs>
        <w:numPr>
          <w:ilvl w:val="0"/>
          <w:numId w:val="87"/>
        </w:numPr>
        <w:rPr>
          <w:rFonts w:ascii="Arial" w:cs="Arial" w:eastAsia="Arial" w:hAnsi="Arial"/>
          <w:sz w:val="21"/>
          <w:szCs w:val="21"/>
          <w:color w:val="auto"/>
        </w:rPr>
      </w:pPr>
      <w:r>
        <w:rPr>
          <w:rFonts w:ascii="Arial" w:cs="Arial" w:eastAsia="Arial" w:hAnsi="Arial"/>
          <w:sz w:val="21"/>
          <w:szCs w:val="21"/>
          <w:color w:val="auto"/>
        </w:rPr>
        <w:t>Subject to Section 9.3 hereof, other than in the event of an earlier death, disability or termination without cause, all Awards of SARs or Options shall have a minimum vesting period of one year from the date of its grant.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OPTIONS</w:t>
      </w:r>
    </w:p>
    <w:p>
      <w:pPr>
        <w:spacing w:after="0" w:line="226" w:lineRule="exact"/>
        <w:rPr>
          <w:sz w:val="20"/>
          <w:szCs w:val="20"/>
          <w:color w:val="auto"/>
        </w:rPr>
      </w:pPr>
    </w:p>
    <w:p>
      <w:pPr>
        <w:ind w:left="1200" w:hanging="544"/>
        <w:spacing w:after="0"/>
        <w:tabs>
          <w:tab w:leader="none" w:pos="1200"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Option Agreement</w:t>
      </w:r>
    </w:p>
    <w:p>
      <w:pPr>
        <w:spacing w:after="0" w:line="21" w:lineRule="exact"/>
        <w:rPr>
          <w:sz w:val="20"/>
          <w:szCs w:val="20"/>
          <w:color w:val="auto"/>
        </w:rPr>
      </w:pPr>
    </w:p>
    <w:p>
      <w:pPr>
        <w:ind w:right="140" w:firstLine="656"/>
        <w:spacing w:after="0" w:line="245" w:lineRule="auto"/>
        <w:tabs>
          <w:tab w:leader="none" w:pos="756" w:val="left"/>
        </w:tabs>
        <w:numPr>
          <w:ilvl w:val="0"/>
          <w:numId w:val="89"/>
        </w:numPr>
        <w:rPr>
          <w:rFonts w:ascii="Arial" w:cs="Arial" w:eastAsia="Arial" w:hAnsi="Arial"/>
          <w:sz w:val="22"/>
          <w:szCs w:val="22"/>
          <w:color w:val="auto"/>
        </w:rPr>
      </w:pPr>
      <w:r>
        <w:rPr>
          <w:rFonts w:ascii="Arial" w:cs="Arial" w:eastAsia="Arial" w:hAnsi="Arial"/>
          <w:sz w:val="22"/>
          <w:szCs w:val="22"/>
          <w:color w:val="auto"/>
        </w:rPr>
        <w:t>Each Option shall be evidenced by an Option Agreement, which shall be executed by the Optionee and an authorized officer of the Company and which shall contain such terms and conditions as the Committee shall determine, consistent with the Plan.</w:t>
      </w:r>
    </w:p>
    <w:p>
      <w:pPr>
        <w:spacing w:after="0" w:line="193" w:lineRule="exact"/>
        <w:rPr>
          <w:sz w:val="20"/>
          <w:szCs w:val="20"/>
          <w:color w:val="auto"/>
        </w:rPr>
      </w:pPr>
    </w:p>
    <w:p>
      <w:pPr>
        <w:ind w:left="1220" w:hanging="564"/>
        <w:spacing w:after="0"/>
        <w:tabs>
          <w:tab w:leader="none" w:pos="1220"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Option Price</w:t>
      </w:r>
    </w:p>
    <w:p>
      <w:pPr>
        <w:spacing w:after="0" w:line="21" w:lineRule="exact"/>
        <w:rPr>
          <w:sz w:val="20"/>
          <w:szCs w:val="20"/>
          <w:color w:val="auto"/>
        </w:rPr>
      </w:pPr>
    </w:p>
    <w:p>
      <w:pPr>
        <w:ind w:firstLine="656"/>
        <w:spacing w:after="0" w:line="245" w:lineRule="auto"/>
        <w:tabs>
          <w:tab w:leader="none" w:pos="75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93" w:lineRule="exact"/>
        <w:rPr>
          <w:sz w:val="20"/>
          <w:szCs w:val="20"/>
          <w:color w:val="auto"/>
        </w:rPr>
      </w:pPr>
    </w:p>
    <w:p>
      <w:pPr>
        <w:ind w:left="1200" w:hanging="544"/>
        <w:spacing w:after="0"/>
        <w:tabs>
          <w:tab w:leader="none" w:pos="1200" w:val="left"/>
        </w:tabs>
        <w:numPr>
          <w:ilvl w:val="0"/>
          <w:numId w:val="92"/>
        </w:numPr>
        <w:rPr>
          <w:rFonts w:ascii="Arial" w:cs="Arial" w:eastAsia="Arial" w:hAnsi="Arial"/>
          <w:sz w:val="22"/>
          <w:szCs w:val="22"/>
          <w:color w:val="010000"/>
        </w:rPr>
      </w:pPr>
      <w:r>
        <w:rPr>
          <w:rFonts w:ascii="Arial" w:cs="Arial" w:eastAsia="Arial" w:hAnsi="Arial"/>
          <w:sz w:val="22"/>
          <w:szCs w:val="22"/>
          <w:u w:val="single" w:color="auto"/>
          <w:color w:val="auto"/>
        </w:rPr>
        <w:t>Option Term</w:t>
      </w:r>
    </w:p>
    <w:p>
      <w:pPr>
        <w:spacing w:after="0" w:line="21" w:lineRule="exact"/>
        <w:rPr>
          <w:sz w:val="20"/>
          <w:szCs w:val="20"/>
          <w:color w:val="auto"/>
        </w:rPr>
      </w:pPr>
    </w:p>
    <w:p>
      <w:pPr>
        <w:ind w:right="20" w:firstLine="656"/>
        <w:spacing w:after="0" w:line="246" w:lineRule="auto"/>
        <w:tabs>
          <w:tab w:leader="none" w:pos="7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term of an Option shall be set by the Committee in its discretion; provided, however, that, the term shall not be more than ten (10) years from the date the Option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48" w:name="page49"/>
    <w:bookmarkEnd w:id="48"/>
    <w:p>
      <w:pPr>
        <w:jc w:val="both"/>
        <w:ind w:right="260"/>
        <w:spacing w:after="0" w:line="253" w:lineRule="auto"/>
        <w:rPr>
          <w:sz w:val="20"/>
          <w:szCs w:val="20"/>
          <w:color w:val="auto"/>
        </w:rPr>
      </w:pPr>
      <w:r>
        <w:rPr>
          <w:rFonts w:ascii="Arial" w:cs="Arial" w:eastAsia="Arial" w:hAnsi="Arial"/>
          <w:sz w:val="22"/>
          <w:szCs w:val="22"/>
          <w:color w:val="auto"/>
        </w:rPr>
        <w:t>or five (5) years from such date in the case of an Incentive Option granted to an individual then owning (within the meaning of Section 424(d) of the Code) more than 10% of the total combined voting power of all classes of shares of the Company or any Subsidiary.</w:t>
      </w:r>
    </w:p>
    <w:p>
      <w:pPr>
        <w:spacing w:after="0" w:line="185" w:lineRule="exact"/>
        <w:rPr>
          <w:sz w:val="20"/>
          <w:szCs w:val="20"/>
          <w:color w:val="auto"/>
        </w:rPr>
      </w:pPr>
    </w:p>
    <w:p>
      <w:pPr>
        <w:ind w:left="1220" w:hanging="564"/>
        <w:spacing w:after="0"/>
        <w:tabs>
          <w:tab w:leader="none" w:pos="1220" w:val="left"/>
        </w:tabs>
        <w:numPr>
          <w:ilvl w:val="0"/>
          <w:numId w:val="94"/>
        </w:numPr>
        <w:rPr>
          <w:rFonts w:ascii="Arial" w:cs="Arial" w:eastAsia="Arial" w:hAnsi="Arial"/>
          <w:sz w:val="22"/>
          <w:szCs w:val="22"/>
          <w:color w:val="010000"/>
        </w:rPr>
      </w:pPr>
      <w:r>
        <w:rPr>
          <w:rFonts w:ascii="Arial" w:cs="Arial" w:eastAsia="Arial" w:hAnsi="Arial"/>
          <w:sz w:val="22"/>
          <w:szCs w:val="22"/>
          <w:u w:val="single" w:color="auto"/>
          <w:color w:val="auto"/>
        </w:rPr>
        <w:t>Option Vesting</w:t>
      </w:r>
    </w:p>
    <w:p>
      <w:pPr>
        <w:spacing w:after="0" w:line="2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right="200" w:firstLine="1092"/>
        <w:spacing w:after="0" w:line="248" w:lineRule="auto"/>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Subject to Section 3.6, the period during which the right to exercise an Option in whole or in part vests in the</w:t>
      </w:r>
      <w:r>
        <w:rPr>
          <w:rFonts w:ascii="Arial" w:cs="Arial" w:eastAsia="Arial" w:hAnsi="Arial"/>
          <w:sz w:val="22"/>
          <w:szCs w:val="22"/>
          <w:color w:val="010000"/>
        </w:rPr>
        <w:t xml:space="preserve"> </w:t>
      </w:r>
      <w:r>
        <w:rPr>
          <w:rFonts w:ascii="Arial" w:cs="Arial" w:eastAsia="Arial" w:hAnsi="Arial"/>
          <w:sz w:val="22"/>
          <w:szCs w:val="22"/>
          <w:color w:val="000000"/>
        </w:rPr>
        <w:t>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192" w:lineRule="exact"/>
        <w:rPr>
          <w:sz w:val="20"/>
          <w:szCs w:val="20"/>
          <w:color w:val="auto"/>
        </w:rPr>
      </w:pPr>
    </w:p>
    <w:p>
      <w:pPr>
        <w:ind w:firstLine="1032"/>
        <w:spacing w:after="0" w:line="260"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color w:val="000000"/>
        </w:rPr>
        <w:t>To the extent that the aggregate Fair Market Value of shares with respect to which “incentive stock options”</w:t>
      </w:r>
      <w:r>
        <w:rPr>
          <w:rFonts w:ascii="Arial" w:cs="Arial" w:eastAsia="Arial" w:hAnsi="Arial"/>
          <w:sz w:val="21"/>
          <w:szCs w:val="21"/>
          <w:color w:val="010000"/>
        </w:rPr>
        <w:t xml:space="preserve"> </w:t>
      </w:r>
      <w:r>
        <w:rPr>
          <w:rFonts w:ascii="Arial" w:cs="Arial" w:eastAsia="Arial" w:hAnsi="Arial"/>
          <w:sz w:val="21"/>
          <w:szCs w:val="21"/>
          <w:color w:val="000000"/>
        </w:rPr>
        <w:t>(within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180" w:lineRule="exact"/>
        <w:rPr>
          <w:sz w:val="20"/>
          <w:szCs w:val="20"/>
          <w:color w:val="auto"/>
        </w:rPr>
      </w:pPr>
    </w:p>
    <w:p>
      <w:pPr>
        <w:ind w:left="1200" w:hanging="544"/>
        <w:spacing w:after="0"/>
        <w:tabs>
          <w:tab w:leader="none" w:pos="1200" w:val="left"/>
        </w:tabs>
        <w:numPr>
          <w:ilvl w:val="0"/>
          <w:numId w:val="95"/>
        </w:numPr>
        <w:rPr>
          <w:rFonts w:ascii="Arial" w:cs="Arial" w:eastAsia="Arial" w:hAnsi="Arial"/>
          <w:sz w:val="22"/>
          <w:szCs w:val="22"/>
          <w:color w:val="010000"/>
        </w:rPr>
      </w:pPr>
      <w:r>
        <w:rPr>
          <w:rFonts w:ascii="Arial" w:cs="Arial" w:eastAsia="Arial" w:hAnsi="Arial"/>
          <w:sz w:val="22"/>
          <w:szCs w:val="22"/>
          <w:u w:val="single" w:color="auto"/>
          <w:color w:val="auto"/>
        </w:rPr>
        <w:t>Restrictions on Repricing of Options</w:t>
      </w:r>
    </w:p>
    <w:p>
      <w:pPr>
        <w:spacing w:after="0" w:line="21" w:lineRule="exact"/>
        <w:rPr>
          <w:sz w:val="20"/>
          <w:szCs w:val="20"/>
          <w:color w:val="auto"/>
        </w:rPr>
      </w:pPr>
    </w:p>
    <w:p>
      <w:pPr>
        <w:ind w:right="160" w:firstLine="656"/>
        <w:spacing w:after="0" w:line="290" w:lineRule="auto"/>
        <w:tabs>
          <w:tab w:leader="none" w:pos="756"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Except as provided in Section 9.3, the Committee may not, without approval of the Company’s shareholders, (i) 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 Price greater than the then current Fair Market Value of a share, or (iv) permit the grant of any Option that contains a so-called “reload” feature under which additional Options or other Awards are granted automatically to the Optionee upon exercise of the original Option.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5.</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EXERCISE OF OPTIONS</w:t>
      </w:r>
    </w:p>
    <w:p>
      <w:pPr>
        <w:spacing w:after="0" w:line="226" w:lineRule="exact"/>
        <w:rPr>
          <w:sz w:val="20"/>
          <w:szCs w:val="20"/>
          <w:color w:val="auto"/>
        </w:rPr>
      </w:pPr>
    </w:p>
    <w:p>
      <w:pPr>
        <w:ind w:left="1200" w:hanging="544"/>
        <w:spacing w:after="0"/>
        <w:tabs>
          <w:tab w:leader="none" w:pos="1200"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Partial Exercise</w:t>
      </w:r>
    </w:p>
    <w:p>
      <w:pPr>
        <w:spacing w:after="0" w:line="21" w:lineRule="exact"/>
        <w:rPr>
          <w:sz w:val="20"/>
          <w:szCs w:val="20"/>
          <w:color w:val="auto"/>
        </w:rPr>
      </w:pPr>
    </w:p>
    <w:p>
      <w:pPr>
        <w:jc w:val="both"/>
        <w:ind w:right="40" w:firstLine="656"/>
        <w:spacing w:after="0" w:line="245" w:lineRule="auto"/>
        <w:tabs>
          <w:tab w:leader="none" w:pos="756"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93" w:lineRule="exact"/>
        <w:rPr>
          <w:sz w:val="20"/>
          <w:szCs w:val="20"/>
          <w:color w:val="auto"/>
        </w:rPr>
      </w:pPr>
    </w:p>
    <w:p>
      <w:pPr>
        <w:ind w:left="1220" w:hanging="564"/>
        <w:spacing w:after="0"/>
        <w:tabs>
          <w:tab w:leader="none" w:pos="1220"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Manner of Exercise</w:t>
      </w:r>
    </w:p>
    <w:p>
      <w:pPr>
        <w:spacing w:after="0" w:line="21" w:lineRule="exact"/>
        <w:rPr>
          <w:sz w:val="20"/>
          <w:szCs w:val="20"/>
          <w:color w:val="auto"/>
        </w:rPr>
      </w:pPr>
    </w:p>
    <w:p>
      <w:pPr>
        <w:ind w:right="20" w:firstLine="656"/>
        <w:spacing w:after="0" w:line="246" w:lineRule="auto"/>
        <w:tabs>
          <w:tab w:leader="none" w:pos="75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All or a portion of an exercisable Option shall be deemed exercised upon delivery of all of the following to the Secretary of the Company or his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28" w:right="359" w:bottom="1440" w:gutter="0" w:footer="0" w:header="0"/>
        </w:sectPr>
      </w:pPr>
    </w:p>
    <w:bookmarkStart w:id="49" w:name="page50"/>
    <w:bookmarkEnd w:id="49"/>
    <w:p>
      <w:pPr>
        <w:spacing w:after="0" w:line="204" w:lineRule="exact"/>
        <w:rPr>
          <w:sz w:val="20"/>
          <w:szCs w:val="20"/>
          <w:color w:val="auto"/>
        </w:rPr>
      </w:pPr>
    </w:p>
    <w:p>
      <w:pPr>
        <w:jc w:val="both"/>
        <w:ind w:right="320" w:firstLine="1092"/>
        <w:spacing w:after="0" w:line="253" w:lineRule="auto"/>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A written notice complying with the applicable rules established by the Committee stating that the Option, or a</w:t>
      </w:r>
      <w:r>
        <w:rPr>
          <w:rFonts w:ascii="Arial" w:cs="Arial" w:eastAsia="Arial" w:hAnsi="Arial"/>
          <w:sz w:val="22"/>
          <w:szCs w:val="22"/>
          <w:color w:val="010000"/>
        </w:rPr>
        <w:t xml:space="preserve"> </w:t>
      </w:r>
      <w:r>
        <w:rPr>
          <w:rFonts w:ascii="Arial" w:cs="Arial" w:eastAsia="Arial" w:hAnsi="Arial"/>
          <w:sz w:val="22"/>
          <w:szCs w:val="22"/>
          <w:color w:val="000000"/>
        </w:rPr>
        <w:t>portion thereof, is exercised. The notice shall be signed by the Optionee or other person then entitled to exercise the Option or such portion;</w:t>
      </w:r>
    </w:p>
    <w:p>
      <w:pPr>
        <w:spacing w:after="0" w:line="185" w:lineRule="exact"/>
        <w:rPr>
          <w:sz w:val="20"/>
          <w:szCs w:val="20"/>
          <w:color w:val="auto"/>
        </w:rPr>
      </w:pPr>
    </w:p>
    <w:p>
      <w:pPr>
        <w:ind w:right="60" w:firstLine="1032"/>
        <w:spacing w:after="0" w:line="248"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Such representations and documents as the Committee, in its absolute discretion, deems necessary or advisable to</w:t>
      </w:r>
      <w:r>
        <w:rPr>
          <w:rFonts w:ascii="Arial" w:cs="Arial" w:eastAsia="Arial" w:hAnsi="Arial"/>
          <w:sz w:val="22"/>
          <w:szCs w:val="22"/>
          <w:color w:val="010000"/>
        </w:rPr>
        <w:t xml:space="preserve"> </w:t>
      </w:r>
      <w:r>
        <w:rPr>
          <w:rFonts w:ascii="Arial" w:cs="Arial" w:eastAsia="Arial" w:hAnsi="Arial"/>
          <w:sz w:val="22"/>
          <w:szCs w:val="22"/>
          <w:color w:val="000000"/>
        </w:rPr>
        <w:t>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92" w:lineRule="exact"/>
        <w:rPr>
          <w:sz w:val="20"/>
          <w:szCs w:val="20"/>
          <w:color w:val="auto"/>
        </w:rPr>
      </w:pPr>
    </w:p>
    <w:p>
      <w:pPr>
        <w:ind w:right="460" w:firstLine="972"/>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In the event that the Option shall be exercised pursuant to Section 9.1 by any person or persons other than the</w:t>
      </w:r>
      <w:r>
        <w:rPr>
          <w:rFonts w:ascii="Arial" w:cs="Arial" w:eastAsia="Arial" w:hAnsi="Arial"/>
          <w:sz w:val="22"/>
          <w:szCs w:val="22"/>
          <w:color w:val="010000"/>
        </w:rPr>
        <w:t xml:space="preserve"> </w:t>
      </w:r>
      <w:r>
        <w:rPr>
          <w:rFonts w:ascii="Arial" w:cs="Arial" w:eastAsia="Arial" w:hAnsi="Arial"/>
          <w:sz w:val="22"/>
          <w:szCs w:val="22"/>
          <w:color w:val="000000"/>
        </w:rPr>
        <w:t>Optionee, appropriate proof of the right of such person or persons to exercise the Option; and</w:t>
      </w:r>
    </w:p>
    <w:p>
      <w:pPr>
        <w:spacing w:after="0" w:line="175" w:lineRule="exact"/>
        <w:rPr>
          <w:sz w:val="20"/>
          <w:szCs w:val="20"/>
          <w:color w:val="auto"/>
        </w:rPr>
      </w:pPr>
    </w:p>
    <w:p>
      <w:pPr>
        <w:ind w:right="40" w:firstLine="984"/>
        <w:spacing w:after="0" w:line="285" w:lineRule="auto"/>
        <w:rPr>
          <w:sz w:val="20"/>
          <w:szCs w:val="20"/>
          <w:color w:val="auto"/>
        </w:rPr>
      </w:pPr>
      <w:r>
        <w:rPr>
          <w:rFonts w:ascii="Arial" w:cs="Arial" w:eastAsia="Arial" w:hAnsi="Arial"/>
          <w:sz w:val="19"/>
          <w:szCs w:val="19"/>
          <w:color w:val="010000"/>
        </w:rPr>
        <w:t>(iv)</w:t>
      </w:r>
      <w:r>
        <w:rPr>
          <w:rFonts w:ascii="Arial" w:cs="Arial" w:eastAsia="Arial" w:hAnsi="Arial"/>
          <w:sz w:val="19"/>
          <w:szCs w:val="19"/>
          <w:color w:val="000000"/>
        </w:rPr>
        <w:t>Full cash payment to the Secretary of the Company for the shares with respect to which the Option, or portion</w:t>
      </w:r>
      <w:r>
        <w:rPr>
          <w:rFonts w:ascii="Arial" w:cs="Arial" w:eastAsia="Arial" w:hAnsi="Arial"/>
          <w:sz w:val="19"/>
          <w:szCs w:val="19"/>
          <w:color w:val="010000"/>
        </w:rPr>
        <w:t xml:space="preserve"> </w:t>
      </w:r>
      <w:r>
        <w:rPr>
          <w:rFonts w:ascii="Arial" w:cs="Arial" w:eastAsia="Arial" w:hAnsi="Arial"/>
          <w:sz w:val="19"/>
          <w:szCs w:val="19"/>
          <w:color w:val="000000"/>
        </w:rPr>
        <w:t>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w:t>
      </w:r>
    </w:p>
    <w:p>
      <w:pPr>
        <w:ind w:firstLine="8"/>
        <w:spacing w:after="0" w:line="244" w:lineRule="auto"/>
        <w:tabs>
          <w:tab w:leader="none" w:pos="31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95" w:lineRule="exact"/>
        <w:rPr>
          <w:sz w:val="20"/>
          <w:szCs w:val="20"/>
          <w:color w:val="auto"/>
        </w:rPr>
      </w:pPr>
    </w:p>
    <w:p>
      <w:pPr>
        <w:ind w:left="1200" w:hanging="544"/>
        <w:spacing w:after="0"/>
        <w:tabs>
          <w:tab w:leader="none" w:pos="1200" w:val="left"/>
        </w:tabs>
        <w:numPr>
          <w:ilvl w:val="0"/>
          <w:numId w:val="102"/>
        </w:numPr>
        <w:rPr>
          <w:rFonts w:ascii="Arial" w:cs="Arial" w:eastAsia="Arial" w:hAnsi="Arial"/>
          <w:sz w:val="22"/>
          <w:szCs w:val="22"/>
          <w:color w:val="010000"/>
        </w:rPr>
      </w:pPr>
      <w:r>
        <w:rPr>
          <w:rFonts w:ascii="Arial" w:cs="Arial" w:eastAsia="Arial" w:hAnsi="Arial"/>
          <w:sz w:val="22"/>
          <w:szCs w:val="22"/>
          <w:u w:val="single" w:color="auto"/>
          <w:color w:val="auto"/>
        </w:rPr>
        <w:t>Conditions to Issuance of Share Certificates</w:t>
      </w:r>
    </w:p>
    <w:p>
      <w:pPr>
        <w:spacing w:after="0" w:line="21" w:lineRule="exact"/>
        <w:rPr>
          <w:sz w:val="20"/>
          <w:szCs w:val="20"/>
          <w:color w:val="auto"/>
        </w:rPr>
      </w:pPr>
    </w:p>
    <w:p>
      <w:pPr>
        <w:ind w:right="660" w:firstLine="656"/>
        <w:spacing w:after="0" w:line="269" w:lineRule="auto"/>
        <w:tabs>
          <w:tab w:leader="none" w:pos="756"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Company shall not be required to issue or deliver any certificate or certificates for shares purchased upon the exercise of any Option or portion thereof prior to fulfillment of all of the following conditions: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The admission of such shares to listing on all stock exchanges on which such class of shares is then listed;</w:t>
      </w:r>
    </w:p>
    <w:p>
      <w:pPr>
        <w:spacing w:after="0" w:line="231" w:lineRule="exact"/>
        <w:rPr>
          <w:sz w:val="20"/>
          <w:szCs w:val="20"/>
          <w:color w:val="auto"/>
        </w:rPr>
      </w:pPr>
    </w:p>
    <w:p>
      <w:pPr>
        <w:ind w:firstLine="1032"/>
        <w:spacing w:after="0" w:line="253" w:lineRule="auto"/>
        <w:rPr>
          <w:sz w:val="20"/>
          <w:szCs w:val="20"/>
          <w:color w:val="auto"/>
        </w:rPr>
      </w:pPr>
      <w:r>
        <w:rPr>
          <w:rFonts w:ascii="Arial" w:cs="Arial" w:eastAsia="Arial" w:hAnsi="Arial"/>
          <w:sz w:val="22"/>
          <w:szCs w:val="22"/>
          <w:color w:val="010000"/>
        </w:rPr>
        <w:t>(ii)</w:t>
      </w:r>
      <w:r>
        <w:rPr>
          <w:rFonts w:ascii="Arial" w:cs="Arial" w:eastAsia="Arial" w:hAnsi="Arial"/>
          <w:sz w:val="22"/>
          <w:szCs w:val="22"/>
          <w:color w:val="000000"/>
        </w:rPr>
        <w:t>The completion of any registration or other qualification of such shares under any state or federal law, or under the</w:t>
      </w:r>
      <w:r>
        <w:rPr>
          <w:rFonts w:ascii="Arial" w:cs="Arial" w:eastAsia="Arial" w:hAnsi="Arial"/>
          <w:sz w:val="22"/>
          <w:szCs w:val="22"/>
          <w:color w:val="010000"/>
        </w:rPr>
        <w:t xml:space="preserve"> </w:t>
      </w:r>
      <w:r>
        <w:rPr>
          <w:rFonts w:ascii="Arial" w:cs="Arial" w:eastAsia="Arial" w:hAnsi="Arial"/>
          <w:sz w:val="22"/>
          <w:szCs w:val="22"/>
          <w:color w:val="000000"/>
        </w:rPr>
        <w:t>rulings or regulations of the Securities and Exchange Commission or any other governmental regulatory body which the Committee shall, in its absolute discretion, deem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04" w:lineRule="exact"/>
        <w:rPr>
          <w:sz w:val="20"/>
          <w:szCs w:val="20"/>
          <w:color w:val="auto"/>
        </w:rPr>
      </w:pPr>
    </w:p>
    <w:p>
      <w:pPr>
        <w:ind w:right="740" w:firstLine="972"/>
        <w:spacing w:after="0" w:line="263" w:lineRule="auto"/>
        <w:rPr>
          <w:sz w:val="20"/>
          <w:szCs w:val="20"/>
          <w:color w:val="auto"/>
        </w:rPr>
      </w:pPr>
      <w:r>
        <w:rPr>
          <w:rFonts w:ascii="Arial" w:cs="Arial" w:eastAsia="Arial" w:hAnsi="Arial"/>
          <w:sz w:val="22"/>
          <w:szCs w:val="22"/>
          <w:color w:val="010000"/>
        </w:rPr>
        <w:t>(iii)</w:t>
      </w:r>
      <w:r>
        <w:rPr>
          <w:rFonts w:ascii="Arial" w:cs="Arial" w:eastAsia="Arial" w:hAnsi="Arial"/>
          <w:sz w:val="22"/>
          <w:szCs w:val="22"/>
          <w:color w:val="000000"/>
        </w:rPr>
        <w:t>The obtaining of any approval or other clearance from any state or federal governmental agency which the</w:t>
      </w:r>
      <w:r>
        <w:rPr>
          <w:rFonts w:ascii="Arial" w:cs="Arial" w:eastAsia="Arial" w:hAnsi="Arial"/>
          <w:sz w:val="22"/>
          <w:szCs w:val="22"/>
          <w:color w:val="010000"/>
        </w:rPr>
        <w:t xml:space="preserve"> </w:t>
      </w:r>
      <w:r>
        <w:rPr>
          <w:rFonts w:ascii="Arial" w:cs="Arial" w:eastAsia="Arial" w:hAnsi="Arial"/>
          <w:sz w:val="22"/>
          <w:szCs w:val="22"/>
          <w:color w:val="000000"/>
        </w:rPr>
        <w:t>Committee shall, in its absolute discretion, determine to be necessary or advisable;</w:t>
      </w:r>
    </w:p>
    <w:p>
      <w:pPr>
        <w:spacing w:after="0" w:line="175" w:lineRule="exact"/>
        <w:rPr>
          <w:sz w:val="20"/>
          <w:szCs w:val="20"/>
          <w:color w:val="auto"/>
        </w:rPr>
      </w:pPr>
    </w:p>
    <w:p>
      <w:pPr>
        <w:ind w:right="180" w:firstLine="984"/>
        <w:spacing w:after="0" w:line="263" w:lineRule="auto"/>
        <w:rPr>
          <w:sz w:val="20"/>
          <w:szCs w:val="20"/>
          <w:color w:val="auto"/>
        </w:rPr>
      </w:pPr>
      <w:r>
        <w:rPr>
          <w:rFonts w:ascii="Arial" w:cs="Arial" w:eastAsia="Arial" w:hAnsi="Arial"/>
          <w:sz w:val="22"/>
          <w:szCs w:val="22"/>
          <w:color w:val="010000"/>
        </w:rPr>
        <w:t>(iv)</w:t>
      </w:r>
      <w:r>
        <w:rPr>
          <w:rFonts w:ascii="Arial" w:cs="Arial" w:eastAsia="Arial" w:hAnsi="Arial"/>
          <w:sz w:val="22"/>
          <w:szCs w:val="22"/>
          <w:color w:val="000000"/>
        </w:rPr>
        <w:t>The lapse of such reasonable period of time following the exercise of the Option as the Committee may establish</w:t>
      </w:r>
      <w:r>
        <w:rPr>
          <w:rFonts w:ascii="Arial" w:cs="Arial" w:eastAsia="Arial" w:hAnsi="Arial"/>
          <w:sz w:val="22"/>
          <w:szCs w:val="22"/>
          <w:color w:val="010000"/>
        </w:rPr>
        <w:t xml:space="preserve"> </w:t>
      </w:r>
      <w:r>
        <w:rPr>
          <w:rFonts w:ascii="Arial" w:cs="Arial" w:eastAsia="Arial" w:hAnsi="Arial"/>
          <w:sz w:val="22"/>
          <w:szCs w:val="22"/>
          <w:color w:val="000000"/>
        </w:rPr>
        <w:t>from time to time for reasons of administrative convenience; and</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19"/>
          <w:szCs w:val="19"/>
          <w:color w:val="010000"/>
        </w:rPr>
        <w:t>(v)</w:t>
      </w:r>
      <w:r>
        <w:rPr>
          <w:rFonts w:ascii="Arial" w:cs="Arial" w:eastAsia="Arial" w:hAnsi="Arial"/>
          <w:sz w:val="19"/>
          <w:szCs w:val="19"/>
          <w:color w:val="000000"/>
        </w:rPr>
        <w:t>The receipt by the Company of full payment for such shares, including payment of any applicable withholding tax.</w:t>
      </w:r>
    </w:p>
    <w:p>
      <w:pPr>
        <w:spacing w:after="0" w:line="254" w:lineRule="exact"/>
        <w:rPr>
          <w:sz w:val="20"/>
          <w:szCs w:val="20"/>
          <w:color w:val="auto"/>
        </w:rPr>
      </w:pPr>
    </w:p>
    <w:p>
      <w:pPr>
        <w:ind w:left="1220" w:hanging="564"/>
        <w:spacing w:after="0"/>
        <w:tabs>
          <w:tab w:leader="none" w:pos="1220"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Settlement on Exercise of Options</w:t>
      </w:r>
    </w:p>
    <w:p>
      <w:pPr>
        <w:spacing w:after="0" w:line="21" w:lineRule="exact"/>
        <w:rPr>
          <w:sz w:val="20"/>
          <w:szCs w:val="20"/>
          <w:color w:val="auto"/>
        </w:rPr>
      </w:pPr>
    </w:p>
    <w:p>
      <w:pPr>
        <w:ind w:right="580" w:firstLine="656"/>
        <w:spacing w:after="0" w:line="323" w:lineRule="auto"/>
        <w:tabs>
          <w:tab w:leader="none" w:pos="75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On the exercise of any Option by a Canadian Grantee, settlement of such Option shall in all events be made by the issuance of Common Shares from treasury or the transfer of previously issued Shares then held by the Company.</w:t>
      </w:r>
    </w:p>
    <w:p>
      <w:pPr>
        <w:spacing w:after="0" w:line="123" w:lineRule="exact"/>
        <w:rPr>
          <w:sz w:val="20"/>
          <w:szCs w:val="20"/>
          <w:color w:val="auto"/>
        </w:rPr>
      </w:pPr>
    </w:p>
    <w:p>
      <w:pPr>
        <w:ind w:left="1200" w:hanging="544"/>
        <w:spacing w:after="0"/>
        <w:tabs>
          <w:tab w:leader="none" w:pos="1200" w:val="left"/>
        </w:tabs>
        <w:numPr>
          <w:ilvl w:val="0"/>
          <w:numId w:val="106"/>
        </w:numPr>
        <w:rPr>
          <w:rFonts w:ascii="Arial" w:cs="Arial" w:eastAsia="Arial" w:hAnsi="Arial"/>
          <w:sz w:val="22"/>
          <w:szCs w:val="22"/>
          <w:color w:val="010000"/>
        </w:rPr>
      </w:pPr>
      <w:r>
        <w:rPr>
          <w:rFonts w:ascii="Arial" w:cs="Arial" w:eastAsia="Arial" w:hAnsi="Arial"/>
          <w:sz w:val="22"/>
          <w:szCs w:val="22"/>
          <w:u w:val="single" w:color="auto"/>
          <w:color w:val="auto"/>
        </w:rPr>
        <w:t>Rights as Shareholders</w:t>
      </w:r>
    </w:p>
    <w:p>
      <w:pPr>
        <w:spacing w:after="0" w:line="21" w:lineRule="exact"/>
        <w:rPr>
          <w:sz w:val="20"/>
          <w:szCs w:val="20"/>
          <w:color w:val="auto"/>
        </w:rPr>
      </w:pPr>
    </w:p>
    <w:p>
      <w:pPr>
        <w:jc w:val="both"/>
        <w:ind w:right="200" w:firstLine="656"/>
        <w:spacing w:after="0" w:line="245" w:lineRule="auto"/>
        <w:tabs>
          <w:tab w:leader="none" w:pos="75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93" w:lineRule="exact"/>
        <w:rPr>
          <w:sz w:val="20"/>
          <w:szCs w:val="20"/>
          <w:color w:val="auto"/>
        </w:rPr>
      </w:pPr>
    </w:p>
    <w:p>
      <w:pPr>
        <w:ind w:left="1200" w:hanging="544"/>
        <w:spacing w:after="0"/>
        <w:tabs>
          <w:tab w:leader="none" w:pos="1200" w:val="left"/>
        </w:tabs>
        <w:numPr>
          <w:ilvl w:val="0"/>
          <w:numId w:val="108"/>
        </w:numPr>
        <w:rPr>
          <w:rFonts w:ascii="Arial" w:cs="Arial" w:eastAsia="Arial" w:hAnsi="Arial"/>
          <w:sz w:val="22"/>
          <w:szCs w:val="22"/>
          <w:color w:val="010000"/>
        </w:rPr>
      </w:pPr>
      <w:r>
        <w:rPr>
          <w:rFonts w:ascii="Arial" w:cs="Arial" w:eastAsia="Arial" w:hAnsi="Arial"/>
          <w:sz w:val="22"/>
          <w:szCs w:val="22"/>
          <w:u w:val="single" w:color="auto"/>
          <w:color w:val="auto"/>
        </w:rPr>
        <w:t>Ownership and Transfer Restrictions</w:t>
      </w:r>
    </w:p>
    <w:p>
      <w:pPr>
        <w:spacing w:after="0" w:line="21" w:lineRule="exact"/>
        <w:rPr>
          <w:sz w:val="20"/>
          <w:szCs w:val="20"/>
          <w:color w:val="auto"/>
        </w:rPr>
      </w:pPr>
    </w:p>
    <w:p>
      <w:pPr>
        <w:ind w:right="220" w:firstLine="656"/>
        <w:spacing w:after="0" w:line="287" w:lineRule="auto"/>
        <w:tabs>
          <w:tab w:leader="none" w:pos="75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6.</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AWARD OF RESTRICTED SHARES</w:t>
      </w:r>
    </w:p>
    <w:p>
      <w:pPr>
        <w:spacing w:after="0" w:line="226" w:lineRule="exact"/>
        <w:rPr>
          <w:sz w:val="20"/>
          <w:szCs w:val="20"/>
          <w:color w:val="auto"/>
        </w:rPr>
      </w:pPr>
    </w:p>
    <w:p>
      <w:pPr>
        <w:ind w:left="1200" w:hanging="544"/>
        <w:spacing w:after="0"/>
        <w:tabs>
          <w:tab w:leader="none" w:pos="1200" w:val="left"/>
        </w:tabs>
        <w:numPr>
          <w:ilvl w:val="0"/>
          <w:numId w:val="110"/>
        </w:numPr>
        <w:rPr>
          <w:rFonts w:ascii="Arial" w:cs="Arial" w:eastAsia="Arial" w:hAnsi="Arial"/>
          <w:sz w:val="22"/>
          <w:szCs w:val="22"/>
          <w:color w:val="010000"/>
        </w:rPr>
      </w:pPr>
      <w:r>
        <w:rPr>
          <w:rFonts w:ascii="Arial" w:cs="Arial" w:eastAsia="Arial" w:hAnsi="Arial"/>
          <w:sz w:val="22"/>
          <w:szCs w:val="22"/>
          <w:u w:val="single" w:color="auto"/>
          <w:color w:val="auto"/>
        </w:rPr>
        <w:t>Award of Restricted Shares</w:t>
      </w:r>
    </w:p>
    <w:p>
      <w:pPr>
        <w:spacing w:after="0" w:line="2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22"/>
          <w:szCs w:val="22"/>
          <w:color w:val="010000"/>
        </w:rPr>
        <w:t>(i)</w:t>
      </w:r>
      <w:r>
        <w:rPr>
          <w:rFonts w:ascii="Arial" w:cs="Arial" w:eastAsia="Arial" w:hAnsi="Arial"/>
          <w:sz w:val="22"/>
          <w:szCs w:val="22"/>
          <w:color w:val="000000"/>
        </w:rPr>
        <w:t>The Committee shall from time to time, in its absolute discretion:</w:t>
      </w:r>
    </w:p>
    <w:p>
      <w:pPr>
        <w:spacing w:after="0" w:line="220" w:lineRule="exact"/>
        <w:rPr>
          <w:sz w:val="20"/>
          <w:szCs w:val="20"/>
          <w:color w:val="auto"/>
        </w:rPr>
      </w:pPr>
    </w:p>
    <w:p>
      <w:pPr>
        <w:ind w:left="660" w:right="400" w:firstLine="1292"/>
        <w:spacing w:after="0" w:line="263" w:lineRule="auto"/>
        <w:tabs>
          <w:tab w:leader="none" w:pos="2599"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Select from among the Employees, Directors or consultants (including Employees, Directors or consultants who have previously received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awards under the Plan) such of them as in its opinion should be awarded Restricted Shares; and</w:t>
      </w:r>
    </w:p>
    <w:p>
      <w:pPr>
        <w:spacing w:after="0" w:line="220" w:lineRule="exact"/>
        <w:rPr>
          <w:sz w:val="20"/>
          <w:szCs w:val="20"/>
          <w:color w:val="auto"/>
        </w:rPr>
      </w:pPr>
    </w:p>
    <w:p>
      <w:pPr>
        <w:ind w:left="660" w:right="120" w:firstLine="1292"/>
        <w:spacing w:after="0" w:line="263" w:lineRule="auto"/>
        <w:tabs>
          <w:tab w:leader="none" w:pos="2599"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Determine the terms and conditions applicable to such Restricted Shares, consistent with the Plan, which may include the achievement of Performance Objectives.</w:t>
      </w:r>
    </w:p>
    <w:p>
      <w:pPr>
        <w:spacing w:after="0" w:line="175" w:lineRule="exact"/>
        <w:rPr>
          <w:sz w:val="20"/>
          <w:szCs w:val="20"/>
          <w:color w:val="auto"/>
        </w:rPr>
      </w:pPr>
    </w:p>
    <w:p>
      <w:pPr>
        <w:jc w:val="both"/>
        <w:ind w:right="180" w:firstLine="1032"/>
        <w:spacing w:after="0" w:line="312"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Upon the selection of an Employee, Director or consultant to be awarded Restricted Shares, the Committee shall</w:t>
      </w:r>
      <w:r>
        <w:rPr>
          <w:rFonts w:ascii="Arial" w:cs="Arial" w:eastAsia="Arial" w:hAnsi="Arial"/>
          <w:sz w:val="19"/>
          <w:szCs w:val="19"/>
          <w:color w:val="010000"/>
        </w:rPr>
        <w:t xml:space="preserve"> </w:t>
      </w:r>
      <w:r>
        <w:rPr>
          <w:rFonts w:ascii="Arial" w:cs="Arial" w:eastAsia="Arial" w:hAnsi="Arial"/>
          <w:sz w:val="19"/>
          <w:szCs w:val="19"/>
          <w:color w:val="000000"/>
        </w:rPr>
        <w:t>instruct the Secretary of the Company to issue such Restricted Shares and may impose such conditions on the issuance of such Restricted Shares as it deems appropriate or as may be required by applicable securities legislation.</w:t>
      </w:r>
    </w:p>
    <w:p>
      <w:pPr>
        <w:spacing w:after="0" w:line="133" w:lineRule="exact"/>
        <w:rPr>
          <w:sz w:val="20"/>
          <w:szCs w:val="20"/>
          <w:color w:val="auto"/>
        </w:rPr>
      </w:pPr>
    </w:p>
    <w:p>
      <w:pPr>
        <w:ind w:left="1220" w:hanging="564"/>
        <w:spacing w:after="0"/>
        <w:tabs>
          <w:tab w:leader="none" w:pos="1220"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Restricted Share Agreement</w:t>
      </w:r>
    </w:p>
    <w:p>
      <w:pPr>
        <w:spacing w:after="0" w:line="21" w:lineRule="exact"/>
        <w:rPr>
          <w:sz w:val="20"/>
          <w:szCs w:val="20"/>
          <w:color w:val="auto"/>
        </w:rPr>
      </w:pPr>
    </w:p>
    <w:p>
      <w:pPr>
        <w:jc w:val="both"/>
        <w:ind w:firstLine="656"/>
        <w:spacing w:after="0" w:line="245" w:lineRule="auto"/>
        <w:tabs>
          <w:tab w:leader="none" w:pos="75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spacing w:after="0" w:line="193" w:lineRule="exact"/>
        <w:rPr>
          <w:sz w:val="20"/>
          <w:szCs w:val="20"/>
          <w:color w:val="auto"/>
        </w:rPr>
      </w:pPr>
    </w:p>
    <w:p>
      <w:pPr>
        <w:ind w:left="1200" w:hanging="544"/>
        <w:spacing w:after="0"/>
        <w:tabs>
          <w:tab w:leader="none" w:pos="1200" w:val="left"/>
        </w:tabs>
        <w:numPr>
          <w:ilvl w:val="0"/>
          <w:numId w:val="115"/>
        </w:numPr>
        <w:rPr>
          <w:rFonts w:ascii="Arial" w:cs="Arial" w:eastAsia="Arial" w:hAnsi="Arial"/>
          <w:sz w:val="22"/>
          <w:szCs w:val="22"/>
          <w:color w:val="010000"/>
        </w:rPr>
      </w:pPr>
      <w:r>
        <w:rPr>
          <w:rFonts w:ascii="Arial" w:cs="Arial" w:eastAsia="Arial" w:hAnsi="Arial"/>
          <w:sz w:val="22"/>
          <w:szCs w:val="22"/>
          <w:u w:val="single" w:color="auto"/>
          <w:color w:val="auto"/>
        </w:rPr>
        <w:t>Rights as Shareholders</w:t>
      </w:r>
    </w:p>
    <w:p>
      <w:pPr>
        <w:spacing w:after="0" w:line="21" w:lineRule="exact"/>
        <w:rPr>
          <w:sz w:val="20"/>
          <w:szCs w:val="20"/>
          <w:color w:val="auto"/>
        </w:rPr>
      </w:pPr>
    </w:p>
    <w:p>
      <w:pPr>
        <w:ind w:right="120" w:firstLine="656"/>
        <w:spacing w:after="0" w:line="244" w:lineRule="auto"/>
        <w:tabs>
          <w:tab w:leader="none" w:pos="75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the issuance of Restricted Shares, the Restricted Shareholder shall have, unless otherwise provided by the Committee, all the rights of a shareholder with respect to said shares, subject to 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195" w:lineRule="exact"/>
        <w:rPr>
          <w:sz w:val="20"/>
          <w:szCs w:val="20"/>
          <w:color w:val="auto"/>
        </w:rPr>
      </w:pPr>
    </w:p>
    <w:p>
      <w:pPr>
        <w:ind w:left="1220" w:hanging="564"/>
        <w:spacing w:after="0"/>
        <w:tabs>
          <w:tab w:leader="none" w:pos="1220" w:val="left"/>
        </w:tabs>
        <w:numPr>
          <w:ilvl w:val="0"/>
          <w:numId w:val="117"/>
        </w:numPr>
        <w:rPr>
          <w:rFonts w:ascii="Arial" w:cs="Arial" w:eastAsia="Arial" w:hAnsi="Arial"/>
          <w:sz w:val="22"/>
          <w:szCs w:val="22"/>
          <w:color w:val="010000"/>
        </w:rPr>
      </w:pPr>
      <w:r>
        <w:rPr>
          <w:rFonts w:ascii="Arial" w:cs="Arial" w:eastAsia="Arial" w:hAnsi="Arial"/>
          <w:sz w:val="22"/>
          <w:szCs w:val="22"/>
          <w:u w:val="single" w:color="auto"/>
          <w:color w:val="auto"/>
        </w:rPr>
        <w:t>Restriction</w:t>
      </w:r>
    </w:p>
    <w:p>
      <w:pPr>
        <w:spacing w:after="0" w:line="21" w:lineRule="exact"/>
        <w:rPr>
          <w:sz w:val="20"/>
          <w:szCs w:val="20"/>
          <w:color w:val="auto"/>
        </w:rPr>
      </w:pPr>
    </w:p>
    <w:p>
      <w:pPr>
        <w:ind w:firstLine="656"/>
        <w:spacing w:after="0" w:line="257" w:lineRule="auto"/>
        <w:tabs>
          <w:tab w:leader="none" w:pos="75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81" w:lineRule="exact"/>
        <w:rPr>
          <w:sz w:val="20"/>
          <w:szCs w:val="20"/>
          <w:color w:val="auto"/>
        </w:rPr>
      </w:pPr>
    </w:p>
    <w:p>
      <w:pPr>
        <w:ind w:left="1200" w:hanging="544"/>
        <w:spacing w:after="0"/>
        <w:tabs>
          <w:tab w:leader="none" w:pos="1200" w:val="left"/>
        </w:tabs>
        <w:numPr>
          <w:ilvl w:val="0"/>
          <w:numId w:val="119"/>
        </w:numPr>
        <w:rPr>
          <w:rFonts w:ascii="Arial" w:cs="Arial" w:eastAsia="Arial" w:hAnsi="Arial"/>
          <w:sz w:val="22"/>
          <w:szCs w:val="22"/>
          <w:color w:val="010000"/>
        </w:rPr>
      </w:pPr>
      <w:r>
        <w:rPr>
          <w:rFonts w:ascii="Arial" w:cs="Arial" w:eastAsia="Arial" w:hAnsi="Arial"/>
          <w:sz w:val="22"/>
          <w:szCs w:val="22"/>
          <w:u w:val="single" w:color="auto"/>
          <w:color w:val="auto"/>
        </w:rPr>
        <w:t>Escrow</w:t>
      </w:r>
    </w:p>
    <w:p>
      <w:pPr>
        <w:spacing w:after="0" w:line="21" w:lineRule="exact"/>
        <w:rPr>
          <w:sz w:val="20"/>
          <w:szCs w:val="20"/>
          <w:color w:val="auto"/>
        </w:rPr>
      </w:pPr>
    </w:p>
    <w:p>
      <w:pPr>
        <w:ind w:right="140" w:firstLine="656"/>
        <w:spacing w:after="0" w:line="244" w:lineRule="auto"/>
        <w:tabs>
          <w:tab w:leader="none" w:pos="75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195" w:lineRule="exact"/>
        <w:rPr>
          <w:sz w:val="20"/>
          <w:szCs w:val="20"/>
          <w:color w:val="auto"/>
        </w:rPr>
      </w:pPr>
    </w:p>
    <w:p>
      <w:pPr>
        <w:ind w:left="1200" w:hanging="544"/>
        <w:spacing w:after="0"/>
        <w:tabs>
          <w:tab w:leader="none" w:pos="1200" w:val="left"/>
        </w:tabs>
        <w:numPr>
          <w:ilvl w:val="0"/>
          <w:numId w:val="121"/>
        </w:numPr>
        <w:rPr>
          <w:rFonts w:ascii="Arial" w:cs="Arial" w:eastAsia="Arial" w:hAnsi="Arial"/>
          <w:sz w:val="22"/>
          <w:szCs w:val="22"/>
          <w:color w:val="010000"/>
        </w:rPr>
      </w:pPr>
      <w:r>
        <w:rPr>
          <w:rFonts w:ascii="Arial" w:cs="Arial" w:eastAsia="Arial" w:hAnsi="Arial"/>
          <w:sz w:val="22"/>
          <w:szCs w:val="22"/>
          <w:u w:val="single" w:color="auto"/>
          <w:color w:val="auto"/>
        </w:rPr>
        <w:t>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40" w:right="379" w:bottom="1440" w:gutter="0" w:footer="0" w:header="0"/>
        </w:sectPr>
      </w:pPr>
    </w:p>
    <w:bookmarkStart w:id="52" w:name="page53"/>
    <w:bookmarkEnd w:id="52"/>
    <w:p>
      <w:pPr>
        <w:ind w:right="20" w:firstLine="656"/>
        <w:spacing w:after="0" w:line="302" w:lineRule="auto"/>
        <w:tabs>
          <w:tab w:leader="none" w:pos="75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Where physical share certificates of Restricted Shares are issued, in order to enforce the restrictions imposed upon Restricted Shares hereunder, the Committee shall cause a legend or legends to be placed on certificates 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42" w:lineRule="exact"/>
        <w:rPr>
          <w:sz w:val="20"/>
          <w:szCs w:val="20"/>
          <w:color w:val="auto"/>
        </w:rPr>
      </w:pPr>
    </w:p>
    <w:p>
      <w:pPr>
        <w:ind w:left="1220" w:hanging="564"/>
        <w:spacing w:after="0"/>
        <w:tabs>
          <w:tab w:leader="none" w:pos="1220" w:val="left"/>
        </w:tabs>
        <w:numPr>
          <w:ilvl w:val="0"/>
          <w:numId w:val="123"/>
        </w:numPr>
        <w:rPr>
          <w:rFonts w:ascii="Arial" w:cs="Arial" w:eastAsia="Arial" w:hAnsi="Arial"/>
          <w:sz w:val="22"/>
          <w:szCs w:val="22"/>
          <w:color w:val="010000"/>
        </w:rPr>
      </w:pPr>
      <w:r>
        <w:rPr>
          <w:rFonts w:ascii="Arial" w:cs="Arial" w:eastAsia="Arial" w:hAnsi="Arial"/>
          <w:sz w:val="22"/>
          <w:szCs w:val="22"/>
          <w:u w:val="single" w:color="auto"/>
          <w:color w:val="auto"/>
        </w:rPr>
        <w:t>Form of Issuance</w:t>
      </w:r>
    </w:p>
    <w:p>
      <w:pPr>
        <w:spacing w:after="0" w:line="21" w:lineRule="exact"/>
        <w:rPr>
          <w:sz w:val="20"/>
          <w:szCs w:val="20"/>
          <w:color w:val="auto"/>
        </w:rPr>
      </w:pPr>
    </w:p>
    <w:p>
      <w:pPr>
        <w:ind w:right="400" w:firstLine="656"/>
        <w:spacing w:after="0" w:line="246" w:lineRule="auto"/>
        <w:tabs>
          <w:tab w:leader="none" w:pos="75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Restricted Shares issued under the Plan may, in the discretion of the Committee, be by means of an electronic, book-entry statement, rather than by issuing physical share certificates.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7.</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AWARDS, DIVIDEND EQUIVALENTS,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SHARES, SHARE PAYMENTS</w:t>
      </w:r>
    </w:p>
    <w:p>
      <w:pPr>
        <w:spacing w:after="0" w:line="202" w:lineRule="exact"/>
        <w:rPr>
          <w:sz w:val="20"/>
          <w:szCs w:val="20"/>
          <w:color w:val="auto"/>
        </w:rPr>
      </w:pPr>
    </w:p>
    <w:p>
      <w:pPr>
        <w:ind w:left="1200" w:hanging="544"/>
        <w:spacing w:after="0"/>
        <w:tabs>
          <w:tab w:leader="none" w:pos="1200" w:val="left"/>
        </w:tabs>
        <w:numPr>
          <w:ilvl w:val="0"/>
          <w:numId w:val="125"/>
        </w:numPr>
        <w:rPr>
          <w:rFonts w:ascii="Arial" w:cs="Arial" w:eastAsia="Arial" w:hAnsi="Arial"/>
          <w:sz w:val="22"/>
          <w:szCs w:val="22"/>
          <w:color w:val="010000"/>
        </w:rPr>
      </w:pPr>
      <w:r>
        <w:rPr>
          <w:rFonts w:ascii="Arial" w:cs="Arial" w:eastAsia="Arial" w:hAnsi="Arial"/>
          <w:sz w:val="22"/>
          <w:szCs w:val="22"/>
          <w:u w:val="single" w:color="auto"/>
          <w:color w:val="auto"/>
        </w:rPr>
        <w:t>Performance Awards</w:t>
      </w:r>
    </w:p>
    <w:p>
      <w:pPr>
        <w:spacing w:after="0" w:line="21" w:lineRule="exact"/>
        <w:rPr>
          <w:sz w:val="20"/>
          <w:szCs w:val="20"/>
          <w:color w:val="auto"/>
        </w:rPr>
      </w:pPr>
    </w:p>
    <w:p>
      <w:pPr>
        <w:ind w:right="20" w:firstLine="656"/>
        <w:spacing w:after="0" w:line="288" w:lineRule="auto"/>
        <w:tabs>
          <w:tab w:leader="none" w:pos="75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58" w:lineRule="exact"/>
        <w:rPr>
          <w:sz w:val="20"/>
          <w:szCs w:val="20"/>
          <w:color w:val="auto"/>
        </w:rPr>
      </w:pPr>
    </w:p>
    <w:p>
      <w:pPr>
        <w:ind w:left="1220" w:hanging="564"/>
        <w:spacing w:after="0"/>
        <w:tabs>
          <w:tab w:leader="none" w:pos="1220"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Dividend Equivalents</w:t>
      </w:r>
    </w:p>
    <w:p>
      <w:pPr>
        <w:spacing w:after="0" w:line="21" w:lineRule="exact"/>
        <w:rPr>
          <w:sz w:val="20"/>
          <w:szCs w:val="20"/>
          <w:color w:val="auto"/>
        </w:rPr>
      </w:pPr>
    </w:p>
    <w:p>
      <w:pPr>
        <w:ind w:right="20" w:firstLine="656"/>
        <w:spacing w:after="0" w:line="257" w:lineRule="auto"/>
        <w:tabs>
          <w:tab w:leader="none" w:pos="756"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81" w:lineRule="exact"/>
        <w:rPr>
          <w:sz w:val="20"/>
          <w:szCs w:val="20"/>
          <w:color w:val="auto"/>
        </w:rPr>
      </w:pPr>
    </w:p>
    <w:p>
      <w:pPr>
        <w:ind w:left="1200" w:hanging="544"/>
        <w:spacing w:after="0"/>
        <w:tabs>
          <w:tab w:leader="none" w:pos="1200"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Share Payments</w:t>
      </w:r>
    </w:p>
    <w:p>
      <w:pPr>
        <w:spacing w:after="0" w:line="21" w:lineRule="exact"/>
        <w:rPr>
          <w:sz w:val="20"/>
          <w:szCs w:val="20"/>
          <w:color w:val="auto"/>
        </w:rPr>
      </w:pPr>
    </w:p>
    <w:p>
      <w:pPr>
        <w:ind w:firstLine="656"/>
        <w:spacing w:after="0" w:line="295" w:lineRule="auto"/>
        <w:tabs>
          <w:tab w:leader="none" w:pos="75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3" w:name="page54"/>
    <w:bookmarkEnd w:id="53"/>
    <w:p>
      <w:pPr>
        <w:spacing w:after="0" w:line="204" w:lineRule="exact"/>
        <w:rPr>
          <w:sz w:val="20"/>
          <w:szCs w:val="20"/>
          <w:color w:val="auto"/>
        </w:rPr>
      </w:pPr>
    </w:p>
    <w:p>
      <w:pPr>
        <w:ind w:left="1220" w:hanging="564"/>
        <w:spacing w:after="0"/>
        <w:tabs>
          <w:tab w:leader="none" w:pos="1220"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Deferred Shares</w:t>
      </w:r>
    </w:p>
    <w:p>
      <w:pPr>
        <w:spacing w:after="0" w:line="21" w:lineRule="exact"/>
        <w:rPr>
          <w:sz w:val="20"/>
          <w:szCs w:val="20"/>
          <w:color w:val="auto"/>
        </w:rPr>
      </w:pPr>
    </w:p>
    <w:p>
      <w:pPr>
        <w:ind w:firstLine="656"/>
        <w:spacing w:after="0" w:line="286" w:lineRule="auto"/>
        <w:tabs>
          <w:tab w:leader="none" w:pos="75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163" w:lineRule="exact"/>
        <w:rPr>
          <w:sz w:val="20"/>
          <w:szCs w:val="20"/>
          <w:color w:val="auto"/>
        </w:rPr>
      </w:pPr>
    </w:p>
    <w:p>
      <w:pPr>
        <w:ind w:left="1200" w:hanging="544"/>
        <w:spacing w:after="0"/>
        <w:tabs>
          <w:tab w:leader="none" w:pos="1200" w:val="left"/>
        </w:tabs>
        <w:numPr>
          <w:ilvl w:val="0"/>
          <w:numId w:val="133"/>
        </w:numPr>
        <w:rPr>
          <w:rFonts w:ascii="Arial" w:cs="Arial" w:eastAsia="Arial" w:hAnsi="Arial"/>
          <w:sz w:val="19"/>
          <w:szCs w:val="19"/>
          <w:color w:val="010000"/>
        </w:rPr>
      </w:pPr>
      <w:r>
        <w:rPr>
          <w:rFonts w:ascii="Arial" w:cs="Arial" w:eastAsia="Arial" w:hAnsi="Arial"/>
          <w:sz w:val="19"/>
          <w:szCs w:val="19"/>
          <w:u w:val="single" w:color="auto"/>
          <w:color w:val="auto"/>
        </w:rPr>
        <w:t>Performance Award Agreement, Dividend Equivalent Agreement, Deferred Share Agreement, Share Payment</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Agreement</w:t>
      </w:r>
    </w:p>
    <w:p>
      <w:pPr>
        <w:spacing w:after="0" w:line="3" w:lineRule="exact"/>
        <w:rPr>
          <w:rFonts w:ascii="Arial" w:cs="Arial" w:eastAsia="Arial" w:hAnsi="Arial"/>
          <w:sz w:val="19"/>
          <w:szCs w:val="19"/>
          <w:color w:val="010000"/>
        </w:rPr>
      </w:pPr>
    </w:p>
    <w:p>
      <w:pPr>
        <w:ind w:right="160" w:firstLine="648"/>
        <w:spacing w:after="0" w:line="245" w:lineRule="auto"/>
        <w:rPr>
          <w:rFonts w:ascii="Arial" w:cs="Arial" w:eastAsia="Arial" w:hAnsi="Arial"/>
          <w:sz w:val="19"/>
          <w:szCs w:val="19"/>
          <w:color w:val="010000"/>
        </w:rPr>
      </w:pPr>
      <w:r>
        <w:rPr>
          <w:rFonts w:ascii="Arial" w:cs="Arial" w:eastAsia="Arial" w:hAnsi="Arial"/>
          <w:sz w:val="22"/>
          <w:szCs w:val="22"/>
          <w:color w:val="auto"/>
        </w:rPr>
        <w:t>. Each Performance Award, Dividend Equivalent, award of Deferred Shares and/or Share Payment shall be evidenced by an agreement, which shall be executed by the Grantee and an authorized Officer of the Company and which shall contain such terms and conditions as the Committee shall determine, consistent with the Plan.</w:t>
      </w:r>
    </w:p>
    <w:p>
      <w:pPr>
        <w:spacing w:after="0" w:line="192" w:lineRule="exact"/>
        <w:rPr>
          <w:rFonts w:ascii="Arial" w:cs="Arial" w:eastAsia="Arial" w:hAnsi="Arial"/>
          <w:sz w:val="19"/>
          <w:szCs w:val="19"/>
          <w:color w:val="010000"/>
        </w:rPr>
      </w:pPr>
    </w:p>
    <w:p>
      <w:pPr>
        <w:ind w:left="1200" w:hanging="544"/>
        <w:spacing w:after="0"/>
        <w:tabs>
          <w:tab w:leader="none" w:pos="1200" w:val="left"/>
        </w:tabs>
        <w:numPr>
          <w:ilvl w:val="0"/>
          <w:numId w:val="133"/>
        </w:numPr>
        <w:rPr>
          <w:rFonts w:ascii="Arial" w:cs="Arial" w:eastAsia="Arial" w:hAnsi="Arial"/>
          <w:sz w:val="22"/>
          <w:szCs w:val="22"/>
          <w:color w:val="010000"/>
        </w:rPr>
      </w:pPr>
      <w:r>
        <w:rPr>
          <w:rFonts w:ascii="Arial" w:cs="Arial" w:eastAsia="Arial" w:hAnsi="Arial"/>
          <w:sz w:val="22"/>
          <w:szCs w:val="22"/>
          <w:u w:val="single" w:color="auto"/>
          <w:color w:val="auto"/>
        </w:rPr>
        <w:t>Term</w:t>
      </w:r>
    </w:p>
    <w:p>
      <w:pPr>
        <w:spacing w:after="0" w:line="21" w:lineRule="exact"/>
        <w:rPr>
          <w:sz w:val="20"/>
          <w:szCs w:val="20"/>
          <w:color w:val="auto"/>
        </w:rPr>
      </w:pPr>
    </w:p>
    <w:p>
      <w:pPr>
        <w:ind w:right="60" w:firstLine="656"/>
        <w:spacing w:after="0" w:line="246" w:lineRule="auto"/>
        <w:tabs>
          <w:tab w:leader="none" w:pos="75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term of a Performance Award, Dividend Equivalent, award of Deferred Shares and/or Share Payment shall be set by the Committee in its discretion, subject to the terms of the Plan.</w:t>
      </w:r>
    </w:p>
    <w:p>
      <w:pPr>
        <w:spacing w:after="0" w:line="192" w:lineRule="exact"/>
        <w:rPr>
          <w:sz w:val="20"/>
          <w:szCs w:val="20"/>
          <w:color w:val="auto"/>
        </w:rPr>
      </w:pPr>
    </w:p>
    <w:p>
      <w:pPr>
        <w:ind w:left="1220" w:hanging="564"/>
        <w:spacing w:after="0"/>
        <w:tabs>
          <w:tab w:leader="none" w:pos="1220"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Payment Upon Termination of Employment</w:t>
      </w:r>
    </w:p>
    <w:p>
      <w:pPr>
        <w:spacing w:after="0" w:line="21" w:lineRule="exact"/>
        <w:rPr>
          <w:sz w:val="20"/>
          <w:szCs w:val="20"/>
          <w:color w:val="auto"/>
        </w:rPr>
      </w:pPr>
    </w:p>
    <w:p>
      <w:pPr>
        <w:ind w:right="140" w:firstLine="656"/>
        <w:spacing w:after="0" w:line="244" w:lineRule="auto"/>
        <w:tabs>
          <w:tab w:leader="none" w:pos="75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95" w:lineRule="exact"/>
        <w:rPr>
          <w:sz w:val="20"/>
          <w:szCs w:val="20"/>
          <w:color w:val="auto"/>
        </w:rPr>
      </w:pPr>
    </w:p>
    <w:p>
      <w:pPr>
        <w:ind w:left="1220" w:hanging="564"/>
        <w:spacing w:after="0"/>
        <w:tabs>
          <w:tab w:leader="none" w:pos="1220" w:val="left"/>
        </w:tabs>
        <w:numPr>
          <w:ilvl w:val="0"/>
          <w:numId w:val="137"/>
        </w:numPr>
        <w:rPr>
          <w:rFonts w:ascii="Arial" w:cs="Arial" w:eastAsia="Arial" w:hAnsi="Arial"/>
          <w:sz w:val="22"/>
          <w:szCs w:val="22"/>
          <w:color w:val="010000"/>
        </w:rPr>
      </w:pPr>
      <w:r>
        <w:rPr>
          <w:rFonts w:ascii="Arial" w:cs="Arial" w:eastAsia="Arial" w:hAnsi="Arial"/>
          <w:sz w:val="22"/>
          <w:szCs w:val="22"/>
          <w:u w:val="single" w:color="auto"/>
          <w:color w:val="auto"/>
        </w:rPr>
        <w:t>Payment</w:t>
      </w:r>
    </w:p>
    <w:p>
      <w:pPr>
        <w:spacing w:after="0" w:line="21" w:lineRule="exact"/>
        <w:rPr>
          <w:sz w:val="20"/>
          <w:szCs w:val="20"/>
          <w:color w:val="auto"/>
        </w:rPr>
      </w:pPr>
    </w:p>
    <w:p>
      <w:pPr>
        <w:ind w:right="80" w:firstLine="656"/>
        <w:spacing w:after="0" w:line="302" w:lineRule="auto"/>
        <w:tabs>
          <w:tab w:leader="none" w:pos="75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226" w:lineRule="exact"/>
        <w:rPr>
          <w:sz w:val="20"/>
          <w:szCs w:val="20"/>
          <w:color w:val="auto"/>
        </w:rPr>
      </w:pPr>
    </w:p>
    <w:p>
      <w:pPr>
        <w:ind w:left="1200" w:hanging="544"/>
        <w:spacing w:after="0"/>
        <w:tabs>
          <w:tab w:leader="none" w:pos="1200"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Committee</w:t>
      </w:r>
    </w:p>
    <w:p>
      <w:pPr>
        <w:spacing w:after="0" w:line="21" w:lineRule="exact"/>
        <w:rPr>
          <w:sz w:val="20"/>
          <w:szCs w:val="20"/>
          <w:color w:val="auto"/>
        </w:rPr>
      </w:pPr>
    </w:p>
    <w:p>
      <w:pPr>
        <w:ind w:right="100" w:firstLine="656"/>
        <w:spacing w:after="0" w:line="246" w:lineRule="auto"/>
        <w:tabs>
          <w:tab w:leader="none" w:pos="75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Committee members shall be appointed by and hold office at the pleasure of the Board. Appointment of Committee members shall be effective upon acceptance of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54" w:name="page55"/>
    <w:bookmarkEnd w:id="54"/>
    <w:p>
      <w:pPr>
        <w:ind w:right="80"/>
        <w:spacing w:after="0" w:line="263" w:lineRule="auto"/>
        <w:rPr>
          <w:sz w:val="20"/>
          <w:szCs w:val="20"/>
          <w:color w:val="auto"/>
        </w:rPr>
      </w:pPr>
      <w:r>
        <w:rPr>
          <w:rFonts w:ascii="Arial" w:cs="Arial" w:eastAsia="Arial" w:hAnsi="Arial"/>
          <w:sz w:val="22"/>
          <w:szCs w:val="22"/>
          <w:color w:val="auto"/>
        </w:rPr>
        <w:t>Committee members may resign at any time by delivering written notice to the Board. Vacancies in the Committee may be filled by the Board.</w:t>
      </w:r>
    </w:p>
    <w:p>
      <w:pPr>
        <w:spacing w:after="0" w:line="175" w:lineRule="exact"/>
        <w:rPr>
          <w:sz w:val="20"/>
          <w:szCs w:val="20"/>
          <w:color w:val="auto"/>
        </w:rPr>
      </w:pPr>
    </w:p>
    <w:p>
      <w:pPr>
        <w:ind w:left="1220" w:hanging="564"/>
        <w:spacing w:after="0"/>
        <w:tabs>
          <w:tab w:leader="none" w:pos="1220" w:val="left"/>
        </w:tabs>
        <w:numPr>
          <w:ilvl w:val="0"/>
          <w:numId w:val="141"/>
        </w:numPr>
        <w:rPr>
          <w:rFonts w:ascii="Arial" w:cs="Arial" w:eastAsia="Arial" w:hAnsi="Arial"/>
          <w:sz w:val="22"/>
          <w:szCs w:val="22"/>
          <w:color w:val="010000"/>
        </w:rPr>
      </w:pPr>
      <w:r>
        <w:rPr>
          <w:rFonts w:ascii="Arial" w:cs="Arial" w:eastAsia="Arial" w:hAnsi="Arial"/>
          <w:sz w:val="22"/>
          <w:szCs w:val="22"/>
          <w:u w:val="single" w:color="auto"/>
          <w:color w:val="auto"/>
        </w:rPr>
        <w:t>Duties and Powers of Committee</w:t>
      </w:r>
    </w:p>
    <w:p>
      <w:pPr>
        <w:spacing w:after="0" w:line="21" w:lineRule="exact"/>
        <w:rPr>
          <w:sz w:val="20"/>
          <w:szCs w:val="20"/>
          <w:color w:val="auto"/>
        </w:rPr>
      </w:pPr>
    </w:p>
    <w:p>
      <w:pPr>
        <w:ind w:right="60" w:firstLine="656"/>
        <w:spacing w:after="0" w:line="256" w:lineRule="auto"/>
        <w:tabs>
          <w:tab w:leader="none" w:pos="75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It shall be the duty of the Committee to conduct the general administration of the Plan in accordance with its provisions. The Committee shall have the power to interpret the 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87" w:lineRule="exact"/>
        <w:rPr>
          <w:sz w:val="20"/>
          <w:szCs w:val="20"/>
          <w:color w:val="auto"/>
        </w:rPr>
      </w:pPr>
    </w:p>
    <w:p>
      <w:pPr>
        <w:ind w:left="1200" w:hanging="544"/>
        <w:spacing w:after="0"/>
        <w:tabs>
          <w:tab w:leader="none" w:pos="1200" w:val="left"/>
        </w:tabs>
        <w:numPr>
          <w:ilvl w:val="0"/>
          <w:numId w:val="143"/>
        </w:numPr>
        <w:rPr>
          <w:rFonts w:ascii="Arial" w:cs="Arial" w:eastAsia="Arial" w:hAnsi="Arial"/>
          <w:sz w:val="22"/>
          <w:szCs w:val="22"/>
          <w:color w:val="010000"/>
        </w:rPr>
      </w:pPr>
      <w:r>
        <w:rPr>
          <w:rFonts w:ascii="Arial" w:cs="Arial" w:eastAsia="Arial" w:hAnsi="Arial"/>
          <w:sz w:val="22"/>
          <w:szCs w:val="22"/>
          <w:u w:val="single" w:color="auto"/>
          <w:color w:val="auto"/>
        </w:rPr>
        <w:t>Majority Rule; Unanimous Written Consent</w:t>
      </w:r>
    </w:p>
    <w:p>
      <w:pPr>
        <w:spacing w:after="0" w:line="21" w:lineRule="exact"/>
        <w:rPr>
          <w:sz w:val="20"/>
          <w:szCs w:val="20"/>
          <w:color w:val="auto"/>
        </w:rPr>
      </w:pPr>
    </w:p>
    <w:p>
      <w:pPr>
        <w:ind w:right="260" w:firstLine="656"/>
        <w:spacing w:after="0" w:line="246" w:lineRule="auto"/>
        <w:tabs>
          <w:tab w:leader="none" w:pos="75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Committee shall act by a majority of its members in attendance at a meeting at which a quorum is present or by a memorandum or other written instrument signed by all members of the Committee.</w:t>
      </w:r>
    </w:p>
    <w:p>
      <w:pPr>
        <w:spacing w:after="0" w:line="192" w:lineRule="exact"/>
        <w:rPr>
          <w:sz w:val="20"/>
          <w:szCs w:val="20"/>
          <w:color w:val="auto"/>
        </w:rPr>
      </w:pPr>
    </w:p>
    <w:p>
      <w:pPr>
        <w:ind w:left="1220" w:hanging="564"/>
        <w:spacing w:after="0"/>
        <w:tabs>
          <w:tab w:leader="none" w:pos="1220" w:val="left"/>
        </w:tabs>
        <w:numPr>
          <w:ilvl w:val="0"/>
          <w:numId w:val="145"/>
        </w:numPr>
        <w:rPr>
          <w:rFonts w:ascii="Arial" w:cs="Arial" w:eastAsia="Arial" w:hAnsi="Arial"/>
          <w:sz w:val="22"/>
          <w:szCs w:val="22"/>
          <w:color w:val="010000"/>
        </w:rPr>
      </w:pPr>
      <w:r>
        <w:rPr>
          <w:rFonts w:ascii="Arial" w:cs="Arial" w:eastAsia="Arial" w:hAnsi="Arial"/>
          <w:sz w:val="22"/>
          <w:szCs w:val="22"/>
          <w:u w:val="single" w:color="auto"/>
          <w:color w:val="auto"/>
        </w:rPr>
        <w:t>Compensation; Professional Assistance, Good Faith Actions</w:t>
      </w:r>
    </w:p>
    <w:p>
      <w:pPr>
        <w:spacing w:after="0" w:line="21" w:lineRule="exact"/>
        <w:rPr>
          <w:sz w:val="20"/>
          <w:szCs w:val="20"/>
          <w:color w:val="auto"/>
        </w:rPr>
      </w:pPr>
    </w:p>
    <w:p>
      <w:pPr>
        <w:ind w:firstLine="656"/>
        <w:spacing w:after="0" w:line="286" w:lineRule="auto"/>
        <w:tabs>
          <w:tab w:leader="none" w:pos="75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59" w:lineRule="exact"/>
        <w:rPr>
          <w:sz w:val="20"/>
          <w:szCs w:val="20"/>
          <w:color w:val="auto"/>
        </w:rPr>
      </w:pPr>
    </w:p>
    <w:p>
      <w:pPr>
        <w:ind w:left="1200" w:hanging="544"/>
        <w:spacing w:after="0"/>
        <w:tabs>
          <w:tab w:leader="none" w:pos="1200"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Delegation of Authority by the Committee</w:t>
      </w:r>
    </w:p>
    <w:p>
      <w:pPr>
        <w:spacing w:after="0" w:line="21" w:lineRule="exact"/>
        <w:rPr>
          <w:sz w:val="20"/>
          <w:szCs w:val="20"/>
          <w:color w:val="auto"/>
        </w:rPr>
      </w:pPr>
    </w:p>
    <w:p>
      <w:pPr>
        <w:jc w:val="both"/>
        <w:ind w:right="140" w:firstLine="656"/>
        <w:spacing w:after="0" w:line="258" w:lineRule="auto"/>
        <w:tabs>
          <w:tab w:leader="none" w:pos="75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00"/>
          </w:cols>
          <w:pgMar w:left="320" w:top="1428" w:right="379" w:bottom="1440" w:gutter="0" w:footer="0" w:header="0"/>
        </w:sectPr>
      </w:pPr>
    </w:p>
    <w:bookmarkStart w:id="55" w:name="page56"/>
    <w:bookmarkEnd w:id="55"/>
    <w:p>
      <w:pPr>
        <w:jc w:val="both"/>
        <w:ind w:right="300"/>
        <w:spacing w:after="0" w:line="271" w:lineRule="auto"/>
        <w:rPr>
          <w:sz w:val="20"/>
          <w:szCs w:val="20"/>
          <w:color w:val="auto"/>
        </w:rPr>
      </w:pPr>
      <w:r>
        <w:rPr>
          <w:rFonts w:ascii="Arial" w:cs="Arial" w:eastAsia="Arial" w:hAnsi="Arial"/>
          <w:sz w:val="21"/>
          <w:szCs w:val="21"/>
          <w:color w:val="auto"/>
        </w:rPr>
        <w:t>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9.</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 PROVISIONS</w:t>
      </w:r>
    </w:p>
    <w:p>
      <w:pPr>
        <w:spacing w:after="0" w:line="226" w:lineRule="exact"/>
        <w:rPr>
          <w:sz w:val="20"/>
          <w:szCs w:val="20"/>
          <w:color w:val="auto"/>
        </w:rPr>
      </w:pPr>
    </w:p>
    <w:p>
      <w:pPr>
        <w:ind w:left="1200" w:hanging="544"/>
        <w:spacing w:after="0"/>
        <w:tabs>
          <w:tab w:leader="none" w:pos="1200" w:val="left"/>
        </w:tabs>
        <w:numPr>
          <w:ilvl w:val="0"/>
          <w:numId w:val="149"/>
        </w:numPr>
        <w:rPr>
          <w:rFonts w:ascii="Arial" w:cs="Arial" w:eastAsia="Arial" w:hAnsi="Arial"/>
          <w:sz w:val="22"/>
          <w:szCs w:val="22"/>
          <w:color w:val="010000"/>
        </w:rPr>
      </w:pPr>
      <w:r>
        <w:rPr>
          <w:rFonts w:ascii="Arial" w:cs="Arial" w:eastAsia="Arial" w:hAnsi="Arial"/>
          <w:sz w:val="22"/>
          <w:szCs w:val="22"/>
          <w:u w:val="single" w:color="auto"/>
          <w:color w:val="auto"/>
        </w:rPr>
        <w:t>Not Transferable</w:t>
      </w:r>
    </w:p>
    <w:p>
      <w:pPr>
        <w:spacing w:after="0" w:line="21" w:lineRule="exact"/>
        <w:rPr>
          <w:sz w:val="20"/>
          <w:szCs w:val="20"/>
          <w:color w:val="auto"/>
        </w:rPr>
      </w:pPr>
    </w:p>
    <w:p>
      <w:pPr>
        <w:ind w:firstLine="656"/>
        <w:spacing w:after="0" w:line="285" w:lineRule="auto"/>
        <w:tabs>
          <w:tab w:leader="none" w:pos="75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163"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93" w:lineRule="exact"/>
        <w:rPr>
          <w:sz w:val="20"/>
          <w:szCs w:val="20"/>
          <w:color w:val="auto"/>
        </w:rPr>
      </w:pPr>
    </w:p>
    <w:p>
      <w:pPr>
        <w:ind w:left="1220" w:hanging="564"/>
        <w:spacing w:after="0"/>
        <w:tabs>
          <w:tab w:leader="none" w:pos="1220" w:val="left"/>
        </w:tabs>
        <w:numPr>
          <w:ilvl w:val="0"/>
          <w:numId w:val="151"/>
        </w:numPr>
        <w:rPr>
          <w:rFonts w:ascii="Arial" w:cs="Arial" w:eastAsia="Arial" w:hAnsi="Arial"/>
          <w:sz w:val="22"/>
          <w:szCs w:val="22"/>
          <w:color w:val="010000"/>
        </w:rPr>
      </w:pPr>
      <w:r>
        <w:rPr>
          <w:rFonts w:ascii="Arial" w:cs="Arial" w:eastAsia="Arial" w:hAnsi="Arial"/>
          <w:sz w:val="22"/>
          <w:szCs w:val="22"/>
          <w:u w:val="single" w:color="auto"/>
          <w:color w:val="auto"/>
        </w:rPr>
        <w:t>Amendment, Suspension or Termination of the Plan</w:t>
      </w:r>
    </w:p>
    <w:p>
      <w:pPr>
        <w:spacing w:after="0" w:line="21" w:lineRule="exact"/>
        <w:rPr>
          <w:sz w:val="20"/>
          <w:szCs w:val="20"/>
          <w:color w:val="auto"/>
        </w:rPr>
      </w:pPr>
    </w:p>
    <w:p>
      <w:pPr>
        <w:ind w:right="40" w:firstLine="656"/>
        <w:spacing w:after="0" w:line="244" w:lineRule="auto"/>
        <w:tabs>
          <w:tab w:leader="none" w:pos="75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This Plan may be wholly or partially amended or otherwise modified, suspended or 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20"/>
          </w:cols>
          <w:pgMar w:left="320" w:top="1428" w:right="359" w:bottom="1440" w:gutter="0" w:footer="0" w:header="0"/>
        </w:sectPr>
      </w:pPr>
    </w:p>
    <w:bookmarkStart w:id="56" w:name="page57"/>
    <w:bookmarkEnd w:id="56"/>
    <w:p>
      <w:pPr>
        <w:spacing w:after="0" w:line="260" w:lineRule="auto"/>
        <w:rPr>
          <w:sz w:val="20"/>
          <w:szCs w:val="20"/>
          <w:color w:val="auto"/>
        </w:rPr>
      </w:pPr>
      <w:r>
        <w:rPr>
          <w:rFonts w:ascii="Arial" w:cs="Arial" w:eastAsia="Arial" w:hAnsi="Arial"/>
          <w:sz w:val="21"/>
          <w:szCs w:val="21"/>
          <w:color w:val="auto"/>
        </w:rPr>
        <w:t>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The expiration of ten years from the date the Plan was adopted by the Board of Directors of Civeo US; or</w:t>
      </w:r>
    </w:p>
    <w:p>
      <w:pPr>
        <w:spacing w:after="0" w:line="231" w:lineRule="exact"/>
        <w:rPr>
          <w:sz w:val="20"/>
          <w:szCs w:val="20"/>
          <w:color w:val="auto"/>
        </w:rPr>
      </w:pPr>
    </w:p>
    <w:p>
      <w:pPr>
        <w:ind w:left="1040"/>
        <w:spacing w:after="0"/>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The expiration of ten years from the date the Plan was approved by the shareholder of Civeo US under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9.4.</w:t>
      </w:r>
    </w:p>
    <w:p>
      <w:pPr>
        <w:spacing w:after="0" w:line="202" w:lineRule="exact"/>
        <w:rPr>
          <w:sz w:val="20"/>
          <w:szCs w:val="20"/>
          <w:color w:val="auto"/>
        </w:rPr>
      </w:pPr>
    </w:p>
    <w:p>
      <w:pPr>
        <w:ind w:right="500" w:firstLine="656"/>
        <w:spacing w:after="0" w:line="251" w:lineRule="auto"/>
        <w:tabs>
          <w:tab w:leader="none" w:pos="1197"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Changes in Common Shares or Assets of the Company; Acquisition or Liquidation of the Company and Other Corporate Events</w:t>
      </w:r>
    </w:p>
    <w:p>
      <w:pPr>
        <w:spacing w:after="0" w:line="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right="20" w:firstLine="1092"/>
        <w:spacing w:after="0" w:line="258" w:lineRule="auto"/>
        <w:rPr>
          <w:sz w:val="20"/>
          <w:szCs w:val="20"/>
          <w:color w:val="auto"/>
        </w:rPr>
      </w:pPr>
      <w:r>
        <w:rPr>
          <w:rFonts w:ascii="Arial" w:cs="Arial" w:eastAsia="Arial" w:hAnsi="Arial"/>
          <w:sz w:val="21"/>
          <w:szCs w:val="21"/>
          <w:color w:val="010000"/>
        </w:rPr>
        <w:t>(i)</w:t>
      </w:r>
      <w:r>
        <w:rPr>
          <w:rFonts w:ascii="Arial" w:cs="Arial" w:eastAsia="Arial" w:hAnsi="Arial"/>
          <w:sz w:val="21"/>
          <w:szCs w:val="21"/>
          <w:color w:val="000000"/>
        </w:rPr>
        <w:t>Subject to Section 9.3(e), in the event that the Committee determines that any dividend or other distribution</w:t>
      </w:r>
      <w:r>
        <w:rPr>
          <w:rFonts w:ascii="Arial" w:cs="Arial" w:eastAsia="Arial" w:hAnsi="Arial"/>
          <w:sz w:val="21"/>
          <w:szCs w:val="21"/>
          <w:color w:val="010000"/>
        </w:rPr>
        <w:t xml:space="preserve"> </w:t>
      </w:r>
      <w:r>
        <w:rPr>
          <w:rFonts w:ascii="Arial" w:cs="Arial" w:eastAsia="Arial" w:hAnsi="Arial"/>
          <w:sz w:val="21"/>
          <w:szCs w:val="21"/>
          <w:color w:val="000000"/>
        </w:rPr>
        <w:t>(whether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185" w:lineRule="exact"/>
        <w:rPr>
          <w:sz w:val="20"/>
          <w:szCs w:val="20"/>
          <w:color w:val="auto"/>
        </w:rPr>
      </w:pPr>
    </w:p>
    <w:p>
      <w:pPr>
        <w:ind w:left="660" w:right="160" w:firstLine="1292"/>
        <w:spacing w:after="0" w:line="248" w:lineRule="auto"/>
        <w:tabs>
          <w:tab w:leader="none" w:pos="2599"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91" w:lineRule="exact"/>
        <w:rPr>
          <w:rFonts w:ascii="Arial" w:cs="Arial" w:eastAsia="Arial" w:hAnsi="Arial"/>
          <w:sz w:val="22"/>
          <w:szCs w:val="22"/>
          <w:color w:val="010000"/>
        </w:rPr>
      </w:pPr>
    </w:p>
    <w:p>
      <w:pPr>
        <w:ind w:left="660" w:right="120" w:firstLine="1292"/>
        <w:spacing w:after="0" w:line="253" w:lineRule="auto"/>
        <w:tabs>
          <w:tab w:leader="none" w:pos="2599" w:val="left"/>
        </w:tabs>
        <w:numPr>
          <w:ilvl w:val="0"/>
          <w:numId w:val="154"/>
        </w:numPr>
        <w:rPr>
          <w:rFonts w:ascii="Arial" w:cs="Arial" w:eastAsia="Arial" w:hAnsi="Arial"/>
          <w:sz w:val="22"/>
          <w:szCs w:val="22"/>
          <w:color w:val="010000"/>
        </w:rPr>
      </w:pPr>
      <w:r>
        <w:rPr>
          <w:rFonts w:ascii="Arial" w:cs="Arial" w:eastAsia="Arial" w:hAnsi="Arial"/>
          <w:sz w:val="22"/>
          <w:szCs w:val="22"/>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57" w:name="page58"/>
    <w:bookmarkEnd w:id="57"/>
    <w:p>
      <w:pPr>
        <w:spacing w:after="0" w:line="204" w:lineRule="exact"/>
        <w:rPr>
          <w:sz w:val="20"/>
          <w:szCs w:val="20"/>
          <w:color w:val="auto"/>
        </w:rPr>
      </w:pPr>
    </w:p>
    <w:p>
      <w:pPr>
        <w:ind w:left="660" w:right="780" w:firstLine="1292"/>
        <w:spacing w:after="0" w:line="263" w:lineRule="auto"/>
        <w:tabs>
          <w:tab w:leader="none" w:pos="2599" w:val="left"/>
        </w:tabs>
        <w:numPr>
          <w:ilvl w:val="0"/>
          <w:numId w:val="155"/>
        </w:numPr>
        <w:rPr>
          <w:rFonts w:ascii="Arial" w:cs="Arial" w:eastAsia="Arial" w:hAnsi="Arial"/>
          <w:sz w:val="22"/>
          <w:szCs w:val="22"/>
          <w:color w:val="010000"/>
        </w:rPr>
      </w:pPr>
      <w:r>
        <w:rPr>
          <w:rFonts w:ascii="Arial" w:cs="Arial" w:eastAsia="Arial" w:hAnsi="Arial"/>
          <w:sz w:val="22"/>
          <w:szCs w:val="22"/>
          <w:color w:val="auto"/>
        </w:rPr>
        <w:t>the grant or exercise price with respect to any Option, SAR, Performance Award, Dividend Equivalent or Share Payment.</w:t>
      </w:r>
    </w:p>
    <w:p>
      <w:pPr>
        <w:spacing w:after="0" w:line="17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9"/>
          <w:szCs w:val="19"/>
          <w:i w:val="1"/>
          <w:iCs w:val="1"/>
          <w:color w:val="auto"/>
        </w:rPr>
        <w:t>Compensation—Stock</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w:t>
      </w:r>
      <w:r>
        <w:rPr>
          <w:rFonts w:ascii="Arial" w:cs="Arial" w:eastAsia="Arial" w:hAnsi="Arial"/>
          <w:sz w:val="19"/>
          <w:szCs w:val="19"/>
          <w:color w:val="auto"/>
        </w:rPr>
        <w:t>, or any successor accounting standard, such adjustment by the Committee shall be required.</w:t>
      </w:r>
    </w:p>
    <w:p>
      <w:pPr>
        <w:spacing w:after="0" w:line="133" w:lineRule="exact"/>
        <w:rPr>
          <w:sz w:val="20"/>
          <w:szCs w:val="20"/>
          <w:color w:val="auto"/>
        </w:rPr>
      </w:pPr>
    </w:p>
    <w:p>
      <w:pPr>
        <w:ind w:firstLine="1032"/>
        <w:spacing w:after="0" w:line="263" w:lineRule="auto"/>
        <w:rPr>
          <w:sz w:val="20"/>
          <w:szCs w:val="20"/>
          <w:color w:val="auto"/>
        </w:rPr>
      </w:pPr>
      <w:r>
        <w:rPr>
          <w:rFonts w:ascii="Arial" w:cs="Arial" w:eastAsia="Arial" w:hAnsi="Arial"/>
          <w:sz w:val="21"/>
          <w:szCs w:val="21"/>
          <w:color w:val="010000"/>
        </w:rPr>
        <w:t>(ii)</w:t>
      </w:r>
      <w:r>
        <w:rPr>
          <w:rFonts w:ascii="Arial" w:cs="Arial" w:eastAsia="Arial" w:hAnsi="Arial"/>
          <w:sz w:val="21"/>
          <w:szCs w:val="21"/>
          <w:color w:val="000000"/>
        </w:rPr>
        <w:t>Subject to Section 9.3(e), in the event of any corporate transaction or other event described in Section 9.3(a) which</w:t>
      </w:r>
      <w:r>
        <w:rPr>
          <w:rFonts w:ascii="Arial" w:cs="Arial" w:eastAsia="Arial" w:hAnsi="Arial"/>
          <w:sz w:val="21"/>
          <w:szCs w:val="21"/>
          <w:color w:val="010000"/>
        </w:rPr>
        <w:t xml:space="preserve"> </w:t>
      </w:r>
      <w:r>
        <w:rPr>
          <w:rFonts w:ascii="Arial" w:cs="Arial" w:eastAsia="Arial" w:hAnsi="Arial"/>
          <w:sz w:val="21"/>
          <w:szCs w:val="21"/>
          <w:color w:val="000000"/>
        </w:rPr>
        <w:t>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175" w:lineRule="exact"/>
        <w:rPr>
          <w:sz w:val="20"/>
          <w:szCs w:val="20"/>
          <w:color w:val="auto"/>
        </w:rPr>
      </w:pPr>
    </w:p>
    <w:p>
      <w:pPr>
        <w:ind w:right="20" w:firstLine="972"/>
        <w:spacing w:after="0" w:line="260" w:lineRule="auto"/>
        <w:rPr>
          <w:sz w:val="20"/>
          <w:szCs w:val="20"/>
          <w:color w:val="auto"/>
        </w:rPr>
      </w:pPr>
      <w:r>
        <w:rPr>
          <w:rFonts w:ascii="Arial" w:cs="Arial" w:eastAsia="Arial" w:hAnsi="Arial"/>
          <w:sz w:val="21"/>
          <w:szCs w:val="21"/>
          <w:color w:val="010000"/>
        </w:rPr>
        <w:t>(iii)</w:t>
      </w:r>
      <w:r>
        <w:rPr>
          <w:rFonts w:ascii="Arial" w:cs="Arial" w:eastAsia="Arial" w:hAnsi="Arial"/>
          <w:sz w:val="21"/>
          <w:szCs w:val="21"/>
          <w:color w:val="000000"/>
        </w:rPr>
        <w:t>Subject to Section 9.3(e), in the event of any corporate transaction or other event described in Section 9.3(a) or</w:t>
      </w:r>
      <w:r>
        <w:rPr>
          <w:rFonts w:ascii="Arial" w:cs="Arial" w:eastAsia="Arial" w:hAnsi="Arial"/>
          <w:sz w:val="21"/>
          <w:szCs w:val="21"/>
          <w:color w:val="010000"/>
        </w:rPr>
        <w:t xml:space="preserve"> </w:t>
      </w:r>
      <w:r>
        <w:rPr>
          <w:rFonts w:ascii="Arial" w:cs="Arial" w:eastAsia="Arial" w:hAnsi="Arial"/>
          <w:sz w:val="21"/>
          <w:szCs w:val="21"/>
          <w:color w:val="000000"/>
        </w:rPr>
        <w:t>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80" w:lineRule="exact"/>
        <w:rPr>
          <w:sz w:val="20"/>
          <w:szCs w:val="20"/>
          <w:color w:val="auto"/>
        </w:rPr>
      </w:pPr>
    </w:p>
    <w:p>
      <w:pPr>
        <w:ind w:left="660" w:firstLine="1292"/>
        <w:spacing w:after="0" w:line="294" w:lineRule="auto"/>
        <w:tabs>
          <w:tab w:leader="none" w:pos="2599"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149" w:lineRule="exact"/>
        <w:rPr>
          <w:rFonts w:ascii="Arial" w:cs="Arial" w:eastAsia="Arial" w:hAnsi="Arial"/>
          <w:sz w:val="19"/>
          <w:szCs w:val="19"/>
          <w:color w:val="010000"/>
        </w:rPr>
      </w:pPr>
    </w:p>
    <w:p>
      <w:pPr>
        <w:jc w:val="both"/>
        <w:ind w:left="660" w:right="120" w:firstLine="1292"/>
        <w:spacing w:after="0" w:line="312" w:lineRule="auto"/>
        <w:tabs>
          <w:tab w:leader="none" w:pos="2599"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133" w:lineRule="exact"/>
        <w:rPr>
          <w:rFonts w:ascii="Arial" w:cs="Arial" w:eastAsia="Arial" w:hAnsi="Arial"/>
          <w:sz w:val="19"/>
          <w:szCs w:val="19"/>
          <w:color w:val="010000"/>
        </w:rPr>
      </w:pPr>
    </w:p>
    <w:p>
      <w:pPr>
        <w:jc w:val="both"/>
        <w:ind w:left="660" w:right="180" w:firstLine="1292"/>
        <w:spacing w:after="0" w:line="265" w:lineRule="auto"/>
        <w:tabs>
          <w:tab w:leader="none" w:pos="2599" w:val="left"/>
        </w:tabs>
        <w:numPr>
          <w:ilvl w:val="0"/>
          <w:numId w:val="156"/>
        </w:numPr>
        <w:rPr>
          <w:rFonts w:ascii="Arial" w:cs="Arial" w:eastAsia="Arial" w:hAnsi="Arial"/>
          <w:sz w:val="21"/>
          <w:szCs w:val="21"/>
          <w:color w:val="010000"/>
        </w:rPr>
      </w:pPr>
      <w:r>
        <w:rPr>
          <w:rFonts w:ascii="Arial" w:cs="Arial" w:eastAsia="Arial" w:hAnsi="Arial"/>
          <w:sz w:val="21"/>
          <w:szCs w:val="21"/>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4" w:lineRule="exact"/>
        <w:rPr>
          <w:sz w:val="20"/>
          <w:szCs w:val="20"/>
          <w:color w:val="auto"/>
        </w:rPr>
      </w:pPr>
    </w:p>
    <w:p>
      <w:pPr>
        <w:ind w:left="660" w:right="120"/>
        <w:spacing w:after="0" w:line="253" w:lineRule="auto"/>
        <w:rPr>
          <w:sz w:val="20"/>
          <w:szCs w:val="20"/>
          <w:color w:val="auto"/>
        </w:rPr>
      </w:pPr>
      <w:r>
        <w:rPr>
          <w:rFonts w:ascii="Arial" w:cs="Arial" w:eastAsia="Arial" w:hAnsi="Arial"/>
          <w:sz w:val="22"/>
          <w:szCs w:val="22"/>
          <w:color w:val="auto"/>
        </w:rPr>
        <w:t>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185" w:lineRule="exact"/>
        <w:rPr>
          <w:sz w:val="20"/>
          <w:szCs w:val="20"/>
          <w:color w:val="auto"/>
        </w:rPr>
      </w:pPr>
    </w:p>
    <w:p>
      <w:pPr>
        <w:ind w:left="660" w:firstLine="1292"/>
        <w:spacing w:after="0" w:line="294" w:lineRule="auto"/>
        <w:tabs>
          <w:tab w:leader="none" w:pos="2599" w:val="left"/>
        </w:tabs>
        <w:numPr>
          <w:ilvl w:val="0"/>
          <w:numId w:val="157"/>
        </w:numPr>
        <w:rPr>
          <w:rFonts w:ascii="Arial" w:cs="Arial" w:eastAsia="Arial" w:hAnsi="Arial"/>
          <w:sz w:val="19"/>
          <w:szCs w:val="19"/>
          <w:color w:val="010000"/>
        </w:rPr>
      </w:pPr>
      <w:r>
        <w:rPr>
          <w:rFonts w:ascii="Arial" w:cs="Arial" w:eastAsia="Arial" w:hAnsi="Arial"/>
          <w:sz w:val="19"/>
          <w:szCs w:val="19"/>
          <w:color w:val="auto"/>
        </w:rPr>
        <w:t>In its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49" w:lineRule="exact"/>
        <w:rPr>
          <w:rFonts w:ascii="Arial" w:cs="Arial" w:eastAsia="Arial" w:hAnsi="Arial"/>
          <w:sz w:val="19"/>
          <w:szCs w:val="19"/>
          <w:color w:val="010000"/>
        </w:rPr>
      </w:pPr>
    </w:p>
    <w:p>
      <w:pPr>
        <w:ind w:left="660" w:right="240" w:firstLine="1292"/>
        <w:spacing w:after="0" w:line="247" w:lineRule="auto"/>
        <w:tabs>
          <w:tab w:leader="none" w:pos="2599"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192" w:lineRule="exact"/>
        <w:rPr>
          <w:rFonts w:ascii="Arial" w:cs="Arial" w:eastAsia="Arial" w:hAnsi="Arial"/>
          <w:sz w:val="22"/>
          <w:szCs w:val="22"/>
          <w:color w:val="010000"/>
        </w:rPr>
      </w:pPr>
    </w:p>
    <w:p>
      <w:pPr>
        <w:ind w:left="660" w:firstLine="1292"/>
        <w:spacing w:after="0" w:line="302" w:lineRule="auto"/>
        <w:tabs>
          <w:tab w:leader="none" w:pos="2599" w:val="left"/>
        </w:tabs>
        <w:numPr>
          <w:ilvl w:val="0"/>
          <w:numId w:val="157"/>
        </w:numPr>
        <w:rPr>
          <w:rFonts w:ascii="Arial" w:cs="Arial" w:eastAsia="Arial" w:hAnsi="Arial"/>
          <w:sz w:val="19"/>
          <w:szCs w:val="19"/>
          <w:color w:val="010000"/>
        </w:rPr>
      </w:pPr>
      <w:r>
        <w:rPr>
          <w:rFonts w:ascii="Arial" w:cs="Arial" w:eastAsia="Arial" w:hAnsi="Arial"/>
          <w:sz w:val="19"/>
          <w:szCs w:val="19"/>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142" w:lineRule="exact"/>
        <w:rPr>
          <w:rFonts w:ascii="Arial" w:cs="Arial" w:eastAsia="Arial" w:hAnsi="Arial"/>
          <w:sz w:val="19"/>
          <w:szCs w:val="19"/>
          <w:color w:val="010000"/>
        </w:rPr>
      </w:pPr>
    </w:p>
    <w:p>
      <w:pPr>
        <w:ind w:left="660" w:right="420" w:firstLine="1292"/>
        <w:spacing w:after="0" w:line="263" w:lineRule="auto"/>
        <w:tabs>
          <w:tab w:leader="none" w:pos="2599"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In its discretion, and on such terms and conditions as it deems appropriate, the Committee may make adjustments to the Performance Objectives of any outstanding award.</w:t>
      </w:r>
    </w:p>
    <w:p>
      <w:pPr>
        <w:spacing w:after="0" w:line="175" w:lineRule="exact"/>
        <w:rPr>
          <w:sz w:val="20"/>
          <w:szCs w:val="20"/>
          <w:color w:val="auto"/>
        </w:rPr>
      </w:pPr>
    </w:p>
    <w:p>
      <w:pPr>
        <w:ind w:right="20" w:firstLine="984"/>
        <w:spacing w:after="0" w:line="260" w:lineRule="auto"/>
        <w:rPr>
          <w:sz w:val="20"/>
          <w:szCs w:val="20"/>
          <w:color w:val="auto"/>
        </w:rPr>
      </w:pPr>
      <w:r>
        <w:rPr>
          <w:rFonts w:ascii="Arial" w:cs="Arial" w:eastAsia="Arial" w:hAnsi="Arial"/>
          <w:sz w:val="21"/>
          <w:szCs w:val="21"/>
          <w:color w:val="010000"/>
        </w:rPr>
        <w:t>(iv)</w:t>
      </w:r>
      <w:r>
        <w:rPr>
          <w:rFonts w:ascii="Arial" w:cs="Arial" w:eastAsia="Arial" w:hAnsi="Arial"/>
          <w:sz w:val="21"/>
          <w:szCs w:val="21"/>
          <w:color w:val="000000"/>
        </w:rPr>
        <w:t>Notwithstanding anything in Sections 9.3(a), 9.3(c) or 9.3(e) to the contrary, except to the extent an award</w:t>
      </w:r>
      <w:r>
        <w:rPr>
          <w:rFonts w:ascii="Arial" w:cs="Arial" w:eastAsia="Arial" w:hAnsi="Arial"/>
          <w:sz w:val="21"/>
          <w:szCs w:val="21"/>
          <w:color w:val="010000"/>
        </w:rPr>
        <w:t xml:space="preserve"> </w:t>
      </w:r>
      <w:r>
        <w:rPr>
          <w:rFonts w:ascii="Arial" w:cs="Arial" w:eastAsia="Arial" w:hAnsi="Arial"/>
          <w:sz w:val="21"/>
          <w:szCs w:val="21"/>
          <w:color w:val="000000"/>
        </w:rPr>
        <w:t>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40" w:right="359" w:bottom="1440" w:gutter="0" w:footer="0" w:header="0"/>
        </w:sectPr>
      </w:pPr>
    </w:p>
    <w:bookmarkStart w:id="59" w:name="page60"/>
    <w:bookmarkEnd w:id="59"/>
    <w:p>
      <w:pPr>
        <w:spacing w:after="0" w:line="204" w:lineRule="exact"/>
        <w:rPr>
          <w:sz w:val="20"/>
          <w:szCs w:val="20"/>
          <w:color w:val="auto"/>
        </w:rPr>
      </w:pPr>
    </w:p>
    <w:p>
      <w:pPr>
        <w:ind w:firstLine="1044"/>
        <w:spacing w:after="0" w:line="292" w:lineRule="auto"/>
        <w:rPr>
          <w:sz w:val="20"/>
          <w:szCs w:val="20"/>
          <w:color w:val="auto"/>
        </w:rPr>
      </w:pPr>
      <w:r>
        <w:rPr>
          <w:rFonts w:ascii="Arial" w:cs="Arial" w:eastAsia="Arial" w:hAnsi="Arial"/>
          <w:sz w:val="19"/>
          <w:szCs w:val="19"/>
          <w:color w:val="010000"/>
        </w:rPr>
        <w:t>(v)</w:t>
      </w:r>
      <w:r>
        <w:rPr>
          <w:rFonts w:ascii="Arial" w:cs="Arial" w:eastAsia="Arial" w:hAnsi="Arial"/>
          <w:sz w:val="19"/>
          <w:szCs w:val="19"/>
          <w:color w:val="000000"/>
        </w:rPr>
        <w:t>With respect to an award intended to qualify as performance-based compensation under Section 162(m), no</w:t>
      </w:r>
      <w:r>
        <w:rPr>
          <w:rFonts w:ascii="Arial" w:cs="Arial" w:eastAsia="Arial" w:hAnsi="Arial"/>
          <w:sz w:val="19"/>
          <w:szCs w:val="19"/>
          <w:color w:val="010000"/>
        </w:rPr>
        <w:t xml:space="preserve"> </w:t>
      </w:r>
      <w:r>
        <w:rPr>
          <w:rFonts w:ascii="Arial" w:cs="Arial" w:eastAsia="Arial" w:hAnsi="Arial"/>
          <w:sz w:val="19"/>
          <w:szCs w:val="19"/>
          <w:color w:val="000000"/>
        </w:rPr>
        <w:t>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51" w:lineRule="exact"/>
        <w:rPr>
          <w:sz w:val="20"/>
          <w:szCs w:val="20"/>
          <w:color w:val="auto"/>
        </w:rPr>
      </w:pPr>
    </w:p>
    <w:p>
      <w:pPr>
        <w:ind w:left="1220" w:hanging="564"/>
        <w:spacing w:after="0"/>
        <w:tabs>
          <w:tab w:leader="none" w:pos="1220"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Approval of Plan by Shareholders</w:t>
      </w:r>
    </w:p>
    <w:p>
      <w:pPr>
        <w:spacing w:after="0" w:line="21" w:lineRule="exact"/>
        <w:rPr>
          <w:sz w:val="20"/>
          <w:szCs w:val="20"/>
          <w:color w:val="auto"/>
        </w:rPr>
      </w:pPr>
    </w:p>
    <w:p>
      <w:pPr>
        <w:ind w:right="240" w:firstLine="656"/>
        <w:spacing w:after="0" w:line="245" w:lineRule="auto"/>
        <w:tabs>
          <w:tab w:leader="none" w:pos="75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spacing w:after="0" w:line="193" w:lineRule="exact"/>
        <w:rPr>
          <w:sz w:val="20"/>
          <w:szCs w:val="20"/>
          <w:color w:val="auto"/>
        </w:rPr>
      </w:pPr>
    </w:p>
    <w:p>
      <w:pPr>
        <w:ind w:left="1200" w:hanging="544"/>
        <w:spacing w:after="0"/>
        <w:tabs>
          <w:tab w:leader="none" w:pos="1200" w:val="left"/>
        </w:tabs>
        <w:numPr>
          <w:ilvl w:val="0"/>
          <w:numId w:val="160"/>
        </w:numPr>
        <w:rPr>
          <w:rFonts w:ascii="Arial" w:cs="Arial" w:eastAsia="Arial" w:hAnsi="Arial"/>
          <w:sz w:val="22"/>
          <w:szCs w:val="22"/>
          <w:color w:val="010000"/>
        </w:rPr>
      </w:pPr>
      <w:r>
        <w:rPr>
          <w:rFonts w:ascii="Arial" w:cs="Arial" w:eastAsia="Arial" w:hAnsi="Arial"/>
          <w:sz w:val="22"/>
          <w:szCs w:val="22"/>
          <w:u w:val="single" w:color="auto"/>
          <w:color w:val="auto"/>
        </w:rPr>
        <w:t>Tax Withholding</w:t>
      </w:r>
    </w:p>
    <w:p>
      <w:pPr>
        <w:spacing w:after="0" w:line="21" w:lineRule="exact"/>
        <w:rPr>
          <w:sz w:val="20"/>
          <w:szCs w:val="20"/>
          <w:color w:val="auto"/>
        </w:rPr>
      </w:pPr>
    </w:p>
    <w:p>
      <w:pPr>
        <w:ind w:right="20" w:firstLine="656"/>
        <w:spacing w:after="0" w:line="256" w:lineRule="auto"/>
        <w:tabs>
          <w:tab w:leader="none" w:pos="756"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87" w:lineRule="exact"/>
        <w:rPr>
          <w:sz w:val="20"/>
          <w:szCs w:val="20"/>
          <w:color w:val="auto"/>
        </w:rPr>
      </w:pPr>
    </w:p>
    <w:p>
      <w:pPr>
        <w:ind w:left="1200" w:hanging="544"/>
        <w:spacing w:after="0"/>
        <w:tabs>
          <w:tab w:leader="none" w:pos="1200" w:val="left"/>
        </w:tabs>
        <w:numPr>
          <w:ilvl w:val="0"/>
          <w:numId w:val="162"/>
        </w:numPr>
        <w:rPr>
          <w:rFonts w:ascii="Arial" w:cs="Arial" w:eastAsia="Arial" w:hAnsi="Arial"/>
          <w:sz w:val="22"/>
          <w:szCs w:val="22"/>
          <w:color w:val="010000"/>
        </w:rPr>
      </w:pPr>
      <w:r>
        <w:rPr>
          <w:rFonts w:ascii="Arial" w:cs="Arial" w:eastAsia="Arial" w:hAnsi="Arial"/>
          <w:sz w:val="22"/>
          <w:szCs w:val="22"/>
          <w:u w:val="single" w:color="auto"/>
          <w:color w:val="auto"/>
        </w:rPr>
        <w:t>Limitations Applicable to Section 16 Persons and Performance-Based Compensation</w:t>
      </w:r>
    </w:p>
    <w:p>
      <w:pPr>
        <w:spacing w:after="0" w:line="21" w:lineRule="exact"/>
        <w:rPr>
          <w:sz w:val="20"/>
          <w:szCs w:val="20"/>
          <w:color w:val="auto"/>
        </w:rPr>
      </w:pPr>
    </w:p>
    <w:p>
      <w:pPr>
        <w:ind w:right="60" w:firstLine="656"/>
        <w:spacing w:after="0" w:line="256" w:lineRule="auto"/>
        <w:tabs>
          <w:tab w:leader="none" w:pos="756" w:val="left"/>
        </w:tabs>
        <w:numPr>
          <w:ilvl w:val="0"/>
          <w:numId w:val="163"/>
        </w:numPr>
        <w:rPr>
          <w:rFonts w:ascii="Arial" w:cs="Arial" w:eastAsia="Arial" w:hAnsi="Arial"/>
          <w:sz w:val="21"/>
          <w:szCs w:val="21"/>
          <w:color w:val="auto"/>
        </w:rPr>
      </w:pPr>
      <w:r>
        <w:rPr>
          <w:rFonts w:ascii="Arial" w:cs="Arial" w:eastAsia="Arial" w:hAnsi="Arial"/>
          <w:sz w:val="21"/>
          <w:szCs w:val="21"/>
          <w:color w:val="auto"/>
        </w:rPr>
        <w:t>Notwithstanding any other provision of the Plan, the Plan and any Option, SAR, Performance Award, Dividend Equivalent or Share Payment granted, or Restricted Share or Deferred Share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 (4)(C) of the Code shall be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60" w:name="page61"/>
    <w:bookmarkEnd w:id="60"/>
    <w:p>
      <w:pPr>
        <w:jc w:val="both"/>
        <w:ind w:right="180"/>
        <w:spacing w:after="0" w:line="253" w:lineRule="auto"/>
        <w:rPr>
          <w:sz w:val="20"/>
          <w:szCs w:val="20"/>
          <w:color w:val="auto"/>
        </w:rPr>
      </w:pPr>
      <w:r>
        <w:rPr>
          <w:rFonts w:ascii="Arial" w:cs="Arial" w:eastAsia="Arial" w:hAnsi="Arial"/>
          <w:sz w:val="22"/>
          <w:szCs w:val="22"/>
          <w:color w:val="auto"/>
        </w:rPr>
        <w:t>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85" w:lineRule="exact"/>
        <w:rPr>
          <w:sz w:val="20"/>
          <w:szCs w:val="20"/>
          <w:color w:val="auto"/>
        </w:rPr>
      </w:pPr>
    </w:p>
    <w:p>
      <w:pPr>
        <w:ind w:left="1220" w:hanging="564"/>
        <w:spacing w:after="0"/>
        <w:tabs>
          <w:tab w:leader="none" w:pos="1220" w:val="left"/>
        </w:tabs>
        <w:numPr>
          <w:ilvl w:val="0"/>
          <w:numId w:val="164"/>
        </w:numPr>
        <w:rPr>
          <w:rFonts w:ascii="Arial" w:cs="Arial" w:eastAsia="Arial" w:hAnsi="Arial"/>
          <w:sz w:val="22"/>
          <w:szCs w:val="22"/>
          <w:color w:val="010000"/>
        </w:rPr>
      </w:pPr>
      <w:r>
        <w:rPr>
          <w:rFonts w:ascii="Arial" w:cs="Arial" w:eastAsia="Arial" w:hAnsi="Arial"/>
          <w:sz w:val="22"/>
          <w:szCs w:val="22"/>
          <w:u w:val="single" w:color="auto"/>
          <w:color w:val="auto"/>
        </w:rPr>
        <w:t>Clawback Policy</w:t>
      </w:r>
    </w:p>
    <w:p>
      <w:pPr>
        <w:spacing w:after="0" w:line="21" w:lineRule="exact"/>
        <w:rPr>
          <w:sz w:val="20"/>
          <w:szCs w:val="20"/>
          <w:color w:val="auto"/>
        </w:rPr>
      </w:pPr>
    </w:p>
    <w:p>
      <w:pPr>
        <w:jc w:val="both"/>
        <w:ind w:right="140" w:firstLine="656"/>
        <w:spacing w:after="0" w:line="245" w:lineRule="auto"/>
        <w:tabs>
          <w:tab w:leader="none" w:pos="75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spacing w:after="0" w:line="193" w:lineRule="exact"/>
        <w:rPr>
          <w:sz w:val="20"/>
          <w:szCs w:val="20"/>
          <w:color w:val="auto"/>
        </w:rPr>
      </w:pPr>
    </w:p>
    <w:p>
      <w:pPr>
        <w:ind w:left="1220" w:hanging="564"/>
        <w:spacing w:after="0"/>
        <w:tabs>
          <w:tab w:leader="none" w:pos="1220" w:val="left"/>
        </w:tabs>
        <w:numPr>
          <w:ilvl w:val="0"/>
          <w:numId w:val="166"/>
        </w:numPr>
        <w:rPr>
          <w:rFonts w:ascii="Arial" w:cs="Arial" w:eastAsia="Arial" w:hAnsi="Arial"/>
          <w:sz w:val="22"/>
          <w:szCs w:val="22"/>
          <w:color w:val="010000"/>
        </w:rPr>
      </w:pPr>
      <w:r>
        <w:rPr>
          <w:rFonts w:ascii="Arial" w:cs="Arial" w:eastAsia="Arial" w:hAnsi="Arial"/>
          <w:sz w:val="22"/>
          <w:szCs w:val="22"/>
          <w:u w:val="single" w:color="auto"/>
          <w:color w:val="auto"/>
        </w:rPr>
        <w:t>Section 409A</w:t>
      </w:r>
    </w:p>
    <w:p>
      <w:pPr>
        <w:spacing w:after="0" w:line="21" w:lineRule="exact"/>
        <w:rPr>
          <w:rFonts w:ascii="Arial" w:cs="Arial" w:eastAsia="Arial" w:hAnsi="Arial"/>
          <w:sz w:val="22"/>
          <w:szCs w:val="22"/>
          <w:color w:val="010000"/>
        </w:rPr>
      </w:pPr>
    </w:p>
    <w:p>
      <w:pPr>
        <w:ind w:left="66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2" w:lineRule="exact"/>
        <w:rPr>
          <w:sz w:val="20"/>
          <w:szCs w:val="20"/>
          <w:color w:val="auto"/>
        </w:rPr>
      </w:pPr>
    </w:p>
    <w:p>
      <w:pPr>
        <w:ind w:right="220" w:firstLine="1092"/>
        <w:spacing w:after="0" w:line="292" w:lineRule="auto"/>
        <w:rPr>
          <w:sz w:val="20"/>
          <w:szCs w:val="20"/>
          <w:color w:val="auto"/>
        </w:rPr>
      </w:pPr>
      <w:r>
        <w:rPr>
          <w:rFonts w:ascii="Arial" w:cs="Arial" w:eastAsia="Arial" w:hAnsi="Arial"/>
          <w:sz w:val="19"/>
          <w:szCs w:val="19"/>
          <w:color w:val="010000"/>
        </w:rPr>
        <w:t>(i)</w:t>
      </w:r>
      <w:r>
        <w:rPr>
          <w:rFonts w:ascii="Arial" w:cs="Arial" w:eastAsia="Arial" w:hAnsi="Arial"/>
          <w:sz w:val="19"/>
          <w:szCs w:val="19"/>
          <w:color w:val="000000"/>
        </w:rPr>
        <w:t>Awards made under this Plan are intended to comply with or be exempt from Section 409A of the Code, and</w:t>
      </w:r>
      <w:r>
        <w:rPr>
          <w:rFonts w:ascii="Arial" w:cs="Arial" w:eastAsia="Arial" w:hAnsi="Arial"/>
          <w:sz w:val="19"/>
          <w:szCs w:val="19"/>
          <w:color w:val="010000"/>
        </w:rPr>
        <w:t xml:space="preserve"> </w:t>
      </w:r>
      <w:r>
        <w:rPr>
          <w:rFonts w:ascii="Arial" w:cs="Arial" w:eastAsia="Arial" w:hAnsi="Arial"/>
          <w:sz w:val="19"/>
          <w:szCs w:val="19"/>
          <w:color w:val="000000"/>
        </w:rPr>
        <w:t>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151" w:lineRule="exact"/>
        <w:rPr>
          <w:sz w:val="20"/>
          <w:szCs w:val="20"/>
          <w:color w:val="auto"/>
        </w:rPr>
      </w:pPr>
    </w:p>
    <w:p>
      <w:pPr>
        <w:ind w:right="40" w:firstLine="1032"/>
        <w:spacing w:after="0" w:line="294" w:lineRule="auto"/>
        <w:rPr>
          <w:sz w:val="20"/>
          <w:szCs w:val="20"/>
          <w:color w:val="auto"/>
        </w:rPr>
      </w:pPr>
      <w:r>
        <w:rPr>
          <w:rFonts w:ascii="Arial" w:cs="Arial" w:eastAsia="Arial" w:hAnsi="Arial"/>
          <w:sz w:val="19"/>
          <w:szCs w:val="19"/>
          <w:color w:val="010000"/>
        </w:rPr>
        <w:t>(ii)</w:t>
      </w:r>
      <w:r>
        <w:rPr>
          <w:rFonts w:ascii="Arial" w:cs="Arial" w:eastAsia="Arial" w:hAnsi="Arial"/>
          <w:sz w:val="19"/>
          <w:szCs w:val="19"/>
          <w:color w:val="000000"/>
        </w:rPr>
        <w:t>Unless the Committee provides otherwise, each award of Deferred Shares (including an award of Deferred Shares</w:t>
      </w:r>
      <w:r>
        <w:rPr>
          <w:rFonts w:ascii="Arial" w:cs="Arial" w:eastAsia="Arial" w:hAnsi="Arial"/>
          <w:sz w:val="19"/>
          <w:szCs w:val="19"/>
          <w:color w:val="010000"/>
        </w:rPr>
        <w:t xml:space="preserve"> </w:t>
      </w:r>
      <w:r>
        <w:rPr>
          <w:rFonts w:ascii="Arial" w:cs="Arial" w:eastAsia="Arial" w:hAnsi="Arial"/>
          <w:sz w:val="19"/>
          <w:szCs w:val="19"/>
          <w:color w:val="000000"/>
        </w:rPr>
        <w:t>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 that is a Performance Award) is intended to be subject to Section 409A of the Code, the applicable award agreement shall include terms that are designed to satisfy the requirements of Section 409A of the Code.</w:t>
      </w:r>
    </w:p>
    <w:p>
      <w:pPr>
        <w:spacing w:after="0" w:line="149" w:lineRule="exact"/>
        <w:rPr>
          <w:sz w:val="20"/>
          <w:szCs w:val="20"/>
          <w:color w:val="auto"/>
        </w:rPr>
      </w:pPr>
    </w:p>
    <w:p>
      <w:pPr>
        <w:ind w:right="140" w:firstLine="972"/>
        <w:spacing w:after="0" w:line="294" w:lineRule="auto"/>
        <w:rPr>
          <w:sz w:val="20"/>
          <w:szCs w:val="20"/>
          <w:color w:val="auto"/>
        </w:rPr>
      </w:pPr>
      <w:r>
        <w:rPr>
          <w:rFonts w:ascii="Arial" w:cs="Arial" w:eastAsia="Arial" w:hAnsi="Arial"/>
          <w:sz w:val="19"/>
          <w:szCs w:val="19"/>
          <w:color w:val="010000"/>
        </w:rPr>
        <w:t>(iii)</w:t>
      </w:r>
      <w:r>
        <w:rPr>
          <w:rFonts w:ascii="Arial" w:cs="Arial" w:eastAsia="Arial" w:hAnsi="Arial"/>
          <w:sz w:val="19"/>
          <w:szCs w:val="19"/>
          <w:color w:val="000000"/>
        </w:rPr>
        <w:t>If the Optionee or Grantee is identified by the Company as a “specified employee” within the meaning of Section</w:t>
      </w:r>
      <w:r>
        <w:rPr>
          <w:rFonts w:ascii="Arial" w:cs="Arial" w:eastAsia="Arial" w:hAnsi="Arial"/>
          <w:sz w:val="19"/>
          <w:szCs w:val="19"/>
          <w:color w:val="010000"/>
        </w:rPr>
        <w:t xml:space="preserve"> </w:t>
      </w:r>
      <w:r>
        <w:rPr>
          <w:rFonts w:ascii="Arial" w:cs="Arial" w:eastAsia="Arial" w:hAnsi="Arial"/>
          <w:sz w:val="19"/>
          <w:szCs w:val="19"/>
          <w:color w:val="000000"/>
        </w:rPr>
        <w:t>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49" w:lineRule="exact"/>
        <w:rPr>
          <w:sz w:val="20"/>
          <w:szCs w:val="20"/>
          <w:color w:val="auto"/>
        </w:rPr>
      </w:pPr>
    </w:p>
    <w:p>
      <w:pPr>
        <w:ind w:left="1220" w:hanging="564"/>
        <w:spacing w:after="0"/>
        <w:tabs>
          <w:tab w:leader="none" w:pos="1220" w:val="left"/>
        </w:tabs>
        <w:numPr>
          <w:ilvl w:val="0"/>
          <w:numId w:val="167"/>
        </w:numPr>
        <w:rPr>
          <w:rFonts w:ascii="Arial" w:cs="Arial" w:eastAsia="Arial" w:hAnsi="Arial"/>
          <w:sz w:val="22"/>
          <w:szCs w:val="22"/>
          <w:color w:val="010000"/>
        </w:rPr>
      </w:pPr>
      <w:r>
        <w:rPr>
          <w:rFonts w:ascii="Arial" w:cs="Arial" w:eastAsia="Arial" w:hAnsi="Arial"/>
          <w:sz w:val="22"/>
          <w:szCs w:val="22"/>
          <w:u w:val="single" w:color="auto"/>
          <w:color w:val="auto"/>
        </w:rPr>
        <w:t>Effect of Plan Upon Options and Compensation Plans</w:t>
      </w:r>
    </w:p>
    <w:p>
      <w:pPr>
        <w:spacing w:after="0" w:line="21" w:lineRule="exact"/>
        <w:rPr>
          <w:sz w:val="20"/>
          <w:szCs w:val="20"/>
          <w:color w:val="auto"/>
        </w:rPr>
      </w:pPr>
    </w:p>
    <w:p>
      <w:pPr>
        <w:jc w:val="both"/>
        <w:ind w:firstLine="656"/>
        <w:spacing w:after="0" w:line="245" w:lineRule="auto"/>
        <w:tabs>
          <w:tab w:leader="none" w:pos="75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Plan shall not affect any other compensation or incentive plans in effect for the Company or any Subsidiary. Nothing in the Plan shall be construed to limit the right of the Company (1) to establish any other forms of incentives or compensation for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61" w:name="page62"/>
    <w:bookmarkEnd w:id="61"/>
    <w:p>
      <w:pPr>
        <w:ind w:right="100"/>
        <w:spacing w:after="0" w:line="250" w:lineRule="auto"/>
        <w:rPr>
          <w:sz w:val="20"/>
          <w:szCs w:val="20"/>
          <w:color w:val="auto"/>
        </w:rPr>
      </w:pPr>
      <w:r>
        <w:rPr>
          <w:rFonts w:ascii="Arial" w:cs="Arial" w:eastAsia="Arial" w:hAnsi="Arial"/>
          <w:sz w:val="22"/>
          <w:szCs w:val="22"/>
          <w:color w:val="auto"/>
        </w:rPr>
        <w:t>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88" w:lineRule="exact"/>
        <w:rPr>
          <w:sz w:val="20"/>
          <w:szCs w:val="20"/>
          <w:color w:val="auto"/>
        </w:rPr>
      </w:pPr>
    </w:p>
    <w:p>
      <w:pPr>
        <w:ind w:left="1220" w:hanging="564"/>
        <w:spacing w:after="0"/>
        <w:tabs>
          <w:tab w:leader="none" w:pos="1220" w:val="left"/>
        </w:tabs>
        <w:numPr>
          <w:ilvl w:val="0"/>
          <w:numId w:val="169"/>
        </w:numPr>
        <w:rPr>
          <w:rFonts w:ascii="Arial" w:cs="Arial" w:eastAsia="Arial" w:hAnsi="Arial"/>
          <w:sz w:val="22"/>
          <w:szCs w:val="22"/>
          <w:color w:val="010000"/>
        </w:rPr>
      </w:pPr>
      <w:r>
        <w:rPr>
          <w:rFonts w:ascii="Arial" w:cs="Arial" w:eastAsia="Arial" w:hAnsi="Arial"/>
          <w:sz w:val="22"/>
          <w:szCs w:val="22"/>
          <w:u w:val="single" w:color="auto"/>
          <w:color w:val="auto"/>
        </w:rPr>
        <w:t>Compliance with Laws</w:t>
      </w:r>
    </w:p>
    <w:p>
      <w:pPr>
        <w:spacing w:after="0" w:line="21" w:lineRule="exact"/>
        <w:rPr>
          <w:sz w:val="20"/>
          <w:szCs w:val="20"/>
          <w:color w:val="auto"/>
        </w:rPr>
      </w:pPr>
    </w:p>
    <w:p>
      <w:pPr>
        <w:ind w:firstLine="656"/>
        <w:spacing w:after="0" w:line="285" w:lineRule="auto"/>
        <w:tabs>
          <w:tab w:leader="none" w:pos="75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This Plan, the granting and vesting of Options, SARs, Restricted Shares, Deferred Shares, Performance Awards, Dividend Equivalents or Share Payments under the Plan and the issuance 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200" w:lineRule="exact"/>
        <w:rPr>
          <w:sz w:val="20"/>
          <w:szCs w:val="20"/>
          <w:color w:val="auto"/>
        </w:rPr>
      </w:pPr>
    </w:p>
    <w:p>
      <w:pPr>
        <w:spacing w:after="0" w:line="222" w:lineRule="exact"/>
        <w:rPr>
          <w:sz w:val="20"/>
          <w:szCs w:val="20"/>
          <w:color w:val="auto"/>
        </w:rPr>
      </w:pPr>
    </w:p>
    <w:p>
      <w:pPr>
        <w:ind w:left="1220" w:hanging="564"/>
        <w:spacing w:after="0"/>
        <w:tabs>
          <w:tab w:leader="none" w:pos="1220" w:val="left"/>
        </w:tabs>
        <w:numPr>
          <w:ilvl w:val="0"/>
          <w:numId w:val="171"/>
        </w:numPr>
        <w:rPr>
          <w:rFonts w:ascii="Arial" w:cs="Arial" w:eastAsia="Arial" w:hAnsi="Arial"/>
          <w:sz w:val="22"/>
          <w:szCs w:val="22"/>
          <w:color w:val="010000"/>
        </w:rPr>
      </w:pPr>
      <w:r>
        <w:rPr>
          <w:rFonts w:ascii="Arial" w:cs="Arial" w:eastAsia="Arial" w:hAnsi="Arial"/>
          <w:sz w:val="22"/>
          <w:szCs w:val="22"/>
          <w:u w:val="single" w:color="auto"/>
          <w:color w:val="auto"/>
        </w:rPr>
        <w:t>Titles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Titles are provided herein for convenience only and are not to serve as a basis for interpretation or construction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left="1220" w:hanging="564"/>
        <w:spacing w:after="0"/>
        <w:tabs>
          <w:tab w:leader="none" w:pos="1220" w:val="left"/>
        </w:tabs>
        <w:numPr>
          <w:ilvl w:val="0"/>
          <w:numId w:val="172"/>
        </w:numPr>
        <w:rPr>
          <w:rFonts w:ascii="Arial" w:cs="Arial" w:eastAsia="Arial" w:hAnsi="Arial"/>
          <w:sz w:val="22"/>
          <w:szCs w:val="22"/>
          <w:color w:val="010000"/>
        </w:rPr>
      </w:pPr>
      <w:r>
        <w:rPr>
          <w:rFonts w:ascii="Arial" w:cs="Arial" w:eastAsia="Arial" w:hAnsi="Arial"/>
          <w:sz w:val="22"/>
          <w:szCs w:val="22"/>
          <w:u w:val="single" w:color="auto"/>
          <w:color w:val="auto"/>
        </w:rPr>
        <w:t>Governing Law</w:t>
      </w:r>
    </w:p>
    <w:p>
      <w:pPr>
        <w:spacing w:after="0" w:line="21" w:lineRule="exact"/>
        <w:rPr>
          <w:sz w:val="20"/>
          <w:szCs w:val="20"/>
          <w:color w:val="auto"/>
        </w:rPr>
      </w:pPr>
    </w:p>
    <w:p>
      <w:pPr>
        <w:ind w:right="260" w:firstLine="656"/>
        <w:spacing w:after="0" w:line="246" w:lineRule="auto"/>
        <w:tabs>
          <w:tab w:leader="none" w:pos="75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This Plan and any agreements hereunder shall be administered, interpreted and enforced under the internal laws of the State of Texas without regard to conflicts of laws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28" w:right="359" w:bottom="1440" w:gutter="0" w:footer="0" w:header="0"/>
        </w:sectPr>
      </w:pPr>
    </w:p>
    <w:bookmarkStart w:id="62" w:name="page63"/>
    <w:bookmarkEnd w:id="62"/>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 2014 EQUITY PARTICIPATION PLAN</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22"/>
          <w:szCs w:val="22"/>
          <w:b w:val="1"/>
          <w:bCs w:val="1"/>
          <w:color w:val="auto"/>
        </w:rPr>
        <w:t xml:space="preserve">WHEREAS, CIVEO CORPORATION </w:t>
      </w: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has heretofore adopted and restated the</w:t>
      </w:r>
      <w:r>
        <w:rPr>
          <w:rFonts w:ascii="Arial" w:cs="Arial" w:eastAsia="Arial" w:hAnsi="Arial"/>
          <w:sz w:val="22"/>
          <w:szCs w:val="22"/>
          <w:b w:val="1"/>
          <w:bCs w:val="1"/>
          <w:color w:val="auto"/>
        </w:rPr>
        <w:t xml:space="preserve"> CIVEO CORPORATION 2014 EQUITY PARTICIPATION PLAN </w:t>
      </w:r>
      <w:r>
        <w:rPr>
          <w:rFonts w:ascii="Arial" w:cs="Arial" w:eastAsia="Arial" w:hAnsi="Arial"/>
          <w:sz w:val="22"/>
          <w:szCs w:val="22"/>
          <w:color w:val="auto"/>
        </w:rPr>
        <w:t>(effective May 20, 2014 and as thereafter amended and restated as</w:t>
      </w:r>
      <w:r>
        <w:rPr>
          <w:rFonts w:ascii="Arial" w:cs="Arial" w:eastAsia="Arial" w:hAnsi="Arial"/>
          <w:sz w:val="22"/>
          <w:szCs w:val="22"/>
          <w:b w:val="1"/>
          <w:bCs w:val="1"/>
          <w:color w:val="auto"/>
        </w:rPr>
        <w:t xml:space="preserve"> </w:t>
      </w:r>
      <w:r>
        <w:rPr>
          <w:rFonts w:ascii="Arial" w:cs="Arial" w:eastAsia="Arial" w:hAnsi="Arial"/>
          <w:sz w:val="22"/>
          <w:szCs w:val="22"/>
          <w:color w:val="auto"/>
        </w:rPr>
        <w:t>of May 12, 2016) (the “</w:t>
      </w:r>
      <w:r>
        <w:rPr>
          <w:rFonts w:ascii="Arial" w:cs="Arial" w:eastAsia="Arial" w:hAnsi="Arial"/>
          <w:sz w:val="22"/>
          <w:szCs w:val="22"/>
          <w:b w:val="1"/>
          <w:bCs w:val="1"/>
          <w:color w:val="auto"/>
        </w:rPr>
        <w:t>Plan</w:t>
      </w:r>
      <w:r>
        <w:rPr>
          <w:rFonts w:ascii="Arial" w:cs="Arial" w:eastAsia="Arial" w:hAnsi="Arial"/>
          <w:sz w:val="22"/>
          <w:szCs w:val="22"/>
          <w:color w:val="auto"/>
        </w:rPr>
        <w:t>”) for the benefit of certain employees, directors and consultants of the Company and its subsidiaries;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amend the Plan in certain respects;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amended as follows, effective as of January 1, 2017:</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9.5 of the Plan shall be replaced in its entirety with the following:</w:t>
      </w:r>
    </w:p>
    <w:p>
      <w:pPr>
        <w:spacing w:after="0" w:line="220" w:lineRule="exact"/>
        <w:rPr>
          <w:sz w:val="20"/>
          <w:szCs w:val="20"/>
          <w:color w:val="auto"/>
        </w:rPr>
      </w:pPr>
    </w:p>
    <w:p>
      <w:pPr>
        <w:ind w:left="1300"/>
        <w:spacing w:after="0" w:line="287"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As amended hereby, the Plan is specifically ratified and reaffirmed.</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2 TO THE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OF CIVEO CORPORATION</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Civeo Corporation, a limited company organized under the laws of British Columbia, Canada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maintains the 2014 Equity Participation Plan of Civeo Corporation, as most recently amended and restated as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9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4,700,000 shares.</w:t>
      </w:r>
    </w:p>
    <w:p>
      <w:pPr>
        <w:spacing w:after="0" w:line="176"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2.1(a) of the Plan is deleted in its entirety and replaced with the following:</w:t>
      </w:r>
    </w:p>
    <w:p>
      <w:pPr>
        <w:spacing w:after="0" w:line="220" w:lineRule="exact"/>
        <w:rPr>
          <w:sz w:val="20"/>
          <w:szCs w:val="20"/>
          <w:color w:val="auto"/>
        </w:rPr>
      </w:pPr>
    </w:p>
    <w:p>
      <w:pPr>
        <w:jc w:val="both"/>
        <w:ind w:left="660" w:right="440"/>
        <w:spacing w:after="0" w:line="297" w:lineRule="auto"/>
        <w:rPr>
          <w:sz w:val="20"/>
          <w:szCs w:val="20"/>
          <w:color w:val="auto"/>
        </w:rPr>
      </w:pPr>
      <w:r>
        <w:rPr>
          <w:rFonts w:ascii="Arial" w:cs="Arial" w:eastAsia="Arial" w:hAnsi="Arial"/>
          <w:sz w:val="19"/>
          <w:szCs w:val="19"/>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sectPr>
          <w:pgSz w:w="11900" w:h="16838" w:orient="portrait"/>
          <w:cols w:equalWidth="0" w:num="1">
            <w:col w:w="11100"/>
          </w:cols>
          <w:pgMar w:left="320" w:top="1440" w:right="47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Amendment No. 3 to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2014 Equity Participation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Civeo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May 12, 2016)</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Civeo Corporation, a limited company organized under the laws of British Columbia, Canada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maintains the 2014 Equity Participation Plan of Civeo Corporation, as most recently amended and restated as of May 12, 2016 (the “</w:t>
      </w:r>
      <w:r>
        <w:rPr>
          <w:rFonts w:ascii="Arial" w:cs="Arial" w:eastAsia="Arial" w:hAnsi="Arial"/>
          <w:sz w:val="22"/>
          <w:szCs w:val="22"/>
          <w:b w:val="1"/>
          <w:bCs w:val="1"/>
          <w:color w:val="auto"/>
        </w:rPr>
        <w:t>Plan</w:t>
      </w:r>
      <w:r>
        <w:rPr>
          <w:rFonts w:ascii="Arial" w:cs="Arial" w:eastAsia="Arial" w:hAnsi="Arial"/>
          <w:sz w:val="22"/>
          <w:szCs w:val="22"/>
          <w:color w:val="auto"/>
        </w:rPr>
        <w:t>”); and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determined that, subject to and effective upon shareholder approval of the same,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should be amended to increase the aggregate number of common shares of the Company, no par value, which may be issued pursuant to awards granted thereunder by 10,000,000 shares.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subject to and effective upon shareholder approval of the same, the Plan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2.1(a) of the Plan is deleted in its entirety and replaced with the following:</w:t>
      </w:r>
    </w:p>
    <w:p>
      <w:pPr>
        <w:spacing w:after="0" w:line="220" w:lineRule="exact"/>
        <w:rPr>
          <w:sz w:val="20"/>
          <w:szCs w:val="20"/>
          <w:color w:val="auto"/>
        </w:rPr>
      </w:pPr>
    </w:p>
    <w:p>
      <w:pPr>
        <w:jc w:val="both"/>
        <w:ind w:left="660" w:right="660"/>
        <w:spacing w:after="0" w:line="247" w:lineRule="auto"/>
        <w:rPr>
          <w:sz w:val="20"/>
          <w:szCs w:val="20"/>
          <w:color w:val="auto"/>
        </w:rPr>
      </w:pPr>
      <w:r>
        <w:rPr>
          <w:rFonts w:ascii="Arial" w:cs="Arial" w:eastAsia="Arial" w:hAnsi="Arial"/>
          <w:sz w:val="22"/>
          <w:szCs w:val="22"/>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28,700,000, all of which shall be available for Incentive Options. Common Shares issuable upon exercise of such options or rights or upon any such awards may be either previously authorized but unissued shares or treasury shares.</w:t>
      </w:r>
    </w:p>
    <w:p>
      <w:pPr>
        <w:sectPr>
          <w:pgSz w:w="11900" w:h="16838" w:orient="portrait"/>
          <w:cols w:equalWidth="0" w:num="1">
            <w:col w:w="11240"/>
          </w:cols>
          <w:pgMar w:left="320" w:top="142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Bradley J. Dodson, certify that:</w:t>
      </w:r>
    </w:p>
    <w:p>
      <w:pPr>
        <w:spacing w:after="0" w:line="374" w:lineRule="exact"/>
        <w:rPr>
          <w:sz w:val="20"/>
          <w:szCs w:val="20"/>
          <w:color w:val="auto"/>
        </w:rPr>
      </w:pPr>
    </w:p>
    <w:p>
      <w:pPr>
        <w:ind w:left="360" w:hanging="334"/>
        <w:spacing w:after="0"/>
        <w:tabs>
          <w:tab w:leader="none" w:pos="3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60" w:right="2040" w:hanging="334"/>
        <w:spacing w:after="0" w:line="263" w:lineRule="auto"/>
        <w:tabs>
          <w:tab w:leader="none" w:pos="3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sz w:val="20"/>
          <w:szCs w:val="20"/>
          <w:color w:val="auto"/>
        </w:rPr>
      </w:pPr>
    </w:p>
    <w:p>
      <w:pPr>
        <w:jc w:val="both"/>
        <w:ind w:left="360" w:right="2020" w:hanging="334"/>
        <w:spacing w:after="0" w:line="263" w:lineRule="auto"/>
        <w:tabs>
          <w:tab w:leader="none" w:pos="3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360" w:right="2040" w:hanging="334"/>
        <w:spacing w:after="0" w:line="263" w:lineRule="auto"/>
        <w:tabs>
          <w:tab w:leader="none" w:pos="3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720" w:right="2040" w:hanging="378"/>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720" w:right="2040" w:hanging="378"/>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720" w:right="2040" w:hanging="378"/>
        <w:spacing w:after="0" w:line="263"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720" w:right="2040" w:hanging="378"/>
        <w:spacing w:after="0" w:line="259" w:lineRule="auto"/>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60" w:right="2040" w:hanging="334"/>
        <w:spacing w:after="0" w:line="263" w:lineRule="auto"/>
        <w:tabs>
          <w:tab w:leader="none" w:pos="3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720" w:right="2040" w:hanging="378"/>
        <w:spacing w:after="0" w:line="263"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20" w:right="2040" w:hanging="37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1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31750</wp:posOffset>
            </wp:positionV>
            <wp:extent cx="2863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Carolyn J. Stone, certify that:</w:t>
      </w:r>
    </w:p>
    <w:p>
      <w:pPr>
        <w:spacing w:after="0" w:line="374" w:lineRule="exact"/>
        <w:rPr>
          <w:sz w:val="20"/>
          <w:szCs w:val="20"/>
          <w:color w:val="auto"/>
        </w:rPr>
      </w:pPr>
    </w:p>
    <w:p>
      <w:pPr>
        <w:ind w:left="340" w:hanging="314"/>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40" w:right="2120" w:hanging="314"/>
        <w:spacing w:after="0" w:line="263" w:lineRule="auto"/>
        <w:tabs>
          <w:tab w:leader="none" w:pos="3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sz w:val="20"/>
          <w:szCs w:val="20"/>
          <w:color w:val="auto"/>
        </w:rPr>
      </w:pPr>
    </w:p>
    <w:p>
      <w:pPr>
        <w:jc w:val="both"/>
        <w:ind w:left="340" w:right="2120" w:hanging="314"/>
        <w:spacing w:after="0" w:line="263" w:lineRule="auto"/>
        <w:tabs>
          <w:tab w:leader="none" w:pos="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sz w:val="20"/>
          <w:szCs w:val="20"/>
          <w:color w:val="auto"/>
        </w:rPr>
      </w:pPr>
    </w:p>
    <w:p>
      <w:pPr>
        <w:jc w:val="both"/>
        <w:ind w:left="340" w:right="2120" w:hanging="314"/>
        <w:spacing w:after="0" w:line="286" w:lineRule="auto"/>
        <w:tabs>
          <w:tab w:leader="none" w:pos="34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 w:lineRule="exact"/>
        <w:rPr>
          <w:rFonts w:ascii="Arial" w:cs="Arial" w:eastAsia="Arial" w:hAnsi="Arial"/>
          <w:sz w:val="17"/>
          <w:szCs w:val="17"/>
          <w:color w:val="auto"/>
        </w:rPr>
      </w:pPr>
    </w:p>
    <w:p>
      <w:pPr>
        <w:ind w:left="740" w:right="2120" w:hanging="405"/>
        <w:spacing w:after="0" w:line="259" w:lineRule="auto"/>
        <w:rPr>
          <w:rFonts w:ascii="Arial" w:cs="Arial" w:eastAsia="Arial" w:hAnsi="Arial"/>
          <w:sz w:val="17"/>
          <w:szCs w:val="17"/>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7"/>
          <w:szCs w:val="17"/>
          <w:color w:val="auto"/>
        </w:rPr>
      </w:pPr>
    </w:p>
    <w:p>
      <w:pPr>
        <w:ind w:left="740" w:right="2140" w:hanging="405"/>
        <w:spacing w:after="0" w:line="259" w:lineRule="auto"/>
        <w:rPr>
          <w:rFonts w:ascii="Arial" w:cs="Arial" w:eastAsia="Arial" w:hAnsi="Arial"/>
          <w:sz w:val="17"/>
          <w:szCs w:val="17"/>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7"/>
          <w:szCs w:val="17"/>
          <w:color w:val="auto"/>
        </w:rPr>
      </w:pPr>
    </w:p>
    <w:p>
      <w:pPr>
        <w:ind w:left="740" w:right="2120" w:hanging="405"/>
        <w:spacing w:after="0" w:line="263" w:lineRule="auto"/>
        <w:rPr>
          <w:rFonts w:ascii="Arial" w:cs="Arial" w:eastAsia="Arial" w:hAnsi="Arial"/>
          <w:sz w:val="17"/>
          <w:szCs w:val="17"/>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sz w:val="20"/>
          <w:szCs w:val="20"/>
          <w:color w:val="auto"/>
        </w:rPr>
      </w:pPr>
    </w:p>
    <w:p>
      <w:pPr>
        <w:jc w:val="both"/>
        <w:ind w:left="740" w:right="2140" w:hanging="404"/>
        <w:spacing w:after="0" w:line="259" w:lineRule="auto"/>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40" w:right="2120" w:hanging="314"/>
        <w:spacing w:after="0" w:line="263" w:lineRule="auto"/>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8"/>
          <w:szCs w:val="18"/>
          <w:color w:val="auto"/>
        </w:rPr>
      </w:pPr>
    </w:p>
    <w:p>
      <w:pPr>
        <w:ind w:left="740" w:right="2120" w:hanging="405"/>
        <w:spacing w:after="0" w:line="263" w:lineRule="auto"/>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740" w:right="2120" w:hanging="405"/>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pacing w:after="0" w:line="37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31750</wp:posOffset>
            </wp:positionV>
            <wp:extent cx="2863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Carolyn J. Stone</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2020,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35"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77" w:lineRule="auto"/>
        <w:tabs>
          <w:tab w:leader="none" w:pos="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25717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2020,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35"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77" w:lineRule="auto"/>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25285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57" w:lineRule="exact"/>
        <w:rPr>
          <w:sz w:val="20"/>
          <w:szCs w:val="20"/>
          <w:color w:val="auto"/>
        </w:rPr>
      </w:pPr>
    </w:p>
    <w:p>
      <w:pPr>
        <w:ind w:left="5820"/>
        <w:spacing w:after="0"/>
        <w:tabs>
          <w:tab w:leader="none" w:pos="6520" w:val="left"/>
        </w:tabs>
        <w:rPr>
          <w:sz w:val="20"/>
          <w:szCs w:val="20"/>
          <w:color w:val="auto"/>
        </w:rPr>
      </w:pPr>
      <w:r>
        <w:rPr>
          <w:rFonts w:ascii="Arial" w:cs="Arial" w:eastAsia="Arial" w:hAnsi="Arial"/>
          <w:sz w:val="18"/>
          <w:szCs w:val="18"/>
          <w:color w:val="auto"/>
        </w:rPr>
        <w:t>Name:</w:t>
        <w:tab/>
        <w:t>Carolyn J. Stone</w:t>
      </w:r>
    </w:p>
    <w:p>
      <w:pPr>
        <w:spacing w:after="0" w:line="63" w:lineRule="exact"/>
        <w:rPr>
          <w:sz w:val="20"/>
          <w:szCs w:val="20"/>
          <w:color w:val="auto"/>
        </w:rPr>
      </w:pPr>
    </w:p>
    <w:p>
      <w:pPr>
        <w:ind w:left="5820"/>
        <w:spacing w:after="0"/>
        <w:tabs>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1."/>
      <w:numFmt w:val="decimal"/>
      <w:start w:val="1"/>
    </w:lvl>
  </w:abstractNum>
  <w:abstractNum w:abstractNumId="3">
    <w:nsid w:val="7F01579B"/>
    <w:multiLevelType w:val="hybridMultilevel"/>
    <w:lvl w:ilvl="0">
      <w:lvlJc w:val="left"/>
      <w:lvlText w:val="%1."/>
      <w:numFmt w:val="decimal"/>
      <w:start w:val="2"/>
    </w:lvl>
  </w:abstractNum>
  <w:abstractNum w:abstractNumId="4">
    <w:nsid w:val="49DA307D"/>
    <w:multiLevelType w:val="hybridMultilevel"/>
    <w:lvl w:ilvl="0">
      <w:lvlJc w:val="left"/>
      <w:lvlText w:val="%1."/>
      <w:numFmt w:val="decimal"/>
      <w:start w:val="3"/>
    </w:lvl>
  </w:abstractNum>
  <w:abstractNum w:abstractNumId="5">
    <w:nsid w:val="7055A5F5"/>
    <w:multiLevelType w:val="hybridMultilevel"/>
    <w:lvl w:ilvl="0">
      <w:lvlJc w:val="left"/>
      <w:lvlText w:val="%1."/>
      <w:numFmt w:val="decimal"/>
      <w:start w:val="4"/>
    </w:lvl>
  </w:abstractNum>
  <w:abstractNum w:abstractNumId="6">
    <w:nsid w:val="5FB8370B"/>
    <w:multiLevelType w:val="hybridMultilevel"/>
    <w:lvl w:ilvl="0">
      <w:lvlJc w:val="left"/>
      <w:lvlText w:val="%1."/>
      <w:numFmt w:val="decimal"/>
      <w:start w:val="5"/>
    </w:lvl>
  </w:abstractNum>
  <w:abstractNum w:abstractNumId="7">
    <w:nsid w:val="50801EE1"/>
    <w:multiLevelType w:val="hybridMultilevel"/>
    <w:lvl w:ilvl="0">
      <w:lvlJc w:val="left"/>
      <w:lvlText w:val="(%1)"/>
      <w:numFmt w:val="decimal"/>
      <w:start w:val="1"/>
    </w:lvl>
  </w:abstractNum>
  <w:abstractNum w:abstractNumId="8">
    <w:nsid w:val="488AC1A"/>
    <w:multiLevelType w:val="hybridMultilevel"/>
    <w:lvl w:ilvl="0">
      <w:lvlJc w:val="left"/>
      <w:lvlText w:val="%1."/>
      <w:numFmt w:val="decimal"/>
      <w:start w:val="6"/>
    </w:lvl>
  </w:abstractNum>
  <w:abstractNum w:abstractNumId="9">
    <w:nsid w:val="5FB8011C"/>
    <w:multiLevelType w:val="hybridMultilevel"/>
    <w:lvl w:ilvl="0">
      <w:lvlJc w:val="left"/>
      <w:lvlText w:val="%1."/>
      <w:numFmt w:val="decimal"/>
      <w:start w:val="7"/>
    </w:lvl>
  </w:abstractNum>
  <w:abstractNum w:abstractNumId="10">
    <w:nsid w:val="6AA78F7F"/>
    <w:multiLevelType w:val="hybridMultilevel"/>
    <w:lvl w:ilvl="0">
      <w:lvlJc w:val="left"/>
      <w:lvlText w:val="%1."/>
      <w:numFmt w:val="decimal"/>
      <w:start w:val="8"/>
    </w:lvl>
  </w:abstractNum>
  <w:abstractNum w:abstractNumId="11">
    <w:nsid w:val="7672BD23"/>
    <w:multiLevelType w:val="hybridMultilevel"/>
    <w:lvl w:ilvl="0">
      <w:lvlJc w:val="left"/>
      <w:lvlText w:val="%1."/>
      <w:numFmt w:val="decimal"/>
      <w:start w:val="9"/>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1)"/>
      <w:numFmt w:val="decimal"/>
      <w:start w:val="1"/>
    </w:lvl>
  </w:abstractNum>
  <w:abstractNum w:abstractNumId="14">
    <w:nsid w:val="7D5E18F8"/>
    <w:multiLevelType w:val="hybridMultilevel"/>
    <w:lvl w:ilvl="0">
      <w:lvlJc w:val="left"/>
      <w:lvlText w:val="(%1)"/>
      <w:numFmt w:val="decimal"/>
      <w:start w:val="1"/>
    </w:lvl>
  </w:abstractNum>
  <w:abstractNum w:abstractNumId="15">
    <w:nsid w:val="5F3534A4"/>
    <w:multiLevelType w:val="hybridMultilevel"/>
    <w:lvl w:ilvl="0">
      <w:lvlJc w:val="left"/>
      <w:lvlText w:val="(%1)"/>
      <w:numFmt w:val="decimal"/>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1)"/>
      <w:numFmt w:val="decimal"/>
      <w:start w:val="1"/>
    </w:lvl>
  </w:abstractNum>
  <w:abstractNum w:abstractNumId="18">
    <w:nsid w:val="555C55B5"/>
    <w:multiLevelType w:val="hybridMultilevel"/>
    <w:lvl w:ilvl="0">
      <w:lvlJc w:val="left"/>
      <w:lvlText w:val="(%1)"/>
      <w:numFmt w:val="decimal"/>
      <w:start w:val="1"/>
    </w:lvl>
  </w:abstractNum>
  <w:abstractNum w:abstractNumId="19">
    <w:nsid w:val="3FA62ACA"/>
    <w:multiLevelType w:val="hybridMultilevel"/>
    <w:lvl w:ilvl="0">
      <w:lvlJc w:val="left"/>
      <w:lvlText w:val="(%1)"/>
      <w:numFmt w:val="decimal"/>
      <w:start w:val="1"/>
    </w:lvl>
  </w:abstractNum>
  <w:abstractNum w:abstractNumId="20">
    <w:nsid w:val="14FCE74E"/>
    <w:multiLevelType w:val="hybridMultilevel"/>
    <w:lvl w:ilvl="0">
      <w:lvlJc w:val="left"/>
      <w:lvlText w:val="(%1)"/>
      <w:numFmt w:val="decimal"/>
      <w:start w:val="1"/>
    </w:lvl>
  </w:abstractNum>
  <w:abstractNum w:abstractNumId="21">
    <w:nsid w:val="6A3DD3E8"/>
    <w:multiLevelType w:val="hybridMultilevel"/>
    <w:lvl w:ilvl="0">
      <w:lvlJc w:val="left"/>
      <w:lvlText w:val="(%1)"/>
      <w:numFmt w:val="lowerLetter"/>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
      <w:numFmt w:val="bullet"/>
      <w:start w:val="1"/>
    </w:lvl>
  </w:abstractNum>
  <w:abstractNum w:abstractNumId="25">
    <w:nsid w:val="1FBFE8E0"/>
    <w:multiLevelType w:val="hybridMultilevel"/>
    <w:lvl w:ilvl="0">
      <w:lvlJc w:val="left"/>
      <w:lvlText w:val="(%1)"/>
      <w:numFmt w:val="decimal"/>
      <w:start w:val="1"/>
    </w:lvl>
  </w:abstractNum>
  <w:abstractNum w:abstractNumId="26">
    <w:nsid w:val="5092CA79"/>
    <w:multiLevelType w:val="hybridMultilevel"/>
    <w:lvl w:ilvl="0">
      <w:lvlJc w:val="left"/>
      <w:lvlText w:val="%1."/>
      <w:numFmt w:val="lowerLetter"/>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1."/>
      <w:numFmt w:val="lowerLetter"/>
      <w:start w:val="2"/>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1."/>
      <w:numFmt w:val="lowerLetter"/>
      <w:start w:val="3"/>
    </w:lvl>
  </w:abstractNum>
  <w:abstractNum w:abstractNumId="31">
    <w:nsid w:val="1D9F6E5F"/>
    <w:multiLevelType w:val="hybridMultilevel"/>
    <w:lvl w:ilvl="0">
      <w:lvlJc w:val="left"/>
      <w:lvlText w:val="%1."/>
      <w:numFmt w:val="lowerLetter"/>
      <w:start w:val="4"/>
    </w:lvl>
  </w:abstractNum>
  <w:abstractNum w:abstractNumId="32">
    <w:nsid w:val="97E1B4E"/>
    <w:multiLevelType w:val="hybridMultilevel"/>
    <w:lvl w:ilvl="0">
      <w:lvlJc w:val="left"/>
      <w:lvlText w:val="."/>
      <w:numFmt w:val="bullet"/>
      <w:start w:val="1"/>
    </w:lvl>
  </w:abstractNum>
  <w:abstractNum w:abstractNumId="33">
    <w:nsid w:val="51088277"/>
    <w:multiLevelType w:val="hybridMultilevel"/>
    <w:lvl w:ilvl="0">
      <w:lvlJc w:val="left"/>
      <w:lvlText w:val="%1."/>
      <w:numFmt w:val="lowerLetter"/>
      <w:start w:val="5"/>
    </w:lvl>
  </w:abstractNum>
  <w:abstractNum w:abstractNumId="34">
    <w:nsid w:val="1CA0C5FA"/>
    <w:multiLevelType w:val="hybridMultilevel"/>
    <w:lvl w:ilvl="0">
      <w:lvlJc w:val="left"/>
      <w:lvlText w:val="(%1)"/>
      <w:numFmt w:val="lowerRoman"/>
      <w:start w:val="2"/>
    </w:lvl>
  </w:abstractNum>
  <w:abstractNum w:abstractNumId="35">
    <w:nsid w:val="53584BCB"/>
    <w:multiLevelType w:val="hybridMultilevel"/>
    <w:lvl w:ilvl="0">
      <w:lvlJc w:val="left"/>
      <w:lvlText w:val="%1."/>
      <w:numFmt w:val="lowerLetter"/>
      <w:start w:val="6"/>
    </w:lvl>
  </w:abstractNum>
  <w:abstractNum w:abstractNumId="36">
    <w:nsid w:val="415E286C"/>
    <w:multiLevelType w:val="hybridMultilevel"/>
    <w:lvl w:ilvl="0">
      <w:lvlJc w:val="left"/>
      <w:lvlText w:val="%1."/>
      <w:numFmt w:val="lowerLetter"/>
      <w:start w:val="7"/>
    </w:lvl>
  </w:abstractNum>
  <w:abstractNum w:abstractNumId="37">
    <w:nsid w:val="7C58FD05"/>
    <w:multiLevelType w:val="hybridMultilevel"/>
    <w:lvl w:ilvl="0">
      <w:lvlJc w:val="left"/>
      <w:lvlText w:val="%1."/>
      <w:numFmt w:val="lowerLetter"/>
      <w:start w:val="8"/>
    </w:lvl>
  </w:abstractNum>
  <w:abstractNum w:abstractNumId="38">
    <w:nsid w:val="23D86AAC"/>
    <w:multiLevelType w:val="hybridMultilevel"/>
    <w:lvl w:ilvl="0">
      <w:lvlJc w:val="left"/>
      <w:lvlText w:val="%1."/>
      <w:numFmt w:val="lowerRoman"/>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1."/>
      <w:numFmt w:val="lowerLetter"/>
      <w:start w:val="10"/>
    </w:lvl>
  </w:abstractNum>
  <w:abstractNum w:abstractNumId="41">
    <w:nsid w:val="E7FFA2B"/>
    <w:multiLevelType w:val="hybridMultilevel"/>
    <w:lvl w:ilvl="0">
      <w:lvlJc w:val="left"/>
      <w:lvlText w:val="."/>
      <w:numFmt w:val="bullet"/>
      <w:start w:val="1"/>
    </w:lvl>
  </w:abstractNum>
  <w:abstractNum w:abstractNumId="42">
    <w:nsid w:val="3C5991AA"/>
    <w:multiLevelType w:val="hybridMultilevel"/>
    <w:lvl w:ilvl="0">
      <w:lvlJc w:val="left"/>
      <w:lvlText w:val="%1."/>
      <w:numFmt w:val="lowerLetter"/>
      <w:start w:val="11"/>
    </w:lvl>
  </w:abstractNum>
  <w:abstractNum w:abstractNumId="43">
    <w:nsid w:val="4BD8591A"/>
    <w:multiLevelType w:val="hybridMultilevel"/>
    <w:lvl w:ilvl="0">
      <w:lvlJc w:val="left"/>
      <w:lvlText w:val="%1."/>
      <w:numFmt w:val="lowerLetter"/>
      <w:start w:val="12"/>
    </w:lvl>
  </w:abstractNum>
  <w:abstractNum w:abstractNumId="44">
    <w:nsid w:val="78DF6A55"/>
    <w:multiLevelType w:val="hybridMultilevel"/>
    <w:lvl w:ilvl="0">
      <w:lvlJc w:val="left"/>
      <w:lvlText w:val="."/>
      <w:numFmt w:val="bullet"/>
      <w:start w:val="1"/>
    </w:lvl>
  </w:abstractNum>
  <w:abstractNum w:abstractNumId="45">
    <w:nsid w:val="39B7AAA2"/>
    <w:multiLevelType w:val="hybridMultilevel"/>
    <w:lvl w:ilvl="0">
      <w:lvlJc w:val="left"/>
      <w:lvlText w:val="%1."/>
      <w:numFmt w:val="lowerLetter"/>
      <w:start w:val="13"/>
    </w:lvl>
  </w:abstractNum>
  <w:abstractNum w:abstractNumId="46">
    <w:nsid w:val="2B0D8DBE"/>
    <w:multiLevelType w:val="hybridMultilevel"/>
    <w:lvl w:ilvl="0">
      <w:lvlJc w:val="left"/>
      <w:lvlText w:val="."/>
      <w:numFmt w:val="bullet"/>
      <w:start w:val="1"/>
    </w:lvl>
  </w:abstractNum>
  <w:abstractNum w:abstractNumId="47">
    <w:nsid w:val="6C80EC70"/>
    <w:multiLevelType w:val="hybridMultilevel"/>
    <w:lvl w:ilvl="0">
      <w:lvlJc w:val="left"/>
      <w:lvlText w:val="%1."/>
      <w:numFmt w:val="lowerLetter"/>
      <w:start w:val="14"/>
    </w:lvl>
  </w:abstractNum>
  <w:abstractNum w:abstractNumId="48">
    <w:nsid w:val="379E21B5"/>
    <w:multiLevelType w:val="hybridMultilevel"/>
    <w:lvl w:ilvl="0">
      <w:lvlJc w:val="left"/>
      <w:lvlText w:val="%1."/>
      <w:numFmt w:val="lowerLetter"/>
      <w:start w:val="15"/>
    </w:lvl>
  </w:abstractNum>
  <w:abstractNum w:abstractNumId="49">
    <w:nsid w:val="69E373"/>
    <w:multiLevelType w:val="hybridMultilevel"/>
    <w:lvl w:ilvl="0">
      <w:lvlJc w:val="left"/>
      <w:lvlText w:val="."/>
      <w:numFmt w:val="bullet"/>
      <w:start w:val="1"/>
    </w:lvl>
  </w:abstractNum>
  <w:abstractNum w:abstractNumId="50">
    <w:nsid w:val="2C27173B"/>
    <w:multiLevelType w:val="hybridMultilevel"/>
    <w:lvl w:ilvl="0">
      <w:lvlJc w:val="left"/>
      <w:lvlText w:val="%1."/>
      <w:numFmt w:val="lowerLetter"/>
      <w:start w:val="16"/>
    </w:lvl>
  </w:abstractNum>
  <w:abstractNum w:abstractNumId="51">
    <w:nsid w:val="4C9B0904"/>
    <w:multiLevelType w:val="hybridMultilevel"/>
    <w:lvl w:ilvl="0">
      <w:lvlJc w:val="left"/>
      <w:lvlText w:val="."/>
      <w:numFmt w:val="bullet"/>
      <w:start w:val="1"/>
    </w:lvl>
  </w:abstractNum>
  <w:abstractNum w:abstractNumId="52">
    <w:nsid w:val="6AA7B75C"/>
    <w:multiLevelType w:val="hybridMultilevel"/>
    <w:lvl w:ilvl="0">
      <w:lvlJc w:val="left"/>
      <w:lvlText w:val="%1."/>
      <w:numFmt w:val="lowerLetter"/>
      <w:start w:val="17"/>
    </w:lvl>
  </w:abstractNum>
  <w:abstractNum w:abstractNumId="53">
    <w:nsid w:val="1DF029D3"/>
    <w:multiLevelType w:val="hybridMultilevel"/>
    <w:lvl w:ilvl="0">
      <w:lvlJc w:val="left"/>
      <w:lvlText w:val="."/>
      <w:numFmt w:val="bullet"/>
      <w:start w:val="1"/>
    </w:lvl>
  </w:abstractNum>
  <w:abstractNum w:abstractNumId="54">
    <w:nsid w:val="5675FF36"/>
    <w:multiLevelType w:val="hybridMultilevel"/>
    <w:lvl w:ilvl="0">
      <w:lvlJc w:val="left"/>
      <w:lvlText w:val="%1."/>
      <w:numFmt w:val="lowerLetter"/>
      <w:start w:val="18"/>
    </w:lvl>
  </w:abstractNum>
  <w:abstractNum w:abstractNumId="55">
    <w:nsid w:val="3DD15094"/>
    <w:multiLevelType w:val="hybridMultilevel"/>
    <w:lvl w:ilvl="0">
      <w:lvlJc w:val="left"/>
      <w:lvlText w:val="%1."/>
      <w:numFmt w:val="lowerLetter"/>
      <w:start w:val="19"/>
    </w:lvl>
  </w:abstractNum>
  <w:abstractNum w:abstractNumId="56">
    <w:nsid w:val="3DB012B3"/>
    <w:multiLevelType w:val="hybridMultilevel"/>
    <w:lvl w:ilvl="0">
      <w:lvlJc w:val="left"/>
      <w:lvlText w:val="%1."/>
      <w:numFmt w:val="lowerLetter"/>
      <w:start w:val="20"/>
    </w:lvl>
  </w:abstractNum>
  <w:abstractNum w:abstractNumId="57">
    <w:nsid w:val="2708C9AF"/>
    <w:multiLevelType w:val="hybridMultilevel"/>
    <w:lvl w:ilvl="0">
      <w:lvlJc w:val="left"/>
      <w:lvlText w:val="."/>
      <w:numFmt w:val="bullet"/>
      <w:start w:val="1"/>
    </w:lvl>
  </w:abstractNum>
  <w:abstractNum w:abstractNumId="58">
    <w:nsid w:val="5B25ACE2"/>
    <w:multiLevelType w:val="hybridMultilevel"/>
    <w:lvl w:ilvl="0">
      <w:lvlJc w:val="left"/>
      <w:lvlText w:val="%1."/>
      <w:numFmt w:val="lowerLetter"/>
      <w:start w:val="21"/>
    </w:lvl>
  </w:abstractNum>
  <w:abstractNum w:abstractNumId="59">
    <w:nsid w:val="175DFCF0"/>
    <w:multiLevelType w:val="hybridMultilevel"/>
    <w:lvl w:ilvl="0">
      <w:lvlJc w:val="left"/>
      <w:lvlText w:val="%1."/>
      <w:numFmt w:val="lowerRoman"/>
      <w:start w:val="5"/>
    </w:lvl>
  </w:abstractNum>
  <w:abstractNum w:abstractNumId="60">
    <w:nsid w:val="4F97E3E4"/>
    <w:multiLevelType w:val="hybridMultilevel"/>
    <w:lvl w:ilvl="0">
      <w:lvlJc w:val="left"/>
      <w:lvlText w:val="."/>
      <w:numFmt w:val="bullet"/>
      <w:start w:val="1"/>
    </w:lvl>
  </w:abstractNum>
  <w:abstractNum w:abstractNumId="61">
    <w:nsid w:val="53B0A9E"/>
    <w:multiLevelType w:val="hybridMultilevel"/>
    <w:lvl w:ilvl="0">
      <w:lvlJc w:val="left"/>
      <w:lvlText w:val="%1."/>
      <w:numFmt w:val="lowerLetter"/>
      <w:start w:val="23"/>
    </w:lvl>
  </w:abstractNum>
  <w:abstractNum w:abstractNumId="62">
    <w:nsid w:val="34FD6B4F"/>
    <w:multiLevelType w:val="hybridMultilevel"/>
    <w:lvl w:ilvl="0">
      <w:lvlJc w:val="left"/>
      <w:lvlText w:val="."/>
      <w:numFmt w:val="bullet"/>
      <w:start w:val="1"/>
    </w:lvl>
  </w:abstractNum>
  <w:abstractNum w:abstractNumId="63">
    <w:nsid w:val="5915FF32"/>
    <w:multiLevelType w:val="hybridMultilevel"/>
    <w:lvl w:ilvl="0">
      <w:lvlJc w:val="left"/>
      <w:lvlText w:val="%1."/>
      <w:numFmt w:val="lowerRoman"/>
      <w:start w:val="10"/>
    </w:lvl>
  </w:abstractNum>
  <w:abstractNum w:abstractNumId="64">
    <w:nsid w:val="56438D15"/>
    <w:multiLevelType w:val="hybridMultilevel"/>
    <w:lvl w:ilvl="0">
      <w:lvlJc w:val="left"/>
      <w:lvlText w:val="%1."/>
      <w:numFmt w:val="lowerLetter"/>
      <w:start w:val="25"/>
    </w:lvl>
  </w:abstractNum>
  <w:abstractNum w:abstractNumId="65">
    <w:nsid w:val="519E3149"/>
    <w:multiLevelType w:val="hybridMultilevel"/>
    <w:lvl w:ilvl="0">
      <w:lvlJc w:val="left"/>
      <w:lvlText w:val="."/>
      <w:numFmt w:val="bullet"/>
      <w:start w:val="1"/>
    </w:lvl>
  </w:abstractNum>
  <w:abstractNum w:abstractNumId="66">
    <w:nsid w:val="2C6E4AFD"/>
    <w:multiLevelType w:val="hybridMultilevel"/>
    <w:lvl w:ilvl="0">
      <w:lvlJc w:val="left"/>
      <w:lvlText w:val="%1."/>
      <w:numFmt w:val="lowerLetter"/>
      <w:start w:val="26"/>
    </w:lvl>
  </w:abstractNum>
  <w:abstractNum w:abstractNumId="67">
    <w:nsid w:val="17A1B582"/>
    <w:multiLevelType w:val="hybridMultilevel"/>
    <w:lvl w:ilvl="0">
      <w:lvlJc w:val="left"/>
      <w:lvlText w:val="%1."/>
      <w:numFmt w:val="lowerLetter"/>
      <w:start w:val="27"/>
    </w:lvl>
  </w:abstractNum>
  <w:abstractNum w:abstractNumId="68">
    <w:nsid w:val="4DF72E4E"/>
    <w:multiLevelType w:val="hybridMultilevel"/>
    <w:lvl w:ilvl="0">
      <w:lvlJc w:val="left"/>
      <w:lvlText w:val="."/>
      <w:numFmt w:val="bullet"/>
      <w:start w:val="1"/>
    </w:lvl>
  </w:abstractNum>
  <w:abstractNum w:abstractNumId="69">
    <w:nsid w:val="5046B5A9"/>
    <w:multiLevelType w:val="hybridMultilevel"/>
    <w:lvl w:ilvl="0">
      <w:lvlJc w:val="left"/>
      <w:lvlText w:val="."/>
      <w:numFmt w:val="bullet"/>
      <w:start w:val="1"/>
    </w:lvl>
  </w:abstractNum>
  <w:abstractNum w:abstractNumId="70">
    <w:nsid w:val="5D888A08"/>
    <w:multiLevelType w:val="hybridMultilevel"/>
    <w:lvl w:ilvl="0">
      <w:lvlJc w:val="left"/>
      <w:lvlText w:val="."/>
      <w:numFmt w:val="bullet"/>
      <w:start w:val="1"/>
    </w:lvl>
  </w:abstractNum>
  <w:abstractNum w:abstractNumId="71">
    <w:nsid w:val="2A082C70"/>
    <w:multiLevelType w:val="hybridMultilevel"/>
    <w:lvl w:ilvl="0">
      <w:lvlJc w:val="left"/>
      <w:lvlText w:val="."/>
      <w:numFmt w:val="bullet"/>
      <w:start w:val="1"/>
    </w:lvl>
  </w:abstractNum>
  <w:abstractNum w:abstractNumId="72">
    <w:nsid w:val="5EC6AFD4"/>
    <w:multiLevelType w:val="hybridMultilevel"/>
    <w:lvl w:ilvl="0">
      <w:lvlJc w:val="left"/>
      <w:lvlText w:val="%1."/>
      <w:numFmt w:val="lowerLetter"/>
      <w:start w:val="1"/>
    </w:lvl>
  </w:abstractNum>
  <w:abstractNum w:abstractNumId="73">
    <w:nsid w:val="19E21BB2"/>
    <w:multiLevelType w:val="hybridMultilevel"/>
    <w:lvl w:ilvl="0">
      <w:lvlJc w:val="left"/>
      <w:lvlText w:val="%1."/>
      <w:numFmt w:val="lowerLetter"/>
      <w:start w:val="2"/>
    </w:lvl>
  </w:abstractNum>
  <w:abstractNum w:abstractNumId="74">
    <w:nsid w:val="75E0858A"/>
    <w:multiLevelType w:val="hybridMultilevel"/>
    <w:lvl w:ilvl="0">
      <w:lvlJc w:val="left"/>
      <w:lvlText w:val="%1."/>
      <w:numFmt w:val="lowerLetter"/>
      <w:start w:val="1"/>
    </w:lvl>
  </w:abstractNum>
  <w:abstractNum w:abstractNumId="75">
    <w:nsid w:val="57A61A29"/>
    <w:multiLevelType w:val="hybridMultilevel"/>
    <w:lvl w:ilvl="0">
      <w:lvlJc w:val="left"/>
      <w:lvlText w:val="."/>
      <w:numFmt w:val="bullet"/>
      <w:start w:val="1"/>
    </w:lvl>
  </w:abstractNum>
  <w:abstractNum w:abstractNumId="76">
    <w:nsid w:val="5399C654"/>
    <w:multiLevelType w:val="hybridMultilevel"/>
    <w:lvl w:ilvl="0">
      <w:lvlJc w:val="left"/>
      <w:lvlText w:val="%1."/>
      <w:numFmt w:val="lowerLetter"/>
      <w:start w:val="2"/>
    </w:lvl>
  </w:abstractNum>
  <w:abstractNum w:abstractNumId="77">
    <w:nsid w:val="20EE1348"/>
    <w:multiLevelType w:val="hybridMultilevel"/>
    <w:lvl w:ilvl="0">
      <w:lvlJc w:val="left"/>
      <w:lvlText w:val="."/>
      <w:numFmt w:val="bullet"/>
      <w:start w:val="1"/>
    </w:lvl>
  </w:abstractNum>
  <w:abstractNum w:abstractNumId="78">
    <w:nsid w:val="4427069A"/>
    <w:multiLevelType w:val="hybridMultilevel"/>
    <w:lvl w:ilvl="0">
      <w:lvlJc w:val="left"/>
      <w:lvlText w:val="%1."/>
      <w:numFmt w:val="lowerLetter"/>
      <w:start w:val="3"/>
    </w:lvl>
  </w:abstractNum>
  <w:abstractNum w:abstractNumId="79">
    <w:nsid w:val="B37E80A"/>
    <w:multiLevelType w:val="hybridMultilevel"/>
    <w:lvl w:ilvl="0">
      <w:lvlJc w:val="left"/>
      <w:lvlText w:val="."/>
      <w:numFmt w:val="bullet"/>
      <w:start w:val="1"/>
    </w:lvl>
  </w:abstractNum>
  <w:abstractNum w:abstractNumId="80">
    <w:nsid w:val="2157F6BC"/>
    <w:multiLevelType w:val="hybridMultilevel"/>
    <w:lvl w:ilvl="0">
      <w:lvlJc w:val="left"/>
      <w:lvlText w:val="%1."/>
      <w:numFmt w:val="lowerLetter"/>
      <w:start w:val="4"/>
    </w:lvl>
  </w:abstractNum>
  <w:abstractNum w:abstractNumId="81">
    <w:nsid w:val="704E1DD5"/>
    <w:multiLevelType w:val="hybridMultilevel"/>
    <w:lvl w:ilvl="0">
      <w:lvlJc w:val="left"/>
      <w:lvlText w:val="(%1)"/>
      <w:numFmt w:val="decimal"/>
      <w:start w:val="1"/>
    </w:lvl>
  </w:abstractNum>
  <w:abstractNum w:abstractNumId="82">
    <w:nsid w:val="57D2F10E"/>
    <w:multiLevelType w:val="hybridMultilevel"/>
    <w:lvl w:ilvl="0">
      <w:lvlJc w:val="left"/>
      <w:lvlText w:val="(%1)"/>
      <w:numFmt w:val="decimal"/>
      <w:start w:val="4"/>
    </w:lvl>
  </w:abstractNum>
  <w:abstractNum w:abstractNumId="83">
    <w:nsid w:val="BFFAE18"/>
    <w:multiLevelType w:val="hybridMultilevel"/>
    <w:lvl w:ilvl="0">
      <w:lvlJc w:val="left"/>
      <w:lvlText w:val="%1."/>
      <w:numFmt w:val="lowerLetter"/>
      <w:start w:val="5"/>
    </w:lvl>
  </w:abstractNum>
  <w:abstractNum w:abstractNumId="84">
    <w:nsid w:val="E3E47A8"/>
    <w:multiLevelType w:val="hybridMultilevel"/>
    <w:lvl w:ilvl="0">
      <w:lvlJc w:val="left"/>
      <w:lvlText w:val="."/>
      <w:numFmt w:val="bullet"/>
      <w:start w:val="1"/>
    </w:lvl>
  </w:abstractNum>
  <w:abstractNum w:abstractNumId="85">
    <w:nsid w:val="2E48F044"/>
    <w:multiLevelType w:val="hybridMultilevel"/>
    <w:lvl w:ilvl="0">
      <w:lvlJc w:val="left"/>
      <w:lvlText w:val="%1."/>
      <w:numFmt w:val="lowerLetter"/>
      <w:start w:val="6"/>
    </w:lvl>
  </w:abstractNum>
  <w:abstractNum w:abstractNumId="86">
    <w:nsid w:val="49D0FEAC"/>
    <w:multiLevelType w:val="hybridMultilevel"/>
    <w:lvl w:ilvl="0">
      <w:lvlJc w:val="left"/>
      <w:lvlText w:val="."/>
      <w:numFmt w:val="bullet"/>
      <w:start w:val="1"/>
    </w:lvl>
  </w:abstractNum>
  <w:abstractNum w:abstractNumId="87">
    <w:nsid w:val="4BEE5A5B"/>
    <w:multiLevelType w:val="hybridMultilevel"/>
    <w:lvl w:ilvl="0">
      <w:lvlJc w:val="left"/>
      <w:lvlText w:val="%1."/>
      <w:numFmt w:val="lowerLetter"/>
      <w:start w:val="1"/>
    </w:lvl>
  </w:abstractNum>
  <w:abstractNum w:abstractNumId="88">
    <w:nsid w:val="5551B9F3"/>
    <w:multiLevelType w:val="hybridMultilevel"/>
    <w:lvl w:ilvl="0">
      <w:lvlJc w:val="left"/>
      <w:lvlText w:val="."/>
      <w:numFmt w:val="bullet"/>
      <w:start w:val="1"/>
    </w:lvl>
  </w:abstractNum>
  <w:abstractNum w:abstractNumId="89">
    <w:nsid w:val="24F6AB8E"/>
    <w:multiLevelType w:val="hybridMultilevel"/>
    <w:lvl w:ilvl="0">
      <w:lvlJc w:val="left"/>
      <w:lvlText w:val="%1."/>
      <w:numFmt w:val="lowerLetter"/>
      <w:start w:val="2"/>
    </w:lvl>
  </w:abstractNum>
  <w:abstractNum w:abstractNumId="90">
    <w:nsid w:val="634C574C"/>
    <w:multiLevelType w:val="hybridMultilevel"/>
    <w:lvl w:ilvl="0">
      <w:lvlJc w:val="left"/>
      <w:lvlText w:val="."/>
      <w:numFmt w:val="bullet"/>
      <w:start w:val="1"/>
    </w:lvl>
  </w:abstractNum>
  <w:abstractNum w:abstractNumId="91">
    <w:nsid w:val="24E99DD7"/>
    <w:multiLevelType w:val="hybridMultilevel"/>
    <w:lvl w:ilvl="0">
      <w:lvlJc w:val="left"/>
      <w:lvlText w:val="%1."/>
      <w:numFmt w:val="lowerLetter"/>
      <w:start w:val="3"/>
    </w:lvl>
  </w:abstractNum>
  <w:abstractNum w:abstractNumId="92">
    <w:nsid w:val="2A31B62D"/>
    <w:multiLevelType w:val="hybridMultilevel"/>
    <w:lvl w:ilvl="0">
      <w:lvlJc w:val="left"/>
      <w:lvlText w:val="."/>
      <w:numFmt w:val="bullet"/>
      <w:start w:val="1"/>
    </w:lvl>
  </w:abstractNum>
  <w:abstractNum w:abstractNumId="93">
    <w:nsid w:val="1849C29B"/>
    <w:multiLevelType w:val="hybridMultilevel"/>
    <w:lvl w:ilvl="0">
      <w:lvlJc w:val="left"/>
      <w:lvlText w:val="%1."/>
      <w:numFmt w:val="lowerLetter"/>
      <w:start w:val="4"/>
    </w:lvl>
  </w:abstractNum>
  <w:abstractNum w:abstractNumId="94">
    <w:nsid w:val="7DFF9D09"/>
    <w:multiLevelType w:val="hybridMultilevel"/>
    <w:lvl w:ilvl="0">
      <w:lvlJc w:val="left"/>
      <w:lvlText w:val="%1."/>
      <w:numFmt w:val="lowerLetter"/>
      <w:start w:val="5"/>
    </w:lvl>
  </w:abstractNum>
  <w:abstractNum w:abstractNumId="95">
    <w:nsid w:val="754342"/>
    <w:multiLevelType w:val="hybridMultilevel"/>
    <w:lvl w:ilvl="0">
      <w:lvlJc w:val="left"/>
      <w:lvlText w:val="."/>
      <w:numFmt w:val="bullet"/>
      <w:start w:val="1"/>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
      <w:numFmt w:val="bullet"/>
      <w:start w:val="1"/>
    </w:lvl>
  </w:abstractNum>
  <w:abstractNum w:abstractNumId="98">
    <w:nsid w:val="1816F8C4"/>
    <w:multiLevelType w:val="hybridMultilevel"/>
    <w:lvl w:ilvl="0">
      <w:lvlJc w:val="left"/>
      <w:lvlText w:val="%1."/>
      <w:numFmt w:val="lowerLetter"/>
      <w:start w:val="2"/>
    </w:lvl>
  </w:abstractNum>
  <w:abstractNum w:abstractNumId="99">
    <w:nsid w:val="37DF2233"/>
    <w:multiLevelType w:val="hybridMultilevel"/>
    <w:lvl w:ilvl="0">
      <w:lvlJc w:val="left"/>
      <w:lvlText w:val="."/>
      <w:numFmt w:val="bullet"/>
      <w:start w:val="1"/>
    </w:lvl>
  </w:abstractNum>
  <w:abstractNum w:abstractNumId="100">
    <w:nsid w:val="7AB49DAF"/>
    <w:multiLevelType w:val="hybridMultilevel"/>
    <w:lvl w:ilvl="0">
      <w:lvlJc w:val="left"/>
      <w:lvlText w:val="(%1)"/>
      <w:numFmt w:val="lowerRoman"/>
      <w:start w:val="2"/>
    </w:lvl>
  </w:abstractNum>
  <w:abstractNum w:abstractNumId="101">
    <w:nsid w:val="759F82CD"/>
    <w:multiLevelType w:val="hybridMultilevel"/>
    <w:lvl w:ilvl="0">
      <w:lvlJc w:val="left"/>
      <w:lvlText w:val="%1."/>
      <w:numFmt w:val="lowerLetter"/>
      <w:start w:val="3"/>
    </w:lvl>
  </w:abstractNum>
  <w:abstractNum w:abstractNumId="102">
    <w:nsid w:val="61E74EA3"/>
    <w:multiLevelType w:val="hybridMultilevel"/>
    <w:lvl w:ilvl="0">
      <w:lvlJc w:val="left"/>
      <w:lvlText w:val="."/>
      <w:numFmt w:val="bullet"/>
      <w:start w:val="1"/>
    </w:lvl>
  </w:abstractNum>
  <w:abstractNum w:abstractNumId="103">
    <w:nsid w:val="597B4D84"/>
    <w:multiLevelType w:val="hybridMultilevel"/>
    <w:lvl w:ilvl="0">
      <w:lvlJc w:val="left"/>
      <w:lvlText w:val="%1."/>
      <w:numFmt w:val="lowerLetter"/>
      <w:start w:val="4"/>
    </w:lvl>
  </w:abstractNum>
  <w:abstractNum w:abstractNumId="104">
    <w:nsid w:val="F819E7F"/>
    <w:multiLevelType w:val="hybridMultilevel"/>
    <w:lvl w:ilvl="0">
      <w:lvlJc w:val="left"/>
      <w:lvlText w:val="."/>
      <w:numFmt w:val="bullet"/>
      <w:start w:val="1"/>
    </w:lvl>
  </w:abstractNum>
  <w:abstractNum w:abstractNumId="105">
    <w:nsid w:val="57C7D42D"/>
    <w:multiLevelType w:val="hybridMultilevel"/>
    <w:lvl w:ilvl="0">
      <w:lvlJc w:val="left"/>
      <w:lvlText w:val="%1."/>
      <w:numFmt w:val="lowerLetter"/>
      <w:start w:val="5"/>
    </w:lvl>
  </w:abstractNum>
  <w:abstractNum w:abstractNumId="106">
    <w:nsid w:val="312167AD"/>
    <w:multiLevelType w:val="hybridMultilevel"/>
    <w:lvl w:ilvl="0">
      <w:lvlJc w:val="left"/>
      <w:lvlText w:val="."/>
      <w:numFmt w:val="bullet"/>
      <w:start w:val="1"/>
    </w:lvl>
  </w:abstractNum>
  <w:abstractNum w:abstractNumId="107">
    <w:nsid w:val="631B64D4"/>
    <w:multiLevelType w:val="hybridMultilevel"/>
    <w:lvl w:ilvl="0">
      <w:lvlJc w:val="left"/>
      <w:lvlText w:val="%1."/>
      <w:numFmt w:val="lowerLetter"/>
      <w:start w:val="6"/>
    </w:lvl>
  </w:abstractNum>
  <w:abstractNum w:abstractNumId="108">
    <w:nsid w:val="78B5E776"/>
    <w:multiLevelType w:val="hybridMultilevel"/>
    <w:lvl w:ilvl="0">
      <w:lvlJc w:val="left"/>
      <w:lvlText w:val="."/>
      <w:numFmt w:val="bullet"/>
      <w:start w:val="1"/>
    </w:lvl>
  </w:abstractNum>
  <w:abstractNum w:abstractNumId="109">
    <w:nsid w:val="75486E47"/>
    <w:multiLevelType w:val="hybridMultilevel"/>
    <w:lvl w:ilvl="0">
      <w:lvlJc w:val="left"/>
      <w:lvlText w:val="%1."/>
      <w:numFmt w:val="lowerLetter"/>
      <w:start w:val="1"/>
    </w:lvl>
  </w:abstractNum>
  <w:abstractNum w:abstractNumId="110">
    <w:nsid w:val="6E534CDE"/>
    <w:multiLevelType w:val="hybridMultilevel"/>
    <w:lvl w:ilvl="0">
      <w:lvlJc w:val="left"/>
      <w:lvlText w:val="(%1)"/>
      <w:numFmt w:val="decimal"/>
      <w:start w:val="1"/>
    </w:lvl>
  </w:abstractNum>
  <w:abstractNum w:abstractNumId="111">
    <w:nsid w:val="1A0DDE32"/>
    <w:multiLevelType w:val="hybridMultilevel"/>
    <w:lvl w:ilvl="0">
      <w:lvlJc w:val="left"/>
      <w:lvlText w:val="(%1)"/>
      <w:numFmt w:val="decimal"/>
      <w:start w:val="2"/>
    </w:lvl>
  </w:abstractNum>
  <w:abstractNum w:abstractNumId="112">
    <w:nsid w:val="65968C1C"/>
    <w:multiLevelType w:val="hybridMultilevel"/>
    <w:lvl w:ilvl="0">
      <w:lvlJc w:val="left"/>
      <w:lvlText w:val="%1."/>
      <w:numFmt w:val="lowerLetter"/>
      <w:start w:val="2"/>
    </w:lvl>
  </w:abstractNum>
  <w:abstractNum w:abstractNumId="113">
    <w:nsid w:val="46263DEC"/>
    <w:multiLevelType w:val="hybridMultilevel"/>
    <w:lvl w:ilvl="0">
      <w:lvlJc w:val="left"/>
      <w:lvlText w:val="."/>
      <w:numFmt w:val="bullet"/>
      <w:start w:val="1"/>
    </w:lvl>
  </w:abstractNum>
  <w:abstractNum w:abstractNumId="114">
    <w:nsid w:val="260D8C4A"/>
    <w:multiLevelType w:val="hybridMultilevel"/>
    <w:lvl w:ilvl="0">
      <w:lvlJc w:val="left"/>
      <w:lvlText w:val="%1."/>
      <w:numFmt w:val="lowerLetter"/>
      <w:start w:val="3"/>
    </w:lvl>
  </w:abstractNum>
  <w:abstractNum w:abstractNumId="115">
    <w:nsid w:val="73D4D3C4"/>
    <w:multiLevelType w:val="hybridMultilevel"/>
    <w:lvl w:ilvl="0">
      <w:lvlJc w:val="left"/>
      <w:lvlText w:val="."/>
      <w:numFmt w:val="bullet"/>
      <w:start w:val="1"/>
    </w:lvl>
  </w:abstractNum>
  <w:abstractNum w:abstractNumId="116">
    <w:nsid w:val="746F2E30"/>
    <w:multiLevelType w:val="hybridMultilevel"/>
    <w:lvl w:ilvl="0">
      <w:lvlJc w:val="left"/>
      <w:lvlText w:val="%1."/>
      <w:numFmt w:val="lowerLetter"/>
      <w:start w:val="4"/>
    </w:lvl>
  </w:abstractNum>
  <w:abstractNum w:abstractNumId="117">
    <w:nsid w:val="6FDE8AF6"/>
    <w:multiLevelType w:val="hybridMultilevel"/>
    <w:lvl w:ilvl="0">
      <w:lvlJc w:val="left"/>
      <w:lvlText w:val="."/>
      <w:numFmt w:val="bullet"/>
      <w:start w:val="1"/>
    </w:lvl>
  </w:abstractNum>
  <w:abstractNum w:abstractNumId="118">
    <w:nsid w:val="3FC32E20"/>
    <w:multiLevelType w:val="hybridMultilevel"/>
    <w:lvl w:ilvl="0">
      <w:lvlJc w:val="left"/>
      <w:lvlText w:val="%1."/>
      <w:numFmt w:val="lowerLetter"/>
      <w:start w:val="5"/>
    </w:lvl>
  </w:abstractNum>
  <w:abstractNum w:abstractNumId="119">
    <w:nsid w:val="49C0E823"/>
    <w:multiLevelType w:val="hybridMultilevel"/>
    <w:lvl w:ilvl="0">
      <w:lvlJc w:val="left"/>
      <w:lvlText w:val="."/>
      <w:numFmt w:val="bullet"/>
      <w:start w:val="1"/>
    </w:lvl>
  </w:abstractNum>
  <w:abstractNum w:abstractNumId="120">
    <w:nsid w:val="14D53685"/>
    <w:multiLevelType w:val="hybridMultilevel"/>
    <w:lvl w:ilvl="0">
      <w:lvlJc w:val="left"/>
      <w:lvlText w:val="%1."/>
      <w:numFmt w:val="lowerLetter"/>
      <w:start w:val="6"/>
    </w:lvl>
  </w:abstractNum>
  <w:abstractNum w:abstractNumId="121">
    <w:nsid w:val="230F856C"/>
    <w:multiLevelType w:val="hybridMultilevel"/>
    <w:lvl w:ilvl="0">
      <w:lvlJc w:val="left"/>
      <w:lvlText w:val="."/>
      <w:numFmt w:val="bullet"/>
      <w:start w:val="1"/>
    </w:lvl>
  </w:abstractNum>
  <w:abstractNum w:abstractNumId="122">
    <w:nsid w:val="6EAA85FB"/>
    <w:multiLevelType w:val="hybridMultilevel"/>
    <w:lvl w:ilvl="0">
      <w:lvlJc w:val="left"/>
      <w:lvlText w:val="%1."/>
      <w:numFmt w:val="lowerLetter"/>
      <w:start w:val="7"/>
    </w:lvl>
  </w:abstractNum>
  <w:abstractNum w:abstractNumId="123">
    <w:nsid w:val="3F06ECB2"/>
    <w:multiLevelType w:val="hybridMultilevel"/>
    <w:lvl w:ilvl="0">
      <w:lvlJc w:val="left"/>
      <w:lvlText w:val="."/>
      <w:numFmt w:val="bullet"/>
      <w:start w:val="1"/>
    </w:lvl>
  </w:abstractNum>
  <w:abstractNum w:abstractNumId="124">
    <w:nsid w:val="3B594807"/>
    <w:multiLevelType w:val="hybridMultilevel"/>
    <w:lvl w:ilvl="0">
      <w:lvlJc w:val="left"/>
      <w:lvlText w:val="%1."/>
      <w:numFmt w:val="lowerLetter"/>
      <w:start w:val="1"/>
    </w:lvl>
  </w:abstractNum>
  <w:abstractNum w:abstractNumId="125">
    <w:nsid w:val="6CAA2304"/>
    <w:multiLevelType w:val="hybridMultilevel"/>
    <w:lvl w:ilvl="0">
      <w:lvlJc w:val="left"/>
      <w:lvlText w:val="."/>
      <w:numFmt w:val="bullet"/>
      <w:start w:val="1"/>
    </w:lvl>
  </w:abstractNum>
  <w:abstractNum w:abstractNumId="126">
    <w:nsid w:val="3F7C2FF4"/>
    <w:multiLevelType w:val="hybridMultilevel"/>
    <w:lvl w:ilvl="0">
      <w:lvlJc w:val="left"/>
      <w:lvlText w:val="%1."/>
      <w:numFmt w:val="lowerLetter"/>
      <w:start w:val="2"/>
    </w:lvl>
  </w:abstractNum>
  <w:abstractNum w:abstractNumId="127">
    <w:nsid w:val="25413BEC"/>
    <w:multiLevelType w:val="hybridMultilevel"/>
    <w:lvl w:ilvl="0">
      <w:lvlJc w:val="left"/>
      <w:lvlText w:val="."/>
      <w:numFmt w:val="bullet"/>
      <w:start w:val="1"/>
    </w:lvl>
  </w:abstractNum>
  <w:abstractNum w:abstractNumId="128">
    <w:nsid w:val="17180B0B"/>
    <w:multiLevelType w:val="hybridMultilevel"/>
    <w:lvl w:ilvl="0">
      <w:lvlJc w:val="left"/>
      <w:lvlText w:val="%1."/>
      <w:numFmt w:val="lowerLetter"/>
      <w:start w:val="3"/>
    </w:lvl>
  </w:abstractNum>
  <w:abstractNum w:abstractNumId="129">
    <w:nsid w:val="579328B9"/>
    <w:multiLevelType w:val="hybridMultilevel"/>
    <w:lvl w:ilvl="0">
      <w:lvlJc w:val="left"/>
      <w:lvlText w:val="."/>
      <w:numFmt w:val="bullet"/>
      <w:start w:val="1"/>
    </w:lvl>
  </w:abstractNum>
  <w:abstractNum w:abstractNumId="130">
    <w:nsid w:val="5D205E20"/>
    <w:multiLevelType w:val="hybridMultilevel"/>
    <w:lvl w:ilvl="0">
      <w:lvlJc w:val="left"/>
      <w:lvlText w:val="%1."/>
      <w:numFmt w:val="lowerLetter"/>
      <w:start w:val="4"/>
    </w:lvl>
  </w:abstractNum>
  <w:abstractNum w:abstractNumId="131">
    <w:nsid w:val="11CCA8BA"/>
    <w:multiLevelType w:val="hybridMultilevel"/>
    <w:lvl w:ilvl="0">
      <w:lvlJc w:val="left"/>
      <w:lvlText w:val="."/>
      <w:numFmt w:val="bullet"/>
      <w:start w:val="1"/>
    </w:lvl>
  </w:abstractNum>
  <w:abstractNum w:abstractNumId="132">
    <w:nsid w:val="4D32AB86"/>
    <w:multiLevelType w:val="hybridMultilevel"/>
    <w:lvl w:ilvl="0">
      <w:lvlJc w:val="left"/>
      <w:lvlText w:val="%1."/>
      <w:numFmt w:val="lowerLetter"/>
      <w:start w:val="5"/>
    </w:lvl>
  </w:abstractNum>
  <w:abstractNum w:abstractNumId="133">
    <w:nsid w:val="3F07ACC3"/>
    <w:multiLevelType w:val="hybridMultilevel"/>
    <w:lvl w:ilvl="0">
      <w:lvlJc w:val="left"/>
      <w:lvlText w:val="."/>
      <w:numFmt w:val="bullet"/>
      <w:start w:val="1"/>
    </w:lvl>
  </w:abstractNum>
  <w:abstractNum w:abstractNumId="134">
    <w:nsid w:val="6B47F63E"/>
    <w:multiLevelType w:val="hybridMultilevel"/>
    <w:lvl w:ilvl="0">
      <w:lvlJc w:val="left"/>
      <w:lvlText w:val="%1."/>
      <w:numFmt w:val="lowerLetter"/>
      <w:start w:val="7"/>
    </w:lvl>
  </w:abstractNum>
  <w:abstractNum w:abstractNumId="135">
    <w:nsid w:val="5CB44A05"/>
    <w:multiLevelType w:val="hybridMultilevel"/>
    <w:lvl w:ilvl="0">
      <w:lvlJc w:val="left"/>
      <w:lvlText w:val="."/>
      <w:numFmt w:val="bullet"/>
      <w:start w:val="1"/>
    </w:lvl>
  </w:abstractNum>
  <w:abstractNum w:abstractNumId="136">
    <w:nsid w:val="16CF80F1"/>
    <w:multiLevelType w:val="hybridMultilevel"/>
    <w:lvl w:ilvl="0">
      <w:lvlJc w:val="left"/>
      <w:lvlText w:val="%1."/>
      <w:numFmt w:val="lowerLetter"/>
      <w:start w:val="8"/>
    </w:lvl>
  </w:abstractNum>
  <w:abstractNum w:abstractNumId="137">
    <w:nsid w:val="1C695DEC"/>
    <w:multiLevelType w:val="hybridMultilevel"/>
    <w:lvl w:ilvl="0">
      <w:lvlJc w:val="left"/>
      <w:lvlText w:val="."/>
      <w:numFmt w:val="bullet"/>
      <w:start w:val="1"/>
    </w:lvl>
  </w:abstractNum>
  <w:abstractNum w:abstractNumId="138">
    <w:nsid w:val="3FCFAED9"/>
    <w:multiLevelType w:val="hybridMultilevel"/>
    <w:lvl w:ilvl="0">
      <w:lvlJc w:val="left"/>
      <w:lvlText w:val="%1."/>
      <w:numFmt w:val="lowerLetter"/>
      <w:start w:val="1"/>
    </w:lvl>
  </w:abstractNum>
  <w:abstractNum w:abstractNumId="139">
    <w:nsid w:val="F856867"/>
    <w:multiLevelType w:val="hybridMultilevel"/>
    <w:lvl w:ilvl="0">
      <w:lvlJc w:val="left"/>
      <w:lvlText w:val="."/>
      <w:numFmt w:val="bullet"/>
      <w:start w:val="1"/>
    </w:lvl>
  </w:abstractNum>
  <w:abstractNum w:abstractNumId="140">
    <w:nsid w:val="11B1CC33"/>
    <w:multiLevelType w:val="hybridMultilevel"/>
    <w:lvl w:ilvl="0">
      <w:lvlJc w:val="left"/>
      <w:lvlText w:val="%1."/>
      <w:numFmt w:val="lowerLetter"/>
      <w:start w:val="2"/>
    </w:lvl>
  </w:abstractNum>
  <w:abstractNum w:abstractNumId="141">
    <w:nsid w:val="2E22FBB7"/>
    <w:multiLevelType w:val="hybridMultilevel"/>
    <w:lvl w:ilvl="0">
      <w:lvlJc w:val="left"/>
      <w:lvlText w:val="."/>
      <w:numFmt w:val="bullet"/>
      <w:start w:val="1"/>
    </w:lvl>
  </w:abstractNum>
  <w:abstractNum w:abstractNumId="142">
    <w:nsid w:val="29934699"/>
    <w:multiLevelType w:val="hybridMultilevel"/>
    <w:lvl w:ilvl="0">
      <w:lvlJc w:val="left"/>
      <w:lvlText w:val="%1."/>
      <w:numFmt w:val="lowerLetter"/>
      <w:start w:val="3"/>
    </w:lvl>
  </w:abstractNum>
  <w:abstractNum w:abstractNumId="143">
    <w:nsid w:val="77485850"/>
    <w:multiLevelType w:val="hybridMultilevel"/>
    <w:lvl w:ilvl="0">
      <w:lvlJc w:val="left"/>
      <w:lvlText w:val="."/>
      <w:numFmt w:val="bullet"/>
      <w:start w:val="1"/>
    </w:lvl>
  </w:abstractNum>
  <w:abstractNum w:abstractNumId="144">
    <w:nsid w:val="744939A3"/>
    <w:multiLevelType w:val="hybridMultilevel"/>
    <w:lvl w:ilvl="0">
      <w:lvlJc w:val="left"/>
      <w:lvlText w:val="%1."/>
      <w:numFmt w:val="lowerLetter"/>
      <w:start w:val="4"/>
    </w:lvl>
  </w:abstractNum>
  <w:abstractNum w:abstractNumId="145">
    <w:nsid w:val="4FA0D2E3"/>
    <w:multiLevelType w:val="hybridMultilevel"/>
    <w:lvl w:ilvl="0">
      <w:lvlJc w:val="left"/>
      <w:lvlText w:val="."/>
      <w:numFmt w:val="bullet"/>
      <w:start w:val="1"/>
    </w:lvl>
  </w:abstractNum>
  <w:abstractNum w:abstractNumId="146">
    <w:nsid w:val="6B1D2C14"/>
    <w:multiLevelType w:val="hybridMultilevel"/>
    <w:lvl w:ilvl="0">
      <w:lvlJc w:val="left"/>
      <w:lvlText w:val="%1."/>
      <w:numFmt w:val="lowerLetter"/>
      <w:start w:val="5"/>
    </w:lvl>
  </w:abstractNum>
  <w:abstractNum w:abstractNumId="147">
    <w:nsid w:val="68B867D3"/>
    <w:multiLevelType w:val="hybridMultilevel"/>
    <w:lvl w:ilvl="0">
      <w:lvlJc w:val="left"/>
      <w:lvlText w:val="."/>
      <w:numFmt w:val="bullet"/>
      <w:start w:val="1"/>
    </w:lvl>
  </w:abstractNum>
  <w:abstractNum w:abstractNumId="148">
    <w:nsid w:val="3F7F5DD9"/>
    <w:multiLevelType w:val="hybridMultilevel"/>
    <w:lvl w:ilvl="0">
      <w:lvlJc w:val="left"/>
      <w:lvlText w:val="%1."/>
      <w:numFmt w:val="lowerLetter"/>
      <w:start w:val="1"/>
    </w:lvl>
  </w:abstractNum>
  <w:abstractNum w:abstractNumId="149">
    <w:nsid w:val="2AE05A34"/>
    <w:multiLevelType w:val="hybridMultilevel"/>
    <w:lvl w:ilvl="0">
      <w:lvlJc w:val="left"/>
      <w:lvlText w:val="."/>
      <w:numFmt w:val="bullet"/>
      <w:start w:val="1"/>
    </w:lvl>
  </w:abstractNum>
  <w:abstractNum w:abstractNumId="150">
    <w:nsid w:val="32794FF7"/>
    <w:multiLevelType w:val="hybridMultilevel"/>
    <w:lvl w:ilvl="0">
      <w:lvlJc w:val="left"/>
      <w:lvlText w:val="%1."/>
      <w:numFmt w:val="lowerLetter"/>
      <w:start w:val="2"/>
    </w:lvl>
  </w:abstractNum>
  <w:abstractNum w:abstractNumId="151">
    <w:nsid w:val="5454945E"/>
    <w:multiLevelType w:val="hybridMultilevel"/>
    <w:lvl w:ilvl="0">
      <w:lvlJc w:val="left"/>
      <w:lvlText w:val="."/>
      <w:numFmt w:val="bullet"/>
      <w:start w:val="1"/>
    </w:lvl>
  </w:abstractNum>
  <w:abstractNum w:abstractNumId="152">
    <w:nsid w:val="4DEFDFA0"/>
    <w:multiLevelType w:val="hybridMultilevel"/>
    <w:lvl w:ilvl="0">
      <w:lvlJc w:val="left"/>
      <w:lvlText w:val="%1."/>
      <w:numFmt w:val="lowerLetter"/>
      <w:start w:val="3"/>
    </w:lvl>
  </w:abstractNum>
  <w:abstractNum w:abstractNumId="153">
    <w:nsid w:val="2123D5F2"/>
    <w:multiLevelType w:val="hybridMultilevel"/>
    <w:lvl w:ilvl="0">
      <w:lvlJc w:val="left"/>
      <w:lvlText w:val="(%1)"/>
      <w:numFmt w:val="decimal"/>
      <w:start w:val="1"/>
    </w:lvl>
  </w:abstractNum>
  <w:abstractNum w:abstractNumId="154">
    <w:nsid w:val="135B8110"/>
    <w:multiLevelType w:val="hybridMultilevel"/>
    <w:lvl w:ilvl="0">
      <w:lvlJc w:val="left"/>
      <w:lvlText w:val="(%1)"/>
      <w:numFmt w:val="decimal"/>
      <w:start w:val="3"/>
    </w:lvl>
  </w:abstractNum>
  <w:abstractNum w:abstractNumId="155">
    <w:nsid w:val="94927A8"/>
    <w:multiLevelType w:val="hybridMultilevel"/>
    <w:lvl w:ilvl="0">
      <w:lvlJc w:val="left"/>
      <w:lvlText w:val="(%1)"/>
      <w:numFmt w:val="decimal"/>
      <w:start w:val="1"/>
    </w:lvl>
  </w:abstractNum>
  <w:abstractNum w:abstractNumId="156">
    <w:nsid w:val="DCDF8F6"/>
    <w:multiLevelType w:val="hybridMultilevel"/>
    <w:lvl w:ilvl="0">
      <w:lvlJc w:val="left"/>
      <w:lvlText w:val="(%1)"/>
      <w:numFmt w:val="decimal"/>
      <w:start w:val="4"/>
    </w:lvl>
  </w:abstractNum>
  <w:abstractNum w:abstractNumId="157">
    <w:nsid w:val="52D7B105"/>
    <w:multiLevelType w:val="hybridMultilevel"/>
    <w:lvl w:ilvl="0">
      <w:lvlJc w:val="left"/>
      <w:lvlText w:val="%1."/>
      <w:numFmt w:val="lowerLetter"/>
      <w:start w:val="4"/>
    </w:lvl>
  </w:abstractNum>
  <w:abstractNum w:abstractNumId="158">
    <w:nsid w:val="2E8A6394"/>
    <w:multiLevelType w:val="hybridMultilevel"/>
    <w:lvl w:ilvl="0">
      <w:lvlJc w:val="left"/>
      <w:lvlText w:val="."/>
      <w:numFmt w:val="bullet"/>
      <w:start w:val="1"/>
    </w:lvl>
  </w:abstractNum>
  <w:abstractNum w:abstractNumId="159">
    <w:nsid w:val="24E60401"/>
    <w:multiLevelType w:val="hybridMultilevel"/>
    <w:lvl w:ilvl="0">
      <w:lvlJc w:val="left"/>
      <w:lvlText w:val="%1."/>
      <w:numFmt w:val="lowerLetter"/>
      <w:start w:val="5"/>
    </w:lvl>
  </w:abstractNum>
  <w:abstractNum w:abstractNumId="160">
    <w:nsid w:val="2A6AD9BE"/>
    <w:multiLevelType w:val="hybridMultilevel"/>
    <w:lvl w:ilvl="0">
      <w:lvlJc w:val="left"/>
      <w:lvlText w:val="."/>
      <w:numFmt w:val="bullet"/>
      <w:start w:val="1"/>
    </w:lvl>
  </w:abstractNum>
  <w:abstractNum w:abstractNumId="161">
    <w:nsid w:val="BAAC1B4"/>
    <w:multiLevelType w:val="hybridMultilevel"/>
    <w:lvl w:ilvl="0">
      <w:lvlJc w:val="left"/>
      <w:lvlText w:val="%1."/>
      <w:numFmt w:val="lowerLetter"/>
      <w:start w:val="6"/>
    </w:lvl>
  </w:abstractNum>
  <w:abstractNum w:abstractNumId="162">
    <w:nsid w:val="36B2ACBC"/>
    <w:multiLevelType w:val="hybridMultilevel"/>
    <w:lvl w:ilvl="0">
      <w:lvlJc w:val="left"/>
      <w:lvlText w:val="."/>
      <w:numFmt w:val="bullet"/>
      <w:start w:val="1"/>
    </w:lvl>
  </w:abstractNum>
  <w:abstractNum w:abstractNumId="163">
    <w:nsid w:val="779D8544"/>
    <w:multiLevelType w:val="hybridMultilevel"/>
    <w:lvl w:ilvl="0">
      <w:lvlJc w:val="left"/>
      <w:lvlText w:val="%1."/>
      <w:numFmt w:val="lowerLetter"/>
      <w:start w:val="7"/>
    </w:lvl>
  </w:abstractNum>
  <w:abstractNum w:abstractNumId="164">
    <w:nsid w:val="4AB26E78"/>
    <w:multiLevelType w:val="hybridMultilevel"/>
    <w:lvl w:ilvl="0">
      <w:lvlJc w:val="left"/>
      <w:lvlText w:val="."/>
      <w:numFmt w:val="bullet"/>
      <w:start w:val="1"/>
    </w:lvl>
  </w:abstractNum>
  <w:abstractNum w:abstractNumId="165">
    <w:nsid w:val="21FAA2FA"/>
    <w:multiLevelType w:val="hybridMultilevel"/>
    <w:lvl w:ilvl="0">
      <w:lvlJc w:val="left"/>
      <w:lvlText w:val="%1."/>
      <w:numFmt w:val="lowerLetter"/>
      <w:start w:val="8"/>
    </w:lvl>
  </w:abstractNum>
  <w:abstractNum w:abstractNumId="166">
    <w:nsid w:val="5451CF49"/>
    <w:multiLevelType w:val="hybridMultilevel"/>
    <w:lvl w:ilvl="0">
      <w:lvlJc w:val="left"/>
      <w:lvlText w:val="%1."/>
      <w:numFmt w:val="lowerRoman"/>
      <w:start w:val="1"/>
    </w:lvl>
  </w:abstractNum>
  <w:abstractNum w:abstractNumId="167">
    <w:nsid w:val="6181EF69"/>
    <w:multiLevelType w:val="hybridMultilevel"/>
    <w:lvl w:ilvl="0">
      <w:lvlJc w:val="left"/>
      <w:lvlText w:val="."/>
      <w:numFmt w:val="bullet"/>
      <w:start w:val="1"/>
    </w:lvl>
  </w:abstractNum>
  <w:abstractNum w:abstractNumId="168">
    <w:nsid w:val="3E6400E6"/>
    <w:multiLevelType w:val="hybridMultilevel"/>
    <w:lvl w:ilvl="0">
      <w:lvlJc w:val="left"/>
      <w:lvlText w:val="%1."/>
      <w:numFmt w:val="lowerLetter"/>
      <w:start w:val="10"/>
    </w:lvl>
  </w:abstractNum>
  <w:abstractNum w:abstractNumId="169">
    <w:nsid w:val="14217E23"/>
    <w:multiLevelType w:val="hybridMultilevel"/>
    <w:lvl w:ilvl="0">
      <w:lvlJc w:val="left"/>
      <w:lvlText w:val="."/>
      <w:numFmt w:val="bullet"/>
      <w:start w:val="1"/>
    </w:lvl>
  </w:abstractNum>
  <w:abstractNum w:abstractNumId="170">
    <w:nsid w:val="710757D0"/>
    <w:multiLevelType w:val="hybridMultilevel"/>
    <w:lvl w:ilvl="0">
      <w:lvlJc w:val="left"/>
      <w:lvlText w:val="%1."/>
      <w:numFmt w:val="lowerLetter"/>
      <w:start w:val="11"/>
    </w:lvl>
  </w:abstractNum>
  <w:abstractNum w:abstractNumId="171">
    <w:nsid w:val="5015CD1A"/>
    <w:multiLevelType w:val="hybridMultilevel"/>
    <w:lvl w:ilvl="0">
      <w:lvlJc w:val="left"/>
      <w:lvlText w:val="%1."/>
      <w:numFmt w:val="lowerLetter"/>
      <w:start w:val="12"/>
    </w:lvl>
  </w:abstractNum>
  <w:abstractNum w:abstractNumId="172">
    <w:nsid w:val="424479DA"/>
    <w:multiLevelType w:val="hybridMultilevel"/>
    <w:lvl w:ilvl="0">
      <w:lvlJc w:val="left"/>
      <w:lvlText w:val="."/>
      <w:numFmt w:val="bullet"/>
      <w:start w:val="1"/>
    </w:lvl>
  </w:abstractNum>
  <w:abstractNum w:abstractNumId="173">
    <w:nsid w:val="1A9A9E69"/>
    <w:multiLevelType w:val="hybridMultilevel"/>
    <w:lvl w:ilvl="0">
      <w:lvlJc w:val="left"/>
      <w:lvlText w:val="1"/>
      <w:numFmt w:val="bullet"/>
      <w:start w:val="1"/>
    </w:lvl>
  </w:abstractNum>
  <w:abstractNum w:abstractNumId="174">
    <w:nsid w:val="475E256A"/>
    <w:multiLevelType w:val="hybridMultilevel"/>
    <w:lvl w:ilvl="0">
      <w:lvlJc w:val="left"/>
      <w:lvlText w:val="2"/>
      <w:numFmt w:val="bullet"/>
      <w:start w:val="1"/>
    </w:lvl>
  </w:abstractNum>
  <w:abstractNum w:abstractNumId="175">
    <w:nsid w:val="368DB37E"/>
    <w:multiLevelType w:val="hybridMultilevel"/>
    <w:lvl w:ilvl="0">
      <w:lvlJc w:val="left"/>
      <w:lvlText w:val="3"/>
      <w:numFmt w:val="bullet"/>
      <w:start w:val="1"/>
    </w:lvl>
  </w:abstractNum>
  <w:abstractNum w:abstractNumId="176">
    <w:nsid w:val="6A3B714C"/>
    <w:multiLevelType w:val="hybridMultilevel"/>
    <w:lvl w:ilvl="0">
      <w:lvlJc w:val="left"/>
      <w:lvlText w:val="4"/>
      <w:numFmt w:val="bullet"/>
      <w:start w:val="1"/>
    </w:lvl>
  </w:abstractNum>
  <w:abstractNum w:abstractNumId="177">
    <w:nsid w:val="327B517E"/>
    <w:multiLevelType w:val="hybridMultilevel"/>
    <w:lvl w:ilvl="0">
      <w:lvlJc w:val="left"/>
      <w:lvlText w:val="5"/>
      <w:numFmt w:val="bullet"/>
      <w:start w:val="1"/>
    </w:lvl>
  </w:abstractNum>
  <w:abstractNum w:abstractNumId="178">
    <w:nsid w:val="1F461B51"/>
    <w:multiLevelType w:val="hybridMultilevel"/>
    <w:lvl w:ilvl="0">
      <w:lvlJc w:val="left"/>
      <w:lvlText w:val="1"/>
      <w:numFmt w:val="bullet"/>
      <w:start w:val="1"/>
    </w:lvl>
  </w:abstractNum>
  <w:abstractNum w:abstractNumId="179">
    <w:nsid w:val="29BACF25"/>
    <w:multiLevelType w:val="hybridMultilevel"/>
    <w:lvl w:ilvl="0">
      <w:lvlJc w:val="left"/>
      <w:lvlText w:val="2"/>
      <w:numFmt w:val="bullet"/>
      <w:start w:val="1"/>
    </w:lvl>
  </w:abstractNum>
  <w:abstractNum w:abstractNumId="180">
    <w:nsid w:val="5D5BABB3"/>
    <w:multiLevelType w:val="hybridMultilevel"/>
    <w:lvl w:ilvl="0">
      <w:lvlJc w:val="left"/>
      <w:lvlText w:val="3"/>
      <w:numFmt w:val="bullet"/>
      <w:start w:val="1"/>
    </w:lvl>
  </w:abstractNum>
  <w:abstractNum w:abstractNumId="181">
    <w:nsid w:val="51BF6B48"/>
    <w:multiLevelType w:val="hybridMultilevel"/>
    <w:lvl w:ilvl="0">
      <w:lvlJc w:val="left"/>
      <w:lvlText w:val="4"/>
      <w:numFmt w:val="bullet"/>
      <w:start w:val="1"/>
    </w:lvl>
  </w:abstractNum>
  <w:abstractNum w:abstractNumId="182">
    <w:nsid w:val="7E0F6384"/>
    <w:multiLevelType w:val="hybridMultilevel"/>
    <w:lvl w:ilvl="0">
      <w:lvlJc w:val="left"/>
      <w:lvlText w:val="d"/>
      <w:numFmt w:val="bullet"/>
      <w:start w:val="1"/>
    </w:lvl>
  </w:abstractNum>
  <w:abstractNum w:abstractNumId="183">
    <w:nsid w:val="2B4B8B53"/>
    <w:multiLevelType w:val="hybridMultilevel"/>
    <w:lvl w:ilvl="0">
      <w:lvlJc w:val="left"/>
      <w:lvlText w:val="5"/>
      <w:numFmt w:val="bullet"/>
      <w:start w:val="1"/>
    </w:lvl>
  </w:abstractNum>
  <w:abstractNum w:abstractNumId="184">
    <w:nsid w:val="72E3413A"/>
    <w:multiLevelType w:val="hybridMultilevel"/>
    <w:lvl w:ilvl="0">
      <w:lvlJc w:val="left"/>
      <w:lvlText w:val="2"/>
      <w:numFmt w:val="bullet"/>
      <w:start w:val="1"/>
    </w:lvl>
  </w:abstractNum>
  <w:abstractNum w:abstractNumId="185">
    <w:nsid w:val="116AE49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2020-07-29T15:14:33Z</dcterms:created>
  <dcterms:modified xsi:type="dcterms:W3CDTF">2020-07-29T15:14:33Z</dcterms:modified>
</cp:coreProperties>
</file>