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2020</w:t>
      </w:r>
    </w:p>
    <w:p>
      <w:pPr>
        <w:spacing w:after="0" w:line="32"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7" w:lineRule="exact"/>
        <w:rPr>
          <w:sz w:val="24"/>
          <w:szCs w:val="24"/>
          <w:color w:val="auto"/>
        </w:rPr>
      </w:pPr>
    </w:p>
    <w:p>
      <w:pPr>
        <w:ind w:left="740"/>
        <w:spacing w:after="0"/>
        <w:tabs>
          <w:tab w:leader="none" w:pos="5200" w:val="left"/>
          <w:tab w:leader="none" w:pos="8500" w:val="left"/>
        </w:tabs>
        <w:rPr>
          <w:sz w:val="20"/>
          <w:szCs w:val="20"/>
          <w:color w:val="auto"/>
        </w:rPr>
      </w:pPr>
      <w:r>
        <w:rPr>
          <w:rFonts w:ascii="Times New Roman" w:cs="Times New Roman" w:eastAsia="Times New Roman" w:hAnsi="Times New Roman"/>
          <w:sz w:val="22"/>
          <w:szCs w:val="22"/>
          <w:b w:val="1"/>
          <w:bCs w:val="1"/>
          <w:color w:val="auto"/>
        </w:rPr>
        <w:t>British Columbia, Canada</w:t>
      </w:r>
      <w:r>
        <w:rPr>
          <w:sz w:val="20"/>
          <w:szCs w:val="20"/>
          <w:color w:val="auto"/>
        </w:rPr>
        <w:tab/>
      </w:r>
      <w:r>
        <w:rPr>
          <w:rFonts w:ascii="Times New Roman" w:cs="Times New Roman" w:eastAsia="Times New Roman" w:hAnsi="Times New Roman"/>
          <w:sz w:val="22"/>
          <w:szCs w:val="22"/>
          <w:b w:val="1"/>
          <w:bCs w:val="1"/>
          <w:color w:val="auto"/>
        </w:rPr>
        <w:t>1-36246</w:t>
      </w:r>
      <w:r>
        <w:rPr>
          <w:sz w:val="20"/>
          <w:szCs w:val="20"/>
          <w:color w:val="auto"/>
        </w:rPr>
        <w:tab/>
      </w:r>
      <w:r>
        <w:rPr>
          <w:rFonts w:ascii="Times New Roman" w:cs="Times New Roman" w:eastAsia="Times New Roman" w:hAnsi="Times New Roman"/>
          <w:sz w:val="21"/>
          <w:szCs w:val="21"/>
          <w:b w:val="1"/>
          <w:bCs w:val="1"/>
          <w:color w:val="auto"/>
        </w:rPr>
        <w:t>98-1253716</w:t>
      </w:r>
    </w:p>
    <w:p>
      <w:pPr>
        <w:spacing w:after="0" w:line="32" w:lineRule="exact"/>
        <w:rPr>
          <w:sz w:val="24"/>
          <w:szCs w:val="24"/>
          <w:color w:val="auto"/>
        </w:rPr>
      </w:pPr>
    </w:p>
    <w:p>
      <w:pPr>
        <w:ind w:left="1200"/>
        <w:spacing w:after="0"/>
        <w:tabs>
          <w:tab w:leader="none" w:pos="4900" w:val="left"/>
          <w:tab w:leader="none" w:pos="8200" w:val="left"/>
        </w:tabs>
        <w:rPr>
          <w:sz w:val="20"/>
          <w:szCs w:val="20"/>
          <w:color w:val="auto"/>
        </w:rPr>
      </w:pPr>
      <w:r>
        <w:rPr>
          <w:rFonts w:ascii="Times New Roman" w:cs="Times New Roman" w:eastAsia="Times New Roman" w:hAnsi="Times New Roman"/>
          <w:sz w:val="18"/>
          <w:szCs w:val="18"/>
          <w:color w:val="auto"/>
        </w:rPr>
        <w:t>(State or other jurisdiction</w:t>
      </w:r>
      <w:r>
        <w:rPr>
          <w:sz w:val="20"/>
          <w:szCs w:val="20"/>
          <w:color w:val="auto"/>
        </w:rPr>
        <w:tab/>
      </w:r>
      <w:r>
        <w:rPr>
          <w:rFonts w:ascii="Times New Roman" w:cs="Times New Roman" w:eastAsia="Times New Roman" w:hAnsi="Times New Roman"/>
          <w:sz w:val="18"/>
          <w:szCs w:val="18"/>
          <w:color w:val="auto"/>
        </w:rPr>
        <w:t>(Commission File</w:t>
      </w:r>
      <w:r>
        <w:rPr>
          <w:sz w:val="20"/>
          <w:szCs w:val="20"/>
          <w:color w:val="auto"/>
        </w:rPr>
        <w:tab/>
      </w:r>
      <w:r>
        <w:rPr>
          <w:rFonts w:ascii="Times New Roman" w:cs="Times New Roman" w:eastAsia="Times New Roman" w:hAnsi="Times New Roman"/>
          <w:sz w:val="18"/>
          <w:szCs w:val="18"/>
          <w:color w:val="auto"/>
        </w:rPr>
        <w:t>(I.R.S. Employer</w:t>
      </w:r>
    </w:p>
    <w:p>
      <w:pPr>
        <w:ind w:left="980"/>
        <w:spacing w:after="0"/>
        <w:tabs>
          <w:tab w:leader="none" w:pos="5240" w:val="left"/>
          <w:tab w:leader="none" w:pos="8160" w:val="left"/>
        </w:tabs>
        <w:rPr>
          <w:sz w:val="20"/>
          <w:szCs w:val="20"/>
          <w:color w:val="auto"/>
        </w:rPr>
      </w:pPr>
      <w:r>
        <w:rPr>
          <w:rFonts w:ascii="Times New Roman" w:cs="Times New Roman" w:eastAsia="Times New Roman" w:hAnsi="Times New Roman"/>
          <w:sz w:val="18"/>
          <w:szCs w:val="18"/>
          <w:color w:val="auto"/>
        </w:rPr>
        <w:t>of incorporation or organization)</w:t>
      </w:r>
      <w:r>
        <w:rPr>
          <w:sz w:val="20"/>
          <w:szCs w:val="20"/>
          <w:color w:val="auto"/>
        </w:rPr>
        <w:tab/>
      </w: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7"/>
          <w:szCs w:val="17"/>
          <w:color w:val="auto"/>
        </w:rPr>
        <w:t>Identification No.)</w:t>
      </w:r>
    </w:p>
    <w:p>
      <w:pPr>
        <w:spacing w:after="0" w:line="15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5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333 Clay Street, Suite 4980</w:t>
      </w:r>
    </w:p>
    <w:p>
      <w:pPr>
        <w:spacing w:after="0" w:line="179" w:lineRule="exact"/>
        <w:rPr>
          <w:sz w:val="24"/>
          <w:szCs w:val="24"/>
          <w:color w:val="auto"/>
        </w:rPr>
      </w:pPr>
    </w:p>
    <w:p>
      <w:pPr>
        <w:jc w:val="center"/>
        <w:ind w:left="42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Houston, Texas</w:t>
      </w:r>
      <w:r>
        <w:rPr>
          <w:sz w:val="20"/>
          <w:szCs w:val="20"/>
          <w:color w:val="auto"/>
        </w:rPr>
        <w:tab/>
      </w:r>
      <w:r>
        <w:rPr>
          <w:rFonts w:ascii="Times New Roman" w:cs="Times New Roman" w:eastAsia="Times New Roman" w:hAnsi="Times New Roman"/>
          <w:sz w:val="21"/>
          <w:szCs w:val="21"/>
          <w:b w:val="1"/>
          <w:bCs w:val="1"/>
          <w:color w:val="auto"/>
        </w:rPr>
        <w:t>77002</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7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sectPr>
          <w:pgSz w:w="11900" w:h="16838" w:orient="portrait"/>
          <w:cols w:equalWidth="0" w:num="1">
            <w:col w:w="11220"/>
          </w:cols>
          <w:pgMar w:left="320" w:top="1384" w:right="359" w:bottom="1440" w:gutter="0" w:footer="0" w:header="0"/>
        </w:sect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802640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Material-Definitive Agreement.</w:t>
      </w:r>
    </w:p>
    <w:p>
      <w:pPr>
        <w:spacing w:after="0" w:line="23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On September 3, 2020, Civeo Corporation (“Civeo”) entered into a Third Amendment (the “Credit Agreement Amendment”) to its Amended and Restated Syndicated Facility Agreement, dated April 2, 2018 (the “Credit Agreement”), among Civeo and certain of its subsidiaries, as borrowers, the guarantors party thereto, the lenders named therein, Royal Bank of Canada, as Administrative Agent, and the other agents party thereto. Pursuant to the Credit Agreement Amendment, the Credit Agreement has been amended to, among other things:</w:t>
      </w:r>
    </w:p>
    <w:p>
      <w:pPr>
        <w:spacing w:after="0" w:line="204" w:lineRule="exact"/>
        <w:rPr>
          <w:sz w:val="20"/>
          <w:szCs w:val="20"/>
          <w:color w:val="auto"/>
        </w:rPr>
      </w:pPr>
    </w:p>
    <w:p>
      <w:pPr>
        <w:ind w:left="660" w:right="4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Maturity Date of the Commitments and Loans of each Lender remaining a Lender following the Credit Agreement Amendment to May 30, 2023. Certain Lenders are not extending the Maturity Date of their Commitments and Loans; the Loans of the non-extending Lenders were paid in full primarily with borrowings under the facility, and their Commitments terminated on the date of the Credit Agreement Amendment.</w:t>
      </w:r>
    </w:p>
    <w:p>
      <w:pPr>
        <w:spacing w:after="0" w:line="207" w:lineRule="exact"/>
        <w:rPr>
          <w:rFonts w:ascii="Times New Roman" w:cs="Times New Roman" w:eastAsia="Times New Roman" w:hAnsi="Times New Roman"/>
          <w:sz w:val="22"/>
          <w:szCs w:val="22"/>
          <w:color w:val="auto"/>
        </w:rPr>
      </w:pPr>
    </w:p>
    <w:p>
      <w:pPr>
        <w:ind w:left="660" w:right="20" w:hanging="328"/>
        <w:spacing w:after="0" w:line="245" w:lineRule="auto"/>
        <w:tabs>
          <w:tab w:leader="none" w:pos="65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 the margin applicable to Loans and the Commitment Fee payable on the Commitments of the Lenders. Prior to entering into the Credit Agreement Amendment, (i) the margin applicable to Eurocurrency Loans, BBSY Rate Loans and B/A Loans ranged from 2.25% to 4.00%, (ii) the margin applicable to ABR Loans, Canadian Prime Rate Loans and U.S. Base Rate Loans ranged from 1.25% to 3.00% and (iii) the Commitment Fee ranged from 0.51% to 0.90%, in each case increasing as the Total Leverage Ratio of the Parent Borrower and its Subsidiaries increased from less than 2.00 to 1.00 to greater than 4.00 to 1.00. Following entry into the Credit Agreement Amendment, these ranges have increased to (i)</w:t>
      </w:r>
    </w:p>
    <w:p>
      <w:pPr>
        <w:spacing w:after="0" w:line="2" w:lineRule="exact"/>
        <w:rPr>
          <w:rFonts w:ascii="Times New Roman" w:cs="Times New Roman" w:eastAsia="Times New Roman" w:hAnsi="Times New Roman"/>
          <w:sz w:val="21"/>
          <w:szCs w:val="21"/>
          <w:color w:val="auto"/>
        </w:rPr>
      </w:pPr>
    </w:p>
    <w:p>
      <w:pPr>
        <w:ind w:left="660" w:right="2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3.50% to 4.50%, (ii) 2.50% to 3.50% and (iii) 0.875% to 1.125%, respectively, in each case as the Total Leverage Ratio increases from less than 2.50 to 1.00 to greater than 3.50 to 1.00.</w:t>
      </w:r>
    </w:p>
    <w:p>
      <w:pPr>
        <w:spacing w:after="0" w:line="205" w:lineRule="exact"/>
        <w:rPr>
          <w:rFonts w:ascii="Times New Roman" w:cs="Times New Roman" w:eastAsia="Times New Roman" w:hAnsi="Times New Roman"/>
          <w:sz w:val="21"/>
          <w:szCs w:val="21"/>
          <w:color w:val="auto"/>
        </w:rPr>
      </w:pPr>
    </w:p>
    <w:p>
      <w:pPr>
        <w:ind w:left="660" w:hanging="328"/>
        <w:spacing w:after="0" w:line="239"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 (i) the U.S. Revolving Commitments from $20,000,000 to $10,000,000, (ii) the maximum permitted amount of U.S. L/C Exposure from $15,000,000 to $10,000,000 to match the reduction in the U.S. Revolving Commitments, (iii) the Canadian Revolving Commitments from $183,500,000 to $122,300,000 and (iv) the Australian Revolving Commitments from $60,000,000 to $35,000,000.</w:t>
      </w:r>
    </w:p>
    <w:p>
      <w:pPr>
        <w:spacing w:after="0" w:line="207" w:lineRule="exact"/>
        <w:rPr>
          <w:rFonts w:ascii="Times New Roman" w:cs="Times New Roman" w:eastAsia="Times New Roman" w:hAnsi="Times New Roman"/>
          <w:sz w:val="22"/>
          <w:szCs w:val="22"/>
          <w:color w:val="auto"/>
        </w:rPr>
      </w:pPr>
    </w:p>
    <w:p>
      <w:pPr>
        <w:ind w:left="660" w:right="760" w:hanging="328"/>
        <w:spacing w:after="0" w:line="25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Reallocate the Commitments among the Extending Lenders in the manner set forth in Schedule 2.01 to the Credit Agreement Amendment.</w:t>
      </w:r>
    </w:p>
    <w:p>
      <w:pPr>
        <w:spacing w:after="0" w:line="185" w:lineRule="exact"/>
        <w:rPr>
          <w:sz w:val="20"/>
          <w:szCs w:val="20"/>
          <w:color w:val="auto"/>
        </w:rPr>
      </w:pPr>
    </w:p>
    <w:p>
      <w:pPr>
        <w:jc w:val="both"/>
        <w:ind w:right="320"/>
        <w:spacing w:after="0" w:line="239" w:lineRule="auto"/>
        <w:rPr>
          <w:sz w:val="20"/>
          <w:szCs w:val="20"/>
          <w:color w:val="auto"/>
        </w:rPr>
      </w:pPr>
      <w:r>
        <w:rPr>
          <w:rFonts w:ascii="Times New Roman" w:cs="Times New Roman" w:eastAsia="Times New Roman" w:hAnsi="Times New Roman"/>
          <w:sz w:val="22"/>
          <w:szCs w:val="22"/>
          <w:color w:val="auto"/>
        </w:rPr>
        <w:t>The description of the Credit Agreement Amendment set forth herein is summary in nature and is qualified in its entirety by reference to the full text of the Credit Agreement Amendment, a copy of which is attached hereto as Exhibit 10.1. The Credit Agreement is more fully described in Civeo’s annual report on Form 10-K for the year ended December 31, 2019 and its most recent quarterly report on Form 10-Q.</w:t>
      </w:r>
    </w:p>
    <w:p>
      <w:pPr>
        <w:spacing w:after="0" w:line="2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included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color w:val="auto"/>
        </w:rPr>
        <w:t>Item 9.01. Financial Statements and Exhibits.</w:t>
      </w:r>
    </w:p>
    <w:p>
      <w:pPr>
        <w:spacing w:after="0" w:line="43" w:lineRule="exact"/>
        <w:rPr>
          <w:sz w:val="20"/>
          <w:szCs w:val="20"/>
          <w:color w:val="auto"/>
        </w:rPr>
      </w:pPr>
    </w:p>
    <w:p>
      <w:pPr>
        <w:ind w:left="740" w:hanging="300"/>
        <w:spacing w:after="0"/>
        <w:tabs>
          <w:tab w:leader="none" w:pos="7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ectPr>
          <w:pgSz w:w="11900" w:h="16838" w:orient="portrait"/>
          <w:cols w:equalWidth="0" w:num="1">
            <w:col w:w="10420"/>
          </w:cols>
          <w:pgMar w:left="320" w:top="1296" w:right="1159" w:bottom="1440" w:gutter="0" w:footer="0" w:header="0"/>
        </w:sectPr>
      </w:pPr>
    </w:p>
    <w:p>
      <w:pPr>
        <w:spacing w:after="0" w:line="344" w:lineRule="exact"/>
        <w:rPr>
          <w:sz w:val="20"/>
          <w:szCs w:val="20"/>
          <w:color w:val="auto"/>
        </w:rPr>
      </w:pPr>
    </w:p>
    <w:p>
      <w:pPr>
        <w:ind w:left="20"/>
        <w:spacing w:after="0" w:line="322" w:lineRule="auto"/>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xml:space="preserve"> 10.1</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Description of Document</w:t>
      </w:r>
    </w:p>
    <w:p>
      <w:pPr>
        <w:spacing w:after="0" w:line="31" w:lineRule="exact"/>
        <w:rPr>
          <w:sz w:val="20"/>
          <w:szCs w:val="20"/>
          <w:color w:val="auto"/>
        </w:rPr>
      </w:pPr>
    </w:p>
    <w:p>
      <w:pPr>
        <w:spacing w:after="0" w:line="220" w:lineRule="auto"/>
        <w:rPr>
          <w:rFonts w:ascii="Times New Roman" w:cs="Times New Roman" w:eastAsia="Times New Roman" w:hAnsi="Times New Roman"/>
          <w:sz w:val="22"/>
          <w:szCs w:val="22"/>
          <w:u w:val="single" w:color="auto"/>
          <w:color w:val="0000FF"/>
        </w:rPr>
      </w:pPr>
      <w:hyperlink w:anchor="page6">
        <w:r>
          <w:rPr>
            <w:rFonts w:ascii="Times New Roman" w:cs="Times New Roman" w:eastAsia="Times New Roman" w:hAnsi="Times New Roman"/>
            <w:sz w:val="22"/>
            <w:szCs w:val="22"/>
            <w:u w:val="single" w:color="auto"/>
            <w:color w:val="0000FF"/>
          </w:rPr>
          <w:t>Third Amendment to Amended and Restated Syndicated Facility Agreement, dated as of September</w:t>
        </w:r>
      </w:hyperlink>
      <w:r>
        <w:rPr>
          <w:rFonts w:ascii="Times New Roman" w:cs="Times New Roman" w:eastAsia="Times New Roman" w:hAnsi="Times New Roman"/>
          <w:sz w:val="22"/>
          <w:szCs w:val="22"/>
          <w:u w:val="single" w:color="auto"/>
          <w:color w:val="0000FF"/>
        </w:rPr>
        <w:t xml:space="preserve"> </w:t>
      </w:r>
      <w:hyperlink w:anchor="page6">
        <w:r>
          <w:rPr>
            <w:rFonts w:ascii="Times New Roman" w:cs="Times New Roman" w:eastAsia="Times New Roman" w:hAnsi="Times New Roman"/>
            <w:sz w:val="22"/>
            <w:szCs w:val="22"/>
            <w:u w:val="single" w:color="auto"/>
            <w:color w:val="0000FF"/>
          </w:rPr>
          <w:t>3, 2020, among Civeo Corporation and certain of its subsidiaries, as borrowers, the guarantors party</w:t>
        </w:r>
      </w:hyperlink>
      <w:r>
        <w:rPr>
          <w:rFonts w:ascii="Times New Roman" w:cs="Times New Roman" w:eastAsia="Times New Roman" w:hAnsi="Times New Roman"/>
          <w:sz w:val="22"/>
          <w:szCs w:val="22"/>
          <w:u w:val="single" w:color="auto"/>
          <w:color w:val="0000FF"/>
        </w:rPr>
        <w:t xml:space="preserve"> </w:t>
      </w:r>
      <w:hyperlink w:anchor="page6">
        <w:r>
          <w:rPr>
            <w:rFonts w:ascii="Times New Roman" w:cs="Times New Roman" w:eastAsia="Times New Roman" w:hAnsi="Times New Roman"/>
            <w:sz w:val="22"/>
            <w:szCs w:val="22"/>
            <w:u w:val="single" w:color="auto"/>
            <w:color w:val="0000FF"/>
          </w:rPr>
          <w:t>thereto, the lenders named therein, Royal Bank of Canada, as Administrative Agent, and the other</w:t>
        </w:r>
      </w:hyperlink>
      <w:r>
        <w:rPr>
          <w:rFonts w:ascii="Times New Roman" w:cs="Times New Roman" w:eastAsia="Times New Roman" w:hAnsi="Times New Roman"/>
          <w:sz w:val="22"/>
          <w:szCs w:val="22"/>
          <w:u w:val="single" w:color="auto"/>
          <w:color w:val="0000FF"/>
        </w:rPr>
        <w:t xml:space="preserve"> </w:t>
      </w:r>
      <w:hyperlink w:anchor="page6">
        <w:r>
          <w:rPr>
            <w:rFonts w:ascii="Times New Roman" w:cs="Times New Roman" w:eastAsia="Times New Roman" w:hAnsi="Times New Roman"/>
            <w:sz w:val="22"/>
            <w:szCs w:val="22"/>
            <w:u w:val="single" w:color="auto"/>
            <w:color w:val="0000FF"/>
          </w:rPr>
          <w:t>agents party thereto.</w:t>
        </w:r>
      </w:hyperlink>
    </w:p>
    <w:p>
      <w:pPr>
        <w:spacing w:after="0" w:line="200" w:lineRule="exact"/>
        <w:rPr>
          <w:rFonts w:ascii="Times New Roman" w:cs="Times New Roman" w:eastAsia="Times New Roman" w:hAnsi="Times New Roman"/>
          <w:sz w:val="22"/>
          <w:szCs w:val="22"/>
          <w:u w:val="single" w:color="auto"/>
          <w:color w:val="0000FF"/>
        </w:rPr>
      </w:pPr>
    </w:p>
    <w:p>
      <w:pPr>
        <w:sectPr>
          <w:pgSz w:w="11900" w:h="16838" w:orient="portrait"/>
          <w:cols w:equalWidth="0" w:num="2">
            <w:col w:w="1420" w:space="340"/>
            <w:col w:w="8660"/>
          </w:cols>
          <w:pgMar w:left="320" w:top="1296" w:right="1159" w:bottom="1440" w:gutter="0" w:footer="0" w:header="0"/>
          <w:type w:val="continuous"/>
        </w:sectPr>
      </w:pPr>
    </w:p>
    <w:p>
      <w:pPr>
        <w:spacing w:after="0" w:line="6" w:lineRule="exact"/>
        <w:rPr>
          <w:rFonts w:ascii="Times New Roman" w:cs="Times New Roman" w:eastAsia="Times New Roman" w:hAnsi="Times New Roman"/>
          <w:sz w:val="22"/>
          <w:szCs w:val="22"/>
          <w:u w:val="single" w:color="auto"/>
          <w:color w:val="0000FF"/>
        </w:rPr>
      </w:pPr>
    </w:p>
    <w:p>
      <w:pPr>
        <w:ind w:left="20"/>
        <w:spacing w:after="0"/>
        <w:tabs>
          <w:tab w:leader="none" w:pos="174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color w:val="auto"/>
        </w:rPr>
        <w:t>Cover Page Interactive Data File (formatted as Inline XBRL and contained in Exhibit 101)</w:t>
      </w:r>
    </w:p>
    <w:p>
      <w:pPr>
        <w:spacing w:after="0" w:line="20" w:lineRule="exact"/>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901065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96" w:right="115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September 8, 2020</w:t>
      </w:r>
    </w:p>
    <w:p>
      <w:pPr>
        <w:spacing w:after="0" w:line="25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By: /s/ Carolyn J. Stone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-13970</wp:posOffset>
            </wp:positionV>
            <wp:extent cx="1143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Name: Carolyn J. Stone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Senior Vice President, Chief Financial Officer and Treasurer</w:t>
      </w:r>
    </w:p>
    <w:p>
      <w:pPr>
        <w:sectPr>
          <w:pgSz w:w="11900" w:h="16838" w:orient="portrait"/>
          <w:cols w:equalWidth="0" w:num="1">
            <w:col w:w="11220"/>
          </w:cols>
          <w:pgMar w:left="320" w:top="1296"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THIRD AMENDMENT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SYNDICATED FACILITY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3, 2020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CANADA LIMITED PARTNERSHIP,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PTY LIMITED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Borrowers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NAMED 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U.S. Collateral Agent,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Canadian Administrative Agent, Canadian Collateral Agent</w:t>
      </w:r>
    </w:p>
    <w:p>
      <w:pPr>
        <w:spacing w:after="0"/>
        <w:rPr>
          <w:sz w:val="20"/>
          <w:szCs w:val="20"/>
          <w:color w:val="auto"/>
        </w:rPr>
      </w:pPr>
      <w:r>
        <w:rPr>
          <w:rFonts w:ascii="Times New Roman" w:cs="Times New Roman" w:eastAsia="Times New Roman" w:hAnsi="Times New Roman"/>
          <w:sz w:val="20"/>
          <w:szCs w:val="20"/>
          <w:color w:val="auto"/>
        </w:rPr>
        <w:t>and an Issuing Bank,</w:t>
      </w: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Australian Administrative Agent, Australian Collateral Agent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120015</wp:posOffset>
            </wp:positionV>
            <wp:extent cx="440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RBC CAPITAL MARKETS,</w:t>
      </w:r>
      <w:r>
        <w:rPr>
          <w:rFonts w:ascii="Times New Roman" w:cs="Times New Roman" w:eastAsia="Times New Roman" w:hAnsi="Times New Roman"/>
          <w:sz w:val="25"/>
          <w:szCs w:val="25"/>
          <w:color w:val="auto"/>
          <w:vertAlign w:val="superscript"/>
        </w:rPr>
        <w:t>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Lead Arranger and Sole Bookrunner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the global brand name of the corporate and investment banking business of Royal Bank of Canada and its affiliates.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US-DOCS\117434314.2</w:t>
      </w:r>
    </w:p>
    <w:p>
      <w:pPr>
        <w:sectPr>
          <w:pgSz w:w="11900" w:h="16838" w:orient="portrait"/>
          <w:cols w:equalWidth="0" w:num="1">
            <w:col w:w="11240"/>
          </w:cols>
          <w:pgMar w:left="320" w:top="12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SYNDICATED FACILITY AGREEMENT</w:t>
      </w:r>
    </w:p>
    <w:p>
      <w:pPr>
        <w:spacing w:after="0" w:line="247" w:lineRule="exact"/>
        <w:rPr>
          <w:sz w:val="20"/>
          <w:szCs w:val="20"/>
          <w:color w:val="auto"/>
        </w:rPr>
      </w:pPr>
    </w:p>
    <w:p>
      <w:pPr>
        <w:jc w:val="both"/>
        <w:ind w:firstLine="847"/>
        <w:spacing w:after="0" w:line="242" w:lineRule="auto"/>
        <w:rPr>
          <w:sz w:val="20"/>
          <w:szCs w:val="20"/>
          <w:color w:val="auto"/>
        </w:rPr>
      </w:pPr>
      <w:r>
        <w:rPr>
          <w:rFonts w:ascii="Times New Roman" w:cs="Times New Roman" w:eastAsia="Times New Roman" w:hAnsi="Times New Roman"/>
          <w:sz w:val="20"/>
          <w:szCs w:val="20"/>
          <w:color w:val="auto"/>
        </w:rPr>
        <w:t>THIS THIRD AMENDMENT TO AMENDED AND RESTATED SYNDICATED FACILITY AGREEMENT (this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September 3, 2020, is among CIVEO CORPORATION, a corporation incorporated under the laws of the Province of British Columbia (the “</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CIVEO MANAGEMENT LLC, a Delaware limited liability company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CIVEO CANADA LIMITED PARTNERSHIP, a limited partnership organized under the laws of the Province of Alberta (the “</w:t>
      </w:r>
      <w:r>
        <w:rPr>
          <w:rFonts w:ascii="Times New Roman" w:cs="Times New Roman" w:eastAsia="Times New Roman" w:hAnsi="Times New Roman"/>
          <w:sz w:val="20"/>
          <w:szCs w:val="20"/>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CIVEO PTY LIMITED ACN 003 657 510, an Australian proprietary limited company (the “</w:t>
      </w:r>
      <w:r>
        <w:rPr>
          <w:rFonts w:ascii="Times New Roman" w:cs="Times New Roman" w:eastAsia="Times New Roman" w:hAnsi="Times New Roman"/>
          <w:sz w:val="20"/>
          <w:szCs w:val="20"/>
          <w:u w:val="single" w:color="auto"/>
          <w:color w:val="auto"/>
        </w:rPr>
        <w:t>Australian Borrower</w:t>
      </w:r>
      <w:r>
        <w:rPr>
          <w:rFonts w:ascii="Times New Roman" w:cs="Times New Roman" w:eastAsia="Times New Roman" w:hAnsi="Times New Roman"/>
          <w:sz w:val="20"/>
          <w:szCs w:val="20"/>
          <w:color w:val="auto"/>
        </w:rPr>
        <w:t>” and, together with the Parent Borrower, U.S. Borrower and the New Canadian Borrower,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certain subsidiary guarantors of the Borrowers party hereto, the Lenders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Issuing Banks, the Swing Line Lenders,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 The Borrowers, the Agents and the Lenders are parties to that certain Amended and Restated Syndicated Facility Agreement, dated as of April 2, 2018, as amended by the First Amendment to Amended and Restated Syndicated Facility Agreement dated as of October 26, 2018 and the Second Amendment to Amended and Restated Syndicated Facility Agreement dated as of September 30, 2019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as amended by this Third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pursuant to which the Lenders have made certain loans to and other extensions of credit on behalf of the Borrowers.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 The Borrowers, the Agents, the Issuing Banks, the Swing Line Lenders and certain of the Lenders party hereto have agreed to amend certain provisions of the Credit Agreement as more particularly set forth herein.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Each capitalized term used herein but not otherwise defined herein has the meaning given such term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the Amended Credit Agreement. Unless otherwise indicated, all article and section references in this Third Amendment refer to articles and sections of the Amended Credit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Amendments to Credit Agreement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Effective as of the Third Amendment Effective Date, the Credit Agreement 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hereby amended as follows:</w:t>
      </w:r>
    </w:p>
    <w:p>
      <w:pPr>
        <w:spacing w:after="0" w:line="156"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1.01 of the Credit Agreement is amended by adding to the end of definition of “EBITDA”:</w:t>
      </w:r>
    </w:p>
    <w:p>
      <w:pPr>
        <w:spacing w:after="0" w:line="24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For the avoidance of doubt, Consolidated Net Income shall include all amounts recognized as income during such period from the Canada Emergency Wage Subsidy program (but shall deduct,</w:t>
      </w:r>
    </w:p>
    <w:p>
      <w:pPr>
        <w:sectPr>
          <w:pgSz w:w="11900" w:h="16838" w:orient="portrait"/>
          <w:cols w:equalWidth="0" w:num="1">
            <w:col w:w="11240"/>
          </w:cols>
          <w:pgMar w:left="320" w:top="1409"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20"/>
          <w:szCs w:val="20"/>
          <w:color w:val="auto"/>
        </w:rPr>
        <w:t>if applicable, any such amounts that were required to be repaid during such period as a result of program non-compliance).</w:t>
      </w:r>
    </w:p>
    <w:p>
      <w:pPr>
        <w:spacing w:after="0" w:line="24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1.01 of the Credit Agreement is amended by adding the following definition in the proper alphabetical order:</w:t>
      </w:r>
    </w:p>
    <w:p>
      <w:pPr>
        <w:spacing w:after="0" w:line="239" w:lineRule="exact"/>
        <w:rPr>
          <w:sz w:val="20"/>
          <w:szCs w:val="20"/>
          <w:color w:val="auto"/>
        </w:rPr>
      </w:pPr>
    </w:p>
    <w:p>
      <w:pPr>
        <w:ind w:left="660" w:firstLine="45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Third Amendment</w:t>
      </w:r>
      <w:r>
        <w:rPr>
          <w:rFonts w:ascii="Times New Roman" w:cs="Times New Roman" w:eastAsia="Times New Roman" w:hAnsi="Times New Roman"/>
          <w:sz w:val="20"/>
          <w:szCs w:val="20"/>
          <w:color w:val="auto"/>
        </w:rPr>
        <w:t>” shall mean that certain Third Amendment to Amended and Restated Syndicated Facility Agreement dated as of September 3, 2020, among the Borrowers, the Administrative Agents, and the Lenders.</w:t>
      </w:r>
    </w:p>
    <w:p>
      <w:pPr>
        <w:spacing w:after="0" w:line="18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1.01 of the Credit Agreement is amended by amending the following definitions in their entirety:</w:t>
      </w:r>
    </w:p>
    <w:p>
      <w:pPr>
        <w:spacing w:after="0" w:line="225" w:lineRule="exact"/>
        <w:rPr>
          <w:sz w:val="20"/>
          <w:szCs w:val="20"/>
          <w:color w:val="auto"/>
        </w:rPr>
      </w:pPr>
    </w:p>
    <w:p>
      <w:pPr>
        <w:jc w:val="both"/>
        <w:ind w:left="660" w:firstLine="53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Percentage</w:t>
      </w:r>
      <w:r>
        <w:rPr>
          <w:rFonts w:ascii="Times New Roman" w:cs="Times New Roman" w:eastAsia="Times New Roman" w:hAnsi="Times New Roman"/>
          <w:sz w:val="20"/>
          <w:szCs w:val="20"/>
          <w:color w:val="auto"/>
        </w:rPr>
        <w:t>” shall mean, for any day, with respect to any Eurocurrency Loan, ABR Loan, B/A Loan, Canadian Prime Rate Loan, U.S. Base Rate Loan, BBSY Rate Loan or the Commitment Fee, the applicable percentage set forth below under the applicable caption, based upon the Total Leverage Ratio as of the relevant date of determination:</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ABR, Canadian Prime</w:t>
            </w:r>
          </w:p>
        </w:tc>
        <w:tc>
          <w:tcPr>
            <w:tcW w:w="15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Eurocurrency/ BBSY</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and U.S. Base Rate</w:t>
            </w:r>
          </w:p>
        </w:tc>
        <w:tc>
          <w:tcPr>
            <w:tcW w:w="15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Commitment Fee</w:t>
            </w:r>
          </w:p>
        </w:tc>
      </w:t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Rate/B/A Spread</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Spread</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1</w:t>
            </w:r>
          </w:p>
        </w:tc>
        <w:tc>
          <w:tcPr>
            <w:tcW w:w="1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than 2.50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0.875%</w:t>
            </w:r>
          </w:p>
        </w:tc>
      </w:tr>
      <w:tr>
        <w:trPr>
          <w:trHeight w:val="22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2</w:t>
            </w:r>
          </w:p>
        </w:tc>
        <w:tc>
          <w:tcPr>
            <w:tcW w:w="1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Greater than or equal to 2.50 to 1.00 but less than 3.00 to</w:t>
            </w:r>
          </w:p>
        </w:tc>
        <w:tc>
          <w:tcPr>
            <w:tcW w:w="1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w:t>
            </w:r>
          </w:p>
        </w:tc>
        <w:tc>
          <w:tcPr>
            <w:tcW w:w="40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0.938%</w:t>
            </w: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3</w:t>
            </w:r>
          </w:p>
        </w:tc>
        <w:tc>
          <w:tcPr>
            <w:tcW w:w="1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Greater than or equal to 3.00 to 1.00 but less than 3.50 to</w:t>
            </w:r>
          </w:p>
        </w:tc>
        <w:tc>
          <w:tcPr>
            <w:tcW w:w="1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w:t>
            </w:r>
          </w:p>
        </w:tc>
        <w:tc>
          <w:tcPr>
            <w:tcW w:w="40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4</w:t>
            </w:r>
          </w:p>
        </w:tc>
        <w:tc>
          <w:tcPr>
            <w:tcW w:w="19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Greater than or equal to 3.50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1.125%</w:t>
            </w:r>
          </w:p>
        </w:tc>
      </w:tr>
    </w:tbl>
    <w:p>
      <w:pPr>
        <w:spacing w:after="0" w:line="351"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Maturity Date</w:t>
      </w:r>
      <w:r>
        <w:rPr>
          <w:rFonts w:ascii="Times New Roman" w:cs="Times New Roman" w:eastAsia="Times New Roman" w:hAnsi="Times New Roman"/>
          <w:sz w:val="20"/>
          <w:szCs w:val="20"/>
          <w:color w:val="auto"/>
        </w:rPr>
        <w:t>” shall mean (a) with respect to Non-Extending Lenders, upon the closing of the Third Amendment and (b) with respect to the Extending Lenders, May 30,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Swing Line Sublimit</w:t>
      </w:r>
      <w:r>
        <w:rPr>
          <w:rFonts w:ascii="Times New Roman" w:cs="Times New Roman" w:eastAsia="Times New Roman" w:hAnsi="Times New Roman"/>
          <w:sz w:val="20"/>
          <w:szCs w:val="20"/>
          <w:color w:val="auto"/>
        </w:rPr>
        <w:t>” shall mean U.S.$10,000,000. The U.S. Swing Line Sublimit is part of, and not in addition to, the U.S.</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Revolving Commitments.</w:t>
      </w:r>
    </w:p>
    <w:p>
      <w:pPr>
        <w:spacing w:after="0" w:line="221"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2.12(d) of the Credit Agreement is amended by replacing each reference therein to “$40,000,000” with</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“$30,000,000”.</w:t>
      </w:r>
    </w:p>
    <w:p>
      <w:pPr>
        <w:spacing w:after="0" w:line="193"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2.21(b)(i) is amended by replacing the reference therein to U.S.$15,000,000 with U.S.$10,000,000.</w:t>
      </w:r>
    </w:p>
    <w:p>
      <w:pPr>
        <w:spacing w:after="0" w:line="21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6.01(e) of the Credit Agreement is amended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8" w:name="page9"/>
    <w:bookmarkEnd w:id="8"/>
    <w:p>
      <w:pPr>
        <w:jc w:val="both"/>
        <w:ind w:left="644" w:firstLine="4"/>
        <w:spacing w:after="0" w:line="241" w:lineRule="auto"/>
        <w:tabs>
          <w:tab w:leader="none" w:pos="92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issued by a Loan Party and guarantees thereof by any other Loan Party not otherwise permitted under this Section 6.01; provided that, as of the date of issuance, (i) the Parent Borrower would be in compliance with the Financial Covenants as of the most recently completed period of four consecutive fiscal quarters ending prior to such transaction for which the financial statements required by Section 5.04(a) or 5.04(b) have been delivered or for which comparable financial statements have been filed with the SEC, after giving pro forma effect (using the criteria therefor described in Section 6.04(i)) to any incurrence or discharge of Indebtedness on the date such debt is incurred and all related transactions, as if such incurrence, discharge or other transaction had occurred as of the first day of such period, (ii) the proceeds of such Indebtedness are applied as a mandatory prepayment of the Canadian Term Loans in accordance with Section 2.12(c), (iii) such Indebtedness matures no earlier than 180 days after the Maturity Date at the time such Indebtedness is incurred, (iv) such Indebtedness does not require any scheduled amortization, mandatory prepayments, redemptions, sinking fund payments or purchase offers prior to the final maturity date thereof (other than pursuant to customary asset sale and change of control offers), (v) such Indebtedness is not guaranteed by any person other than the Guarantors, (vi) the terms and conditions (other than pricing, rate floors, discounts, fees, premiums and optional prepayment or redemption provisions) of such Indebtedness are, in the good faith determination of the Borrower, not materially less favorable (when taken as a whole) to the Borrower than the terms and conditions of the Loan Documents (when taken as a whole), and (vii) no Default or Event of Default shall have occurred and be continuing at the time of incurrence or would result therefrom.</w:t>
      </w:r>
    </w:p>
    <w:p>
      <w:pPr>
        <w:spacing w:after="0" w:line="21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6.06(a)(iii) of the Credit Agreement is amended in its entirety as follows:</w:t>
      </w:r>
    </w:p>
    <w:p>
      <w:pPr>
        <w:spacing w:after="0" w:line="215" w:lineRule="exact"/>
        <w:rPr>
          <w:rFonts w:ascii="Times New Roman" w:cs="Times New Roman" w:eastAsia="Times New Roman" w:hAnsi="Times New Roman"/>
          <w:sz w:val="20"/>
          <w:szCs w:val="20"/>
          <w:color w:val="010000"/>
        </w:rPr>
      </w:pPr>
    </w:p>
    <w:p>
      <w:pPr>
        <w:jc w:val="both"/>
        <w:ind w:left="644" w:firstLine="4"/>
        <w:spacing w:after="0" w:line="243" w:lineRule="auto"/>
        <w:tabs>
          <w:tab w:leader="none" w:pos="1018"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on or after January 1, 2018, so long as (A) no Event of Default or Default shall have occurred and be continuing or result therefrom, (B) at least U.S.$30,000,000 of the Revolving Commitments is unused and available after giving effect to such Restricted Payment, (C) the Parent Borrower would (1) be in compliance with the covenants set forth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(2) have a Total Leverage Ratio less than 3.00:1.00, in each case as of the most recently completed period of four consecutive fiscal quarters ending prior to such transaction for which the financial statements required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5.04(b)</w:t>
      </w:r>
      <w:r>
        <w:rPr>
          <w:rFonts w:ascii="Times New Roman" w:cs="Times New Roman" w:eastAsia="Times New Roman" w:hAnsi="Times New Roman"/>
          <w:sz w:val="20"/>
          <w:szCs w:val="20"/>
          <w:color w:val="auto"/>
        </w:rPr>
        <w:t xml:space="preserve"> have been delivered or for which comparable financial statements have been filed with the SEC, after giving pro forma effect (using the criteria therefor described in </w:t>
      </w:r>
      <w:r>
        <w:rPr>
          <w:rFonts w:ascii="Times New Roman" w:cs="Times New Roman" w:eastAsia="Times New Roman" w:hAnsi="Times New Roman"/>
          <w:sz w:val="20"/>
          <w:szCs w:val="20"/>
          <w:u w:val="single" w:color="auto"/>
          <w:color w:val="auto"/>
        </w:rPr>
        <w:t>Section 6.04(i)</w:t>
      </w:r>
      <w:r>
        <w:rPr>
          <w:rFonts w:ascii="Times New Roman" w:cs="Times New Roman" w:eastAsia="Times New Roman" w:hAnsi="Times New Roman"/>
          <w:sz w:val="20"/>
          <w:szCs w:val="20"/>
          <w:color w:val="auto"/>
        </w:rPr>
        <w:t>) to such transaction and to any other event occurring during or after such period as to which pro forma recalculation is appropriate as if such transaction had occurred as of the first day of such period, the Parent Borrower may make Restricted Payments in any amount.</w:t>
      </w:r>
    </w:p>
    <w:p>
      <w:pPr>
        <w:spacing w:after="0" w:line="185" w:lineRule="exact"/>
        <w:rPr>
          <w:rFonts w:ascii="Times New Roman" w:cs="Times New Roman" w:eastAsia="Times New Roman" w:hAnsi="Times New Roman"/>
          <w:sz w:val="20"/>
          <w:szCs w:val="20"/>
          <w:color w:val="auto"/>
        </w:rPr>
      </w:pPr>
    </w:p>
    <w:p>
      <w:pPr>
        <w:ind w:left="-656" w:firstLine="656"/>
        <w:spacing w:after="0" w:line="269" w:lineRule="auto"/>
        <w:tabs>
          <w:tab w:leader="none" w:pos="628" w:val="left"/>
        </w:tabs>
        <w:numPr>
          <w:ilvl w:val="0"/>
          <w:numId w:val="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6.05(a) of the Credit Agreement is amended by adding the following language in proviso (i) of clause (c) after “among” and before “wholly owned”:</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Parent Borrower and one or more wholly owned Subsidiaries and/or among”</w:t>
      </w:r>
    </w:p>
    <w:p>
      <w:pPr>
        <w:spacing w:after="0" w:line="216" w:lineRule="exact"/>
        <w:rPr>
          <w:sz w:val="20"/>
          <w:szCs w:val="20"/>
          <w:color w:val="auto"/>
        </w:rPr>
      </w:pPr>
    </w:p>
    <w:p>
      <w:pPr>
        <w:ind w:left="644" w:hanging="644"/>
        <w:spacing w:after="0"/>
        <w:tabs>
          <w:tab w:leader="none" w:pos="644" w:val="left"/>
        </w:tabs>
        <w:numPr>
          <w:ilvl w:val="0"/>
          <w:numId w:val="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Schedule 2.01 of the Credit Agreement is amended and replaced in its entirety with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attached hereto.</w:t>
      </w: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300" w:lineRule="exact"/>
        <w:rPr>
          <w:rFonts w:ascii="Times New Roman" w:cs="Times New Roman" w:eastAsia="Times New Roman" w:hAnsi="Times New Roman"/>
          <w:sz w:val="20"/>
          <w:szCs w:val="20"/>
          <w:color w:val="010000"/>
        </w:rPr>
      </w:pPr>
    </w:p>
    <w:p>
      <w:pPr>
        <w:ind w:left="4924"/>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413" w:right="339" w:bottom="1440" w:gutter="0" w:footer="0" w:header="0"/>
        </w:sectPr>
      </w:pPr>
    </w:p>
    <w:bookmarkStart w:id="9" w:name="page10"/>
    <w:bookmarkEnd w:id="9"/>
    <w:p>
      <w:pPr>
        <w:ind w:left="1300" w:hanging="644"/>
        <w:spacing w:after="0"/>
        <w:tabs>
          <w:tab w:leader="none" w:pos="1300" w:val="left"/>
        </w:tabs>
        <w:numPr>
          <w:ilvl w:val="0"/>
          <w:numId w:val="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Schedule 2.04 of the Credit Agreement is amended and replaced in its entirety with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 xml:space="preserve"> attached hereto.</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010000"/>
        </w:rPr>
        <w:t xml:space="preserve">Section 3. </w:t>
      </w:r>
      <w:r>
        <w:rPr>
          <w:rFonts w:ascii="Times New Roman" w:cs="Times New Roman" w:eastAsia="Times New Roman" w:hAnsi="Times New Roman"/>
          <w:sz w:val="19"/>
          <w:szCs w:val="19"/>
          <w:u w:val="single" w:color="auto"/>
          <w:color w:val="000000"/>
        </w:rPr>
        <w:t>Reduction of Commitments; Limited Waiver of Certain Notice Requirements</w:t>
      </w:r>
      <w:r>
        <w:rPr>
          <w:rFonts w:ascii="Times New Roman" w:cs="Times New Roman" w:eastAsia="Times New Roman" w:hAnsi="Times New Roman"/>
          <w:sz w:val="19"/>
          <w:szCs w:val="19"/>
          <w:color w:val="000000"/>
        </w:rPr>
        <w:t>. Effective as of the Third Amendment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Effective Date, the aggregate amount of the (a) U.S. Revolving Commitments are hereby reduced from $20,000,000 to $10,000,000, (b) Canadian Revolving Commitments are hereby reduced from $183,500,000 to $122,300,000, and (c) Australian Revolving Commitments are hereby reduced from $60,000,000 to $35,000,000, and each of the U.S. Revolving Commitments, Canadian Revolving Commitments and Australian Commitments of each Lender after giving effect to each such reduction is as set forth on </w:t>
      </w:r>
      <w:r>
        <w:rPr>
          <w:rFonts w:ascii="Times New Roman" w:cs="Times New Roman" w:eastAsia="Times New Roman" w:hAnsi="Times New Roman"/>
          <w:sz w:val="19"/>
          <w:szCs w:val="19"/>
          <w:u w:val="single" w:color="auto"/>
          <w:color w:val="000000"/>
        </w:rPr>
        <w:t>Annex I</w:t>
      </w:r>
      <w:r>
        <w:rPr>
          <w:rFonts w:ascii="Times New Roman" w:cs="Times New Roman" w:eastAsia="Times New Roman" w:hAnsi="Times New Roman"/>
          <w:sz w:val="19"/>
          <w:szCs w:val="19"/>
          <w:color w:val="000000"/>
        </w:rPr>
        <w:t xml:space="preserve"> to this Third Amendment. The reduction of the Commitments on the Third Amendment Effective Date as set forth in this </w:t>
      </w:r>
      <w:r>
        <w:rPr>
          <w:rFonts w:ascii="Times New Roman" w:cs="Times New Roman" w:eastAsia="Times New Roman" w:hAnsi="Times New Roman"/>
          <w:sz w:val="19"/>
          <w:szCs w:val="19"/>
          <w:u w:val="single" w:color="auto"/>
          <w:color w:val="000000"/>
        </w:rPr>
        <w:t>Section 3</w:t>
      </w:r>
      <w:r>
        <w:rPr>
          <w:rFonts w:ascii="Times New Roman" w:cs="Times New Roman" w:eastAsia="Times New Roman" w:hAnsi="Times New Roman"/>
          <w:sz w:val="19"/>
          <w:szCs w:val="19"/>
          <w:color w:val="000000"/>
        </w:rPr>
        <w:t xml:space="preserve"> shall be deemed to constitute an exercise of the Borrowers’ right to request a reduction pursuant to Section 2.09 of the Credit Agreement and the effective date of such reduction shall be deemed to be the Third Amendment Effective Date. The requirements of Section 2.09 and Section 2.12 of the Credit Agreement with respect to notices, timing, prepayments, and minimum amounts are hereby waived by all parties hereto, including, for certainty, the Non-Extending Lenders, with respect to the reduction and any associated repayment in connection therewith described in this </w:t>
      </w:r>
      <w:r>
        <w:rPr>
          <w:rFonts w:ascii="Times New Roman" w:cs="Times New Roman" w:eastAsia="Times New Roman" w:hAnsi="Times New Roman"/>
          <w:sz w:val="19"/>
          <w:szCs w:val="19"/>
          <w:u w:val="single" w:color="auto"/>
          <w:color w:val="000000"/>
        </w:rPr>
        <w:t>Section 3</w:t>
      </w:r>
      <w:r>
        <w:rPr>
          <w:rFonts w:ascii="Times New Roman" w:cs="Times New Roman" w:eastAsia="Times New Roman" w:hAnsi="Times New Roman"/>
          <w:sz w:val="19"/>
          <w:szCs w:val="19"/>
          <w:color w:val="000000"/>
        </w:rPr>
        <w: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010000"/>
        </w:rPr>
        <w:t xml:space="preserve">Section 4. </w:t>
      </w:r>
      <w:r>
        <w:rPr>
          <w:rFonts w:ascii="Times New Roman" w:cs="Times New Roman" w:eastAsia="Times New Roman" w:hAnsi="Times New Roman"/>
          <w:sz w:val="20"/>
          <w:szCs w:val="20"/>
          <w:u w:val="single" w:color="auto"/>
          <w:color w:val="000000"/>
        </w:rPr>
        <w:t>Consent to Extension of the Maturity Date</w:t>
      </w:r>
      <w:r>
        <w:rPr>
          <w:rFonts w:ascii="Times New Roman" w:cs="Times New Roman" w:eastAsia="Times New Roman" w:hAnsi="Times New Roman"/>
          <w:sz w:val="20"/>
          <w:szCs w:val="20"/>
          <w:color w:val="000000"/>
        </w:rPr>
        <w:t>. As of the Third Amendment Effective Date, the Maturity Date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Commitments of the Lenders who have severally agreed to extend all of their respective Loans and Commitments and are identified on the signature pages hereof (each an “</w:t>
      </w:r>
      <w:r>
        <w:rPr>
          <w:rFonts w:ascii="Times New Roman" w:cs="Times New Roman" w:eastAsia="Times New Roman" w:hAnsi="Times New Roman"/>
          <w:sz w:val="20"/>
          <w:szCs w:val="20"/>
          <w:u w:val="single" w:color="auto"/>
          <w:color w:val="000000"/>
        </w:rPr>
        <w:t>Extending Lender</w:t>
      </w:r>
      <w:r>
        <w:rPr>
          <w:rFonts w:ascii="Times New Roman" w:cs="Times New Roman" w:eastAsia="Times New Roman" w:hAnsi="Times New Roman"/>
          <w:sz w:val="20"/>
          <w:szCs w:val="20"/>
          <w:color w:val="000000"/>
        </w:rPr>
        <w:t>” and, collectively, the “</w:t>
      </w:r>
      <w:r>
        <w:rPr>
          <w:rFonts w:ascii="Times New Roman" w:cs="Times New Roman" w:eastAsia="Times New Roman" w:hAnsi="Times New Roman"/>
          <w:sz w:val="20"/>
          <w:szCs w:val="20"/>
          <w:u w:val="single" w:color="auto"/>
          <w:color w:val="000000"/>
        </w:rPr>
        <w:t>Extending Lenders</w:t>
      </w:r>
      <w:r>
        <w:rPr>
          <w:rFonts w:ascii="Times New Roman" w:cs="Times New Roman" w:eastAsia="Times New Roman" w:hAnsi="Times New Roman"/>
          <w:sz w:val="20"/>
          <w:szCs w:val="20"/>
          <w:color w:val="000000"/>
        </w:rPr>
        <w:t>”; and any Lender other than an Extending Lender, a “</w:t>
      </w:r>
      <w:r>
        <w:rPr>
          <w:rFonts w:ascii="Times New Roman" w:cs="Times New Roman" w:eastAsia="Times New Roman" w:hAnsi="Times New Roman"/>
          <w:sz w:val="20"/>
          <w:szCs w:val="20"/>
          <w:u w:val="single" w:color="auto"/>
          <w:color w:val="000000"/>
        </w:rPr>
        <w:t>Non-Extending Lender</w:t>
      </w:r>
      <w:r>
        <w:rPr>
          <w:rFonts w:ascii="Times New Roman" w:cs="Times New Roman" w:eastAsia="Times New Roman" w:hAnsi="Times New Roman"/>
          <w:sz w:val="20"/>
          <w:szCs w:val="20"/>
          <w:color w:val="000000"/>
        </w:rPr>
        <w:t>” and, collectively, the “</w:t>
      </w:r>
      <w:r>
        <w:rPr>
          <w:rFonts w:ascii="Times New Roman" w:cs="Times New Roman" w:eastAsia="Times New Roman" w:hAnsi="Times New Roman"/>
          <w:sz w:val="20"/>
          <w:szCs w:val="20"/>
          <w:u w:val="single" w:color="auto"/>
          <w:color w:val="000000"/>
        </w:rPr>
        <w:t>Non-Extending Lenders</w:t>
      </w:r>
      <w:r>
        <w:rPr>
          <w:rFonts w:ascii="Times New Roman" w:cs="Times New Roman" w:eastAsia="Times New Roman" w:hAnsi="Times New Roman"/>
          <w:sz w:val="20"/>
          <w:szCs w:val="20"/>
          <w:color w:val="000000"/>
        </w:rPr>
        <w:t>”) is hereby extended to May 30, 2023. The Maturity Date with respect to the Loans and Commitments of each other Lender, if any, shall remain unchanged</w:t>
      </w:r>
      <w:r>
        <w:rPr>
          <w:rFonts w:ascii="Times New Roman" w:cs="Times New Roman" w:eastAsia="Times New Roman" w:hAnsi="Times New Roman"/>
          <w:sz w:val="20"/>
          <w:szCs w:val="20"/>
          <w:b w:val="1"/>
          <w:bCs w:val="1"/>
          <w:color w:val="000000"/>
        </w:rPr>
        <w:t>.</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010000"/>
        </w:rPr>
        <w:t xml:space="preserve">Section 5. </w:t>
      </w:r>
      <w:r>
        <w:rPr>
          <w:rFonts w:ascii="Times New Roman" w:cs="Times New Roman" w:eastAsia="Times New Roman" w:hAnsi="Times New Roman"/>
          <w:sz w:val="20"/>
          <w:szCs w:val="20"/>
          <w:u w:val="single" w:color="auto"/>
          <w:color w:val="000000"/>
        </w:rPr>
        <w:t>Consent and Arrangement Fees</w:t>
      </w:r>
      <w:r>
        <w:rPr>
          <w:rFonts w:ascii="Times New Roman" w:cs="Times New Roman" w:eastAsia="Times New Roman" w:hAnsi="Times New Roman"/>
          <w:sz w:val="20"/>
          <w:szCs w:val="20"/>
          <w:color w:val="000000"/>
        </w:rPr>
        <w:t>. The Borrowers agree to pay (1) to the Administrative Agent for the account of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Extending Lender that (a) notifies the Administrative Agent (or its counsel) that it has consented to this Third Amendment and (b) delivers evidence satisfactory to the Administrative Agent that it has obtained all credit and other internal approvals necessary to enter into this Third Amendment and be an Extending Lender, in each case at or prior to 5:00 p.m., New York City time, on September 2, 2020, a consent fee (the “</w:t>
      </w:r>
      <w:r>
        <w:rPr>
          <w:rFonts w:ascii="Times New Roman" w:cs="Times New Roman" w:eastAsia="Times New Roman" w:hAnsi="Times New Roman"/>
          <w:sz w:val="20"/>
          <w:szCs w:val="20"/>
          <w:u w:val="single" w:color="auto"/>
          <w:color w:val="000000"/>
        </w:rPr>
        <w:t>Consent Fees</w:t>
      </w:r>
      <w:r>
        <w:rPr>
          <w:rFonts w:ascii="Times New Roman" w:cs="Times New Roman" w:eastAsia="Times New Roman" w:hAnsi="Times New Roman"/>
          <w:sz w:val="20"/>
          <w:szCs w:val="20"/>
          <w:color w:val="000000"/>
        </w:rPr>
        <w:t>”) in an amount equal to 0.30% of the aggregate principal amount of the outstanding Canadian Term Loans, the U.S. Revolving Commitment, the Canadian Revolving Commitment and the Australian Revolving Commitment of such Lender immediately after the Third Amendment Effective Date and (2) to the Administrative Agent for the account of each Extending Lender (excluding RBC) that (a) notifies the Administrative Agent (or its counsel) that it has consented to this Third Amendment and (b) delivers evidence satisfactory to the Administrative Agent that it has obtained all credit and other internal approvals necessary to enter into this Third Amendment and be an Extending Lender, in each case at or prior to 5:00 p.m., New York City time, on September 2, 2020, an arrangement fee (the “</w:t>
      </w:r>
      <w:r>
        <w:rPr>
          <w:rFonts w:ascii="Times New Roman" w:cs="Times New Roman" w:eastAsia="Times New Roman" w:hAnsi="Times New Roman"/>
          <w:sz w:val="20"/>
          <w:szCs w:val="20"/>
          <w:u w:val="single" w:color="auto"/>
          <w:color w:val="000000"/>
        </w:rPr>
        <w:t>Arrangement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Fees</w:t>
      </w:r>
      <w:r>
        <w:rPr>
          <w:rFonts w:ascii="Times New Roman" w:cs="Times New Roman" w:eastAsia="Times New Roman" w:hAnsi="Times New Roman"/>
          <w:sz w:val="20"/>
          <w:szCs w:val="20"/>
          <w:color w:val="000000"/>
        </w:rPr>
        <w:t>”) in an amount equal to 0.15% of the aggregate principal amount of the outstanding Canadian Term Loans, the U.S. Revolving Commitment, the Canadian Revolving Commitment and the Australian Revolving Commitment of such Lender immediately after the Third Amendment Effective Date. Consent and Arrangement Fees shall be payable (i) in U.S. dollars for the U.S. Revolving Commitment, (ii) in U.S. Dollar Equivalent for the Australian Revolving Commitment and the Canadian Revolving Commitment and (iii) in Canadian dollars for the Canadian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20"/>
          <w:szCs w:val="20"/>
          <w:color w:val="010000"/>
        </w:rPr>
        <w:t xml:space="preserve">Section 6. </w:t>
      </w:r>
      <w:r>
        <w:rPr>
          <w:rFonts w:ascii="Times New Roman" w:cs="Times New Roman" w:eastAsia="Times New Roman" w:hAnsi="Times New Roman"/>
          <w:sz w:val="20"/>
          <w:szCs w:val="20"/>
          <w:u w:val="single" w:color="auto"/>
          <w:color w:val="000000"/>
        </w:rPr>
        <w:t>Conditions Precedent</w:t>
      </w:r>
      <w:r>
        <w:rPr>
          <w:rFonts w:ascii="Times New Roman" w:cs="Times New Roman" w:eastAsia="Times New Roman" w:hAnsi="Times New Roman"/>
          <w:sz w:val="20"/>
          <w:szCs w:val="20"/>
          <w:color w:val="000000"/>
        </w:rPr>
        <w:t>. This Third Amendment shall not be deemed to be effective until the date on which each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following conditions is satisfied (or waived in accordance with Section 9.08 of the Credit Agreement) (the “</w:t>
      </w:r>
      <w:r>
        <w:rPr>
          <w:rFonts w:ascii="Times New Roman" w:cs="Times New Roman" w:eastAsia="Times New Roman" w:hAnsi="Times New Roman"/>
          <w:sz w:val="20"/>
          <w:szCs w:val="20"/>
          <w:u w:val="single" w:color="auto"/>
          <w:color w:val="000000"/>
        </w:rPr>
        <w:t>Third Amendment Effective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Date</w:t>
      </w:r>
      <w:r>
        <w:rPr>
          <w:rFonts w:ascii="Times New Roman" w:cs="Times New Roman" w:eastAsia="Times New Roman" w:hAnsi="Times New Roman"/>
          <w:sz w:val="20"/>
          <w:szCs w:val="20"/>
          <w:color w:val="000000"/>
        </w:rPr>
        <w:t>”):</w:t>
      </w:r>
    </w:p>
    <w:p>
      <w:pPr>
        <w:spacing w:after="0" w:line="174" w:lineRule="exact"/>
        <w:rPr>
          <w:sz w:val="20"/>
          <w:szCs w:val="20"/>
          <w:color w:val="auto"/>
        </w:rPr>
      </w:pPr>
    </w:p>
    <w:p>
      <w:pPr>
        <w:jc w:val="both"/>
        <w:ind w:firstLine="656"/>
        <w:spacing w:after="0" w:line="254" w:lineRule="auto"/>
        <w:tabs>
          <w:tab w:leader="none" w:pos="128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Required Lenders, each Extending Lender, each Exiting Lender (as defined below), the Borrowers and the Guarantors, counterparts (in such number as may be requested by the Administrative Agent) of this Third Amendment signed on behalf of such Persons.</w:t>
      </w:r>
    </w:p>
    <w:p>
      <w:pPr>
        <w:spacing w:after="0" w:line="174" w:lineRule="exact"/>
        <w:rPr>
          <w:rFonts w:ascii="Times New Roman" w:cs="Times New Roman" w:eastAsia="Times New Roman" w:hAnsi="Times New Roman"/>
          <w:sz w:val="20"/>
          <w:szCs w:val="20"/>
          <w:color w:val="010000"/>
        </w:rPr>
      </w:pPr>
    </w:p>
    <w:p>
      <w:pPr>
        <w:jc w:val="both"/>
        <w:ind w:firstLine="656"/>
        <w:spacing w:after="0" w:line="246" w:lineRule="auto"/>
        <w:tabs>
          <w:tab w:leader="none" w:pos="1284"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Agents and the Lead Arranger shall have received all Fees (including the fees set forth in the letter agreement dated as of the Third Amendment Effective Date between the Parent Borrower and RBC) and other amounts due and payable on or prior to the Third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184" w:lineRule="exact"/>
        <w:rPr>
          <w:rFonts w:ascii="Times New Roman" w:cs="Times New Roman" w:eastAsia="Times New Roman" w:hAnsi="Times New Roman"/>
          <w:sz w:val="20"/>
          <w:szCs w:val="20"/>
          <w:color w:val="010000"/>
        </w:rPr>
      </w:pPr>
    </w:p>
    <w:p>
      <w:pPr>
        <w:jc w:val="both"/>
        <w:ind w:firstLine="656"/>
        <w:spacing w:after="0" w:line="244" w:lineRule="auto"/>
        <w:tabs>
          <w:tab w:leader="none" w:pos="1286"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Third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8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Default or Event of Default shall have occurred and be continuing, after giving effect to the terms of this Third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Amendment.</w:t>
      </w:r>
    </w:p>
    <w:p>
      <w:pPr>
        <w:spacing w:after="0" w:line="193"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on behalf of itself, the other Agents, the Lenders and the Issuing Banks:</w:t>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010000"/>
        </w:rPr>
        <w:t>i.</w:t>
      </w:r>
      <w:r>
        <w:rPr>
          <w:rFonts w:ascii="Times New Roman" w:cs="Times New Roman" w:eastAsia="Times New Roman" w:hAnsi="Times New Roman"/>
          <w:sz w:val="20"/>
          <w:szCs w:val="20"/>
          <w:color w:val="000000"/>
        </w:rPr>
        <w:t>any Note requested by a Lender pursuant to Section 2.04 of the Credit Agreement payable to such requesting Lender;</w:t>
      </w:r>
    </w:p>
    <w:p>
      <w:pPr>
        <w:spacing w:after="0" w:line="216" w:lineRule="exact"/>
        <w:rPr>
          <w:sz w:val="20"/>
          <w:szCs w:val="20"/>
          <w:color w:val="auto"/>
        </w:rPr>
      </w:pPr>
    </w:p>
    <w:p>
      <w:pPr>
        <w:jc w:val="both"/>
        <w:ind w:left="660" w:firstLine="489"/>
        <w:spacing w:after="0" w:line="254" w:lineRule="auto"/>
        <w:rPr>
          <w:sz w:val="20"/>
          <w:szCs w:val="20"/>
          <w:color w:val="auto"/>
        </w:rPr>
      </w:pPr>
      <w:r>
        <w:rPr>
          <w:rFonts w:ascii="Times New Roman" w:cs="Times New Roman" w:eastAsia="Times New Roman" w:hAnsi="Times New Roman"/>
          <w:sz w:val="20"/>
          <w:szCs w:val="20"/>
          <w:color w:val="010000"/>
        </w:rPr>
        <w:t>ii.</w:t>
      </w:r>
      <w:r>
        <w:rPr>
          <w:rFonts w:ascii="Times New Roman" w:cs="Times New Roman" w:eastAsia="Times New Roman" w:hAnsi="Times New Roman"/>
          <w:sz w:val="20"/>
          <w:szCs w:val="20"/>
          <w:color w:val="000000"/>
        </w:rPr>
        <w:t>a certificate as to the good standing or tax status of each Borrower and each Guarantor (other than an Australian Loan Party)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a certified copy of the certificate incorporation of each Australian Loan Party as of a recent date, from the Secretary of State or other relevant Governmental Authority of the state, province or jurisdiction of its organization;</w:t>
      </w:r>
    </w:p>
    <w:p>
      <w:pPr>
        <w:spacing w:after="0" w:line="174" w:lineRule="exact"/>
        <w:rPr>
          <w:sz w:val="20"/>
          <w:szCs w:val="20"/>
          <w:color w:val="auto"/>
        </w:rPr>
      </w:pPr>
    </w:p>
    <w:p>
      <w:pPr>
        <w:jc w:val="both"/>
        <w:ind w:left="660" w:firstLine="434"/>
        <w:spacing w:after="0" w:line="244" w:lineRule="auto"/>
        <w:rPr>
          <w:sz w:val="20"/>
          <w:szCs w:val="20"/>
          <w:color w:val="auto"/>
        </w:rPr>
      </w:pPr>
      <w:r>
        <w:rPr>
          <w:rFonts w:ascii="Times New Roman" w:cs="Times New Roman" w:eastAsia="Times New Roman" w:hAnsi="Times New Roman"/>
          <w:sz w:val="20"/>
          <w:szCs w:val="20"/>
          <w:color w:val="010000"/>
        </w:rPr>
        <w:t>iii.</w:t>
      </w:r>
      <w:r>
        <w:rPr>
          <w:rFonts w:ascii="Times New Roman" w:cs="Times New Roman" w:eastAsia="Times New Roman" w:hAnsi="Times New Roman"/>
          <w:sz w:val="20"/>
          <w:szCs w:val="20"/>
          <w:color w:val="000000"/>
        </w:rPr>
        <w:t>a certificate of the Secretary, Assistant Secretary or, in respect of an Australian Loan Party, director or company secretary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respect of the Canadian Loan Parties, chief financial officer, vice president, finance officer or other acceptable officer (or such other corporate officer satisfactory to the Administrative Agent) of each Borrower and each Guarantor dated as of the Third Amendment Effective Date and certifying (1) that attached thereto is a true and complete copy of the organizational documents of such Borrower or Guarantor as in effect on the Third Amendment Effective Date and at all times since a date prior to the date of the resolutions described in clause (2) below (or, if previously delivered and, as applicable, a certification that there have been no changes, amendments or modifications thereto since previously delivered),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1" w:name="page12"/>
    <w:bookmarkEnd w:id="11"/>
    <w:p>
      <w:pPr>
        <w:jc w:val="both"/>
        <w:ind w:left="660"/>
        <w:spacing w:after="0" w:line="243" w:lineRule="auto"/>
        <w:rPr>
          <w:sz w:val="20"/>
          <w:szCs w:val="20"/>
          <w:color w:val="auto"/>
        </w:rPr>
      </w:pPr>
      <w:r>
        <w:rPr>
          <w:rFonts w:ascii="Times New Roman" w:cs="Times New Roman" w:eastAsia="Times New Roman" w:hAnsi="Times New Roman"/>
          <w:sz w:val="20"/>
          <w:szCs w:val="20"/>
          <w:color w:val="auto"/>
        </w:rPr>
        <w:t>that (A) in the case of a Borrower or Guarantor other than an Australian Loan Party, attached thereto is a true and complete copy of, or (B) in the case of an Australian Loan Party, attached there is an extract of, resolutions duly adopted by the Board of Directors (or persons performing similar functions) of such Borrower or Guarantor authorizing the Transactions to be entered into by such Borrower or Guarantor pursuant hereto, and the execution, delivery and performance of the Loan Documents to which such person is a party and, in the case of the Borrowers, the borrowings under the Amended Credit Agreement, and that such resolutions have not been modified, rescinded or amended and are in full force and effect, and (3) as to the incumbency and specimen signature of each officer executing any Loan Document or any other document delivered in connection herewith on behalf of such Borrower or Guarantor; and;</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9"/>
          <w:szCs w:val="19"/>
          <w:color w:val="010000"/>
        </w:rPr>
        <w:t>iv.</w:t>
      </w:r>
      <w:r>
        <w:rPr>
          <w:rFonts w:ascii="Times New Roman" w:cs="Times New Roman" w:eastAsia="Times New Roman" w:hAnsi="Times New Roman"/>
          <w:sz w:val="19"/>
          <w:szCs w:val="19"/>
          <w:color w:val="000000"/>
        </w:rPr>
        <w:t>a certificate, dated the Third Amendment Effective Date and signed by a Financial Officer of the Parent Borrower, certifying</w:t>
      </w:r>
    </w:p>
    <w:p>
      <w:pPr>
        <w:spacing w:after="0" w:line="33" w:lineRule="exact"/>
        <w:rPr>
          <w:sz w:val="20"/>
          <w:szCs w:val="20"/>
          <w:color w:val="auto"/>
        </w:rPr>
      </w:pPr>
    </w:p>
    <w:p>
      <w:pPr>
        <w:jc w:val="both"/>
        <w:ind w:left="660" w:hanging="4"/>
        <w:spacing w:after="0" w:line="242" w:lineRule="auto"/>
        <w:tabs>
          <w:tab w:leader="none" w:pos="95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after giving effect to this Third Amendment, the extension of the Maturity Date, compliance with the conditions precedent set forth in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hereof and (2) that the Parent Borrower and its subsidiaries, taken as a whole, will be Solvent on the Third Amendment Effective Date.</w:t>
      </w:r>
    </w:p>
    <w:p>
      <w:pPr>
        <w:spacing w:after="0" w:line="18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010000"/>
        </w:rPr>
        <w:t>Section 7.</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As of the date hereof, each Borrower hereby represents and warrants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each of the Lenders as follows:</w:t>
      </w:r>
    </w:p>
    <w:p>
      <w:pPr>
        <w:spacing w:after="0" w:line="194" w:lineRule="exact"/>
        <w:rPr>
          <w:sz w:val="20"/>
          <w:szCs w:val="20"/>
          <w:color w:val="auto"/>
        </w:rPr>
      </w:pPr>
    </w:p>
    <w:p>
      <w:pPr>
        <w:jc w:val="both"/>
        <w:ind w:firstLine="656"/>
        <w:spacing w:after="0" w:line="244" w:lineRule="auto"/>
        <w:tabs>
          <w:tab w:leader="none" w:pos="9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92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or would exist immediately after giving effect to the transactions contemplated by the Third Amendment.</w:t>
      </w:r>
    </w:p>
    <w:p>
      <w:pPr>
        <w:spacing w:after="0" w:line="15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8.</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43" w:lineRule="exact"/>
        <w:rPr>
          <w:sz w:val="20"/>
          <w:szCs w:val="20"/>
          <w:color w:val="auto"/>
        </w:rPr>
      </w:pPr>
    </w:p>
    <w:p>
      <w:pPr>
        <w:jc w:val="both"/>
        <w:ind w:firstLine="656"/>
        <w:spacing w:after="0"/>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Confirmation</w:t>
      </w:r>
      <w:r>
        <w:rPr>
          <w:rFonts w:ascii="Times New Roman" w:cs="Times New Roman" w:eastAsia="Times New Roman" w:hAnsi="Times New Roman"/>
          <w:sz w:val="20"/>
          <w:szCs w:val="20"/>
          <w:color w:val="auto"/>
        </w:rPr>
        <w:t>. The provisions of the Credit Agreement, as amended by this Third Amendment, are hereby ratified and confirmed by the Borrowers and shall remain in full force and effect following the effectiveness of this Third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19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84" w:val="left"/>
        </w:tabs>
        <w:numPr>
          <w:ilvl w:val="0"/>
          <w:numId w:val="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Ratification and Affirmation</w:t>
      </w:r>
      <w:r>
        <w:rPr>
          <w:rFonts w:ascii="Times New Roman" w:cs="Times New Roman" w:eastAsia="Times New Roman" w:hAnsi="Times New Roman"/>
          <w:sz w:val="20"/>
          <w:szCs w:val="20"/>
          <w:color w:val="auto"/>
        </w:rPr>
        <w:t>. Each of the Borrowers and Guarantors hereby (a) acknowledges the terms of this Third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2" w:name="page13"/>
    <w:bookmarkEnd w:id="12"/>
    <w:p>
      <w:pPr>
        <w:ind w:firstLine="656"/>
        <w:spacing w:after="0" w:line="269" w:lineRule="auto"/>
        <w:tabs>
          <w:tab w:leader="none" w:pos="1286"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Third Amendment is a “Loan Document” as defined and described in the Credit Agreement and all of the terms and provisions of the Amended Credit Agreement relating to Loan Documents shall apply hereto.</w:t>
      </w:r>
    </w:p>
    <w:p>
      <w:pPr>
        <w:spacing w:after="0" w:line="159" w:lineRule="exact"/>
        <w:rPr>
          <w:rFonts w:ascii="Times New Roman" w:cs="Times New Roman" w:eastAsia="Times New Roman" w:hAnsi="Times New Roman"/>
          <w:sz w:val="20"/>
          <w:szCs w:val="20"/>
          <w:color w:val="010000"/>
        </w:rPr>
      </w:pPr>
    </w:p>
    <w:p>
      <w:pPr>
        <w:jc w:val="both"/>
        <w:ind w:firstLine="656"/>
        <w:spacing w:after="0" w:line="242" w:lineRule="auto"/>
        <w:tabs>
          <w:tab w:leader="none" w:pos="1284"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Exiting Lenders</w:t>
      </w:r>
      <w:r>
        <w:rPr>
          <w:rFonts w:ascii="Times New Roman" w:cs="Times New Roman" w:eastAsia="Times New Roman" w:hAnsi="Times New Roman"/>
          <w:sz w:val="20"/>
          <w:szCs w:val="20"/>
          <w:color w:val="auto"/>
        </w:rPr>
        <w:t>. The obligations of each Lender identified as an Exiting Lender on the signature pages to this Third Amendment (each, an “</w:t>
      </w:r>
      <w:r>
        <w:rPr>
          <w:rFonts w:ascii="Times New Roman" w:cs="Times New Roman" w:eastAsia="Times New Roman" w:hAnsi="Times New Roman"/>
          <w:sz w:val="20"/>
          <w:szCs w:val="20"/>
          <w:u w:val="single" w:color="auto"/>
          <w:color w:val="auto"/>
        </w:rPr>
        <w:t>Exiting Lender</w:t>
      </w:r>
      <w:r>
        <w:rPr>
          <w:rFonts w:ascii="Times New Roman" w:cs="Times New Roman" w:eastAsia="Times New Roman" w:hAnsi="Times New Roman"/>
          <w:sz w:val="20"/>
          <w:szCs w:val="20"/>
          <w:color w:val="auto"/>
        </w:rPr>
        <w:t>”) under the Credit Agreement are terminated and the Exiting Lenders are released of their Commitments (as defined in the Credit Agreement) as of the Third Amendment Effective Date. Notwithstanding the foregoing or anything else herein to the contrary, the Agents, each Exiting Lender, each other Lender and each of the Loan Parties acknowledges and agrees (i) if the Third Amendment Effective Date is not a Business Day with respect to any Loan, then each Exiting Lender will receive payment of its outstanding Loans on the first Business Day to occur after the Third Amendment Effective Date (which payment shall be a permitted non-ratable payment hereunder to such Exiting Lender), (ii) until such Exiting Lender receives payment in full in an amount equal to its outstanding Loans and all unpaid interest and fees thereon, such Exiting Lender’s Loans and all other Obligations related thereto shall continue to be Obligations guaranteed by the Guarantee Agreements and secured by the Security Documents to the extent applicable to Loans and the Exiting Lenders shall continue to be Secured Parties and the Borrowers hereby agree that (iii) failure to repay such Loans and all unpaid interest and fees thereon on the first Business Day to occur after the Third Amendment Effective Date shall be an immediate Event of Default.</w:t>
      </w:r>
    </w:p>
    <w:p>
      <w:pPr>
        <w:spacing w:after="0" w:line="187" w:lineRule="exact"/>
        <w:rPr>
          <w:rFonts w:ascii="Times New Roman" w:cs="Times New Roman" w:eastAsia="Times New Roman" w:hAnsi="Times New Roman"/>
          <w:sz w:val="20"/>
          <w:szCs w:val="20"/>
          <w:color w:val="010000"/>
        </w:rPr>
      </w:pPr>
    </w:p>
    <w:p>
      <w:pPr>
        <w:jc w:val="both"/>
        <w:ind w:firstLine="656"/>
        <w:spacing w:after="0" w:line="242" w:lineRule="auto"/>
        <w:tabs>
          <w:tab w:leader="none" w:pos="1286"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Third Amendment may be executed by one or more of the parties hereto in any number of separate counterparts, and all of such counterparts taken together shall be deemed to constitute one and the same instrument. Delivery of this Third Amendment by facsimile or electronic transmission shall be effective as delivery of a manually executed counterpart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Agents,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rFonts w:ascii="Times New Roman" w:cs="Times New Roman" w:eastAsia="Times New Roman" w:hAnsi="Times New Roman"/>
          <w:sz w:val="20"/>
          <w:szCs w:val="20"/>
          <w:color w:val="010000"/>
        </w:rPr>
      </w:pPr>
    </w:p>
    <w:p>
      <w:pPr>
        <w:jc w:val="both"/>
        <w:ind w:firstLine="656"/>
        <w:spacing w:after="0" w:line="249" w:lineRule="auto"/>
        <w:tabs>
          <w:tab w:leader="none" w:pos="1291"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ORAL AGREEMENT</w:t>
      </w:r>
      <w:r>
        <w:rPr>
          <w:rFonts w:ascii="Times New Roman" w:cs="Times New Roman" w:eastAsia="Times New Roman" w:hAnsi="Times New Roman"/>
          <w:sz w:val="20"/>
          <w:szCs w:val="20"/>
          <w:color w:val="auto"/>
        </w:rPr>
        <w:t>. THIS THIRD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79" w:lineRule="exact"/>
        <w:rPr>
          <w:rFonts w:ascii="Times New Roman" w:cs="Times New Roman" w:eastAsia="Times New Roman" w:hAnsi="Times New Roman"/>
          <w:sz w:val="20"/>
          <w:szCs w:val="20"/>
          <w:color w:val="010000"/>
        </w:rPr>
      </w:pPr>
    </w:p>
    <w:p>
      <w:pPr>
        <w:ind w:firstLine="656"/>
        <w:spacing w:after="0" w:line="269" w:lineRule="auto"/>
        <w:tabs>
          <w:tab w:leader="none" w:pos="1284" w:val="left"/>
        </w:tabs>
        <w:numPr>
          <w:ilvl w:val="0"/>
          <w:numId w:val="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THIRD AMENDMENT SHALL BE CONSTRUED IN ACCORDANCE WITH AND GOVERNED BY THE LAWS OF THE STATE OF NEW YORK.</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010000"/>
        </w:rPr>
        <w:t xml:space="preserve">Section 9. </w:t>
      </w:r>
      <w:r>
        <w:rPr>
          <w:rFonts w:ascii="Times New Roman" w:cs="Times New Roman" w:eastAsia="Times New Roman" w:hAnsi="Times New Roman"/>
          <w:sz w:val="20"/>
          <w:szCs w:val="20"/>
          <w:u w:val="single" w:color="auto"/>
          <w:color w:val="000000"/>
        </w:rPr>
        <w:t>No Fiduciary Relationship</w:t>
      </w:r>
      <w:r>
        <w:rPr>
          <w:rFonts w:ascii="Times New Roman" w:cs="Times New Roman" w:eastAsia="Times New Roman" w:hAnsi="Times New Roman"/>
          <w:sz w:val="20"/>
          <w:szCs w:val="20"/>
          <w:color w:val="000000"/>
        </w:rPr>
        <w:t>. The Loan Parties acknowledge that none of the Agents, the Issuing Banks, the Swing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Line Lenders, the Lenders or their respective Affiliates is acting as a fiduciary for or advisor to the Loan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Third Amendment to be duly executed as of the date first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Carolyn J. Stone</w:t>
      </w:r>
    </w:p>
    <w:p>
      <w:pPr>
        <w:ind w:left="3900"/>
        <w:spacing w:after="0"/>
        <w:rPr>
          <w:sz w:val="20"/>
          <w:szCs w:val="20"/>
          <w:color w:val="auto"/>
        </w:rPr>
      </w:pPr>
      <w:r>
        <w:rPr>
          <w:rFonts w:ascii="Times New Roman" w:cs="Times New Roman" w:eastAsia="Times New Roman" w:hAnsi="Times New Roman"/>
          <w:sz w:val="20"/>
          <w:szCs w:val="20"/>
          <w:color w:val="auto"/>
        </w:rPr>
        <w:t>Title: Senior Vice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3900"/>
        <w:spacing w:after="0" w:line="269" w:lineRule="auto"/>
        <w:rPr>
          <w:sz w:val="20"/>
          <w:szCs w:val="20"/>
          <w:color w:val="auto"/>
        </w:rPr>
      </w:pPr>
      <w:r>
        <w:rPr>
          <w:rFonts w:ascii="Times New Roman" w:cs="Times New Roman" w:eastAsia="Times New Roman" w:hAnsi="Times New Roman"/>
          <w:sz w:val="20"/>
          <w:szCs w:val="20"/>
          <w:color w:val="auto"/>
        </w:rPr>
        <w:t>CIVEO CANADA OPERATIONS GP LTD, on behalf of and in its capacity as general partner of CIVEO CANADA LIMITED PARTNERSHIP</w:t>
      </w:r>
    </w:p>
    <w:p>
      <w:pPr>
        <w:spacing w:after="0" w:line="200" w:lineRule="exact"/>
        <w:rPr>
          <w:sz w:val="20"/>
          <w:szCs w:val="20"/>
          <w:color w:val="auto"/>
        </w:rPr>
      </w:pPr>
    </w:p>
    <w:p>
      <w:pPr>
        <w:spacing w:after="0" w:line="3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1144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427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ind w:left="3900"/>
        <w:spacing w:after="0"/>
        <w:rPr>
          <w:sz w:val="20"/>
          <w:szCs w:val="20"/>
          <w:color w:val="auto"/>
        </w:rPr>
      </w:pPr>
      <w:r>
        <w:rPr>
          <w:rFonts w:ascii="Times New Roman" w:cs="Times New Roman" w:eastAsia="Times New Roman" w:hAnsi="Times New Roman"/>
          <w:sz w:val="20"/>
          <w:szCs w:val="20"/>
          <w:color w:val="auto"/>
        </w:rPr>
        <w:t>Title: Director &amp; President</w:t>
      </w:r>
    </w:p>
    <w:p>
      <w:pPr>
        <w:spacing w:after="0" w:line="200" w:lineRule="exact"/>
        <w:rPr>
          <w:sz w:val="20"/>
          <w:szCs w:val="20"/>
          <w:color w:val="auto"/>
        </w:rPr>
      </w:pPr>
    </w:p>
    <w:p>
      <w:pPr>
        <w:spacing w:after="0" w:line="26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3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Carolyn J. Stone</w:t>
      </w:r>
    </w:p>
    <w:p>
      <w:pPr>
        <w:ind w:left="3900"/>
        <w:spacing w:after="0"/>
        <w:rPr>
          <w:sz w:val="20"/>
          <w:szCs w:val="20"/>
          <w:color w:val="auto"/>
        </w:rPr>
      </w:pPr>
      <w:r>
        <w:rPr>
          <w:rFonts w:ascii="Times New Roman" w:cs="Times New Roman" w:eastAsia="Times New Roman" w:hAnsi="Times New Roman"/>
          <w:sz w:val="20"/>
          <w:szCs w:val="20"/>
          <w:color w:val="auto"/>
        </w:rPr>
        <w:t>Title: Senior Vice President, Chief Financial Officer and Treasurer</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CIVEO PTY LIMITED</w:t>
      </w:r>
    </w:p>
    <w:p>
      <w:pPr>
        <w:spacing w:after="0" w:line="3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 of Director</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Carolyn J. Stone</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Director</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 of Director/Company Secretary</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Bradley J. Dodson</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Director/Company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CIVEO OFFSHORE LLC</w:t>
      </w:r>
    </w:p>
    <w:p>
      <w:pPr>
        <w:spacing w:after="0" w:line="200" w:lineRule="exact"/>
        <w:rPr>
          <w:sz w:val="20"/>
          <w:szCs w:val="20"/>
          <w:color w:val="auto"/>
        </w:rPr>
      </w:pP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Carolyn J. Stone</w:t>
      </w:r>
    </w:p>
    <w:p>
      <w:pPr>
        <w:ind w:left="420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CIVEO USA LLC</w:t>
      </w:r>
    </w:p>
    <w:p>
      <w:pPr>
        <w:spacing w:after="0" w:line="200" w:lineRule="exact"/>
        <w:rPr>
          <w:sz w:val="20"/>
          <w:szCs w:val="20"/>
          <w:color w:val="auto"/>
        </w:rPr>
      </w:pPr>
    </w:p>
    <w:p>
      <w:pPr>
        <w:spacing w:after="0" w:line="2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Carolyn J. Stone</w:t>
      </w:r>
    </w:p>
    <w:p>
      <w:pPr>
        <w:ind w:left="420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CIVEO WATER AND WASTE WATER USA, LLC</w:t>
      </w:r>
    </w:p>
    <w:p>
      <w:pPr>
        <w:spacing w:after="0" w:line="200" w:lineRule="exact"/>
        <w:rPr>
          <w:sz w:val="20"/>
          <w:szCs w:val="20"/>
          <w:color w:val="auto"/>
        </w:rPr>
      </w:pPr>
    </w:p>
    <w:p>
      <w:pPr>
        <w:spacing w:after="0" w:line="2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Carolyn J. Stone</w:t>
      </w:r>
    </w:p>
    <w:p>
      <w:pPr>
        <w:ind w:left="420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CIVEO GP HOLDINGS CORPORATION</w:t>
      </w:r>
    </w:p>
    <w:p>
      <w:pPr>
        <w:spacing w:after="0" w:line="200" w:lineRule="exact"/>
        <w:rPr>
          <w:sz w:val="20"/>
          <w:szCs w:val="20"/>
          <w:color w:val="auto"/>
        </w:rPr>
      </w:pPr>
    </w:p>
    <w:p>
      <w:pPr>
        <w:spacing w:after="0" w:line="2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Carolyn J. Stone</w:t>
      </w:r>
    </w:p>
    <w:p>
      <w:pPr>
        <w:ind w:left="42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64" w:lineRule="exact"/>
        <w:rPr>
          <w:sz w:val="20"/>
          <w:szCs w:val="20"/>
          <w:color w:val="auto"/>
        </w:rPr>
      </w:pPr>
    </w:p>
    <w:p>
      <w:pPr>
        <w:ind w:left="4200"/>
        <w:spacing w:after="0" w:line="269" w:lineRule="auto"/>
        <w:rPr>
          <w:sz w:val="20"/>
          <w:szCs w:val="20"/>
          <w:color w:val="auto"/>
        </w:rPr>
      </w:pPr>
      <w:r>
        <w:rPr>
          <w:rFonts w:ascii="Times New Roman" w:cs="Times New Roman" w:eastAsia="Times New Roman" w:hAnsi="Times New Roman"/>
          <w:sz w:val="20"/>
          <w:szCs w:val="20"/>
          <w:color w:val="auto"/>
        </w:rPr>
        <w:t>CIVEO CANADA OPERATIONS GP LTD., on behalf of and in its capacity as general partner of CIVEO CANADA LIMITED PARTNERSHIP</w:t>
      </w:r>
    </w:p>
    <w:p>
      <w:pPr>
        <w:spacing w:after="0" w:line="200" w:lineRule="exact"/>
        <w:rPr>
          <w:sz w:val="20"/>
          <w:szCs w:val="20"/>
          <w:color w:val="auto"/>
        </w:rPr>
      </w:pPr>
    </w:p>
    <w:p>
      <w:pPr>
        <w:spacing w:after="0" w:line="2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Bradley J. Dodson</w:t>
      </w:r>
    </w:p>
    <w:p>
      <w:pPr>
        <w:ind w:left="42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1220"/>
          </w:cols>
          <w:pgMar w:left="340" w:top="1409" w:right="339" w:bottom="1440" w:gutter="0" w:footer="0" w:header="0"/>
        </w:sectPr>
      </w:pPr>
    </w:p>
    <w:bookmarkStart w:id="15" w:name="page16"/>
    <w:bookmarkEnd w:id="15"/>
    <w:p>
      <w:pPr>
        <w:ind w:left="3100"/>
        <w:spacing w:after="0"/>
        <w:rPr>
          <w:sz w:val="20"/>
          <w:szCs w:val="20"/>
          <w:color w:val="auto"/>
        </w:rPr>
      </w:pPr>
      <w:r>
        <w:rPr>
          <w:rFonts w:ascii="Times New Roman" w:cs="Times New Roman" w:eastAsia="Times New Roman" w:hAnsi="Times New Roman"/>
          <w:sz w:val="20"/>
          <w:szCs w:val="20"/>
          <w:color w:val="auto"/>
        </w:rPr>
        <w:t>CIVEO CANADA OPERATIONS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LODGE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CIVEO LODGE GP LTD., on behalf of and in its capacity as general partner of CIVEO LODGE EMPLOYEES LIMITED PARTNERSHIP</w:t>
      </w:r>
    </w:p>
    <w:p>
      <w:pPr>
        <w:spacing w:after="0" w:line="200" w:lineRule="exact"/>
        <w:rPr>
          <w:sz w:val="20"/>
          <w:szCs w:val="20"/>
          <w:color w:val="auto"/>
        </w:rPr>
      </w:pPr>
    </w:p>
    <w:p>
      <w:pPr>
        <w:spacing w:after="0" w:line="2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WATER CANADA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tabs>
          <w:tab w:leader="none" w:pos="6860" w:val="left"/>
        </w:tabs>
        <w:rPr>
          <w:sz w:val="20"/>
          <w:szCs w:val="20"/>
          <w:color w:val="auto"/>
        </w:rPr>
      </w:pPr>
      <w:r>
        <w:rPr>
          <w:rFonts w:ascii="Times New Roman" w:cs="Times New Roman" w:eastAsia="Times New Roman" w:hAnsi="Times New Roman"/>
          <w:sz w:val="20"/>
          <w:szCs w:val="20"/>
          <w:color w:val="auto"/>
        </w:rPr>
        <w:t>Title: President, Chief Executive Officer and</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RED TABLE CATERING GP LTD.</w:t>
      </w:r>
    </w:p>
    <w:p>
      <w:pPr>
        <w:spacing w:after="0" w:line="24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CANADA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00"/>
          </w:cols>
          <w:pgMar w:left="1440" w:top="1413" w:right="359" w:bottom="1440" w:gutter="0" w:footer="0" w:header="0"/>
        </w:sectPr>
      </w:pPr>
    </w:p>
    <w:bookmarkStart w:id="16" w:name="page17"/>
    <w:bookmarkEnd w:id="16"/>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PREMIUM SERVICES GP LTD.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NORTHERN CATERING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BUFFALO CATERING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INSTALLATIONS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CROWN SERVICES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FORT MCMURRAY LODGE SERVICES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CHRISTINA LAKE ENTERPRISES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SERVICES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PACIFIC NORTHWEST GP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WATER CANADA GP LTD, on behalf of and in its capacity as general partner of CIVEO WATER CANADA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RED TABLE CATERING GP LTD, on behalf of and in its capacity as general partner of RED TABLE EMPLOYEES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00"/>
          </w:cols>
          <w:pgMar w:left="1440" w:top="1440" w:right="359" w:bottom="1440" w:gutter="0" w:footer="0" w:header="0"/>
        </w:sectPr>
      </w:pPr>
    </w:p>
    <w:bookmarkStart w:id="18" w:name="page19"/>
    <w:bookmarkEnd w:id="18"/>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64"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CIVEO PREMIUM SERVICES GP LTD, on behalf of and in its capacity as general partner of CIVEO PREMIUM SERVICES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21"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auto"/>
        </w:rPr>
        <w:t>INSTALLATIONS GP LTD, on behalf of and in its capacity as general partner of CIVEO INSTALLATIONS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21" w:lineRule="exact"/>
        <w:rPr>
          <w:sz w:val="20"/>
          <w:szCs w:val="20"/>
          <w:color w:val="auto"/>
        </w:rPr>
      </w:pPr>
    </w:p>
    <w:p>
      <w:pPr>
        <w:ind w:left="3100" w:right="20"/>
        <w:spacing w:after="0" w:line="269" w:lineRule="auto"/>
        <w:rPr>
          <w:sz w:val="20"/>
          <w:szCs w:val="20"/>
          <w:color w:val="auto"/>
        </w:rPr>
      </w:pPr>
      <w:r>
        <w:rPr>
          <w:rFonts w:ascii="Times New Roman" w:cs="Times New Roman" w:eastAsia="Times New Roman" w:hAnsi="Times New Roman"/>
          <w:sz w:val="20"/>
          <w:szCs w:val="20"/>
          <w:color w:val="auto"/>
        </w:rPr>
        <w:t>CROWN SERVICES GP LTD, on behalf of and in its capacity as general partner of CIVEO CROWN SERVICES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64"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0A0A0A"/>
        </w:rPr>
        <w:t>CANADA GP LTD., on behalf of and in its capacity as general partner of CIVEO CANADA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19" w:name="page20"/>
    <w:bookmarkEnd w:id="19"/>
    <w:p>
      <w:pPr>
        <w:ind w:left="3100" w:right="20"/>
        <w:spacing w:after="0" w:line="269" w:lineRule="auto"/>
        <w:rPr>
          <w:sz w:val="20"/>
          <w:szCs w:val="20"/>
          <w:color w:val="auto"/>
        </w:rPr>
      </w:pPr>
      <w:r>
        <w:rPr>
          <w:rFonts w:ascii="Times New Roman" w:cs="Times New Roman" w:eastAsia="Times New Roman" w:hAnsi="Times New Roman"/>
          <w:sz w:val="20"/>
          <w:szCs w:val="20"/>
          <w:color w:val="0A0A0A"/>
        </w:rPr>
        <w:t>CIVEO SERVICES GP LTD., on behalf of and in its capacity as general partner of CIVEO SERVICES EMPLOYEES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100"/>
        <w:spacing w:after="0" w:line="295" w:lineRule="auto"/>
        <w:rPr>
          <w:sz w:val="20"/>
          <w:szCs w:val="20"/>
          <w:color w:val="auto"/>
        </w:rPr>
      </w:pPr>
      <w:r>
        <w:rPr>
          <w:rFonts w:ascii="Times New Roman" w:cs="Times New Roman" w:eastAsia="Times New Roman" w:hAnsi="Times New Roman"/>
          <w:sz w:val="19"/>
          <w:szCs w:val="19"/>
          <w:color w:val="0A0A0A"/>
        </w:rPr>
        <w:t>CIVEO PACIFIC NORTHWEST GP LTD., on behalf of and in its capacity as general partner of CIVEO PACIFIC NORTHWEST EMPLOYEES LIMITED PARTNERSHIP</w:t>
      </w:r>
    </w:p>
    <w:p>
      <w:pPr>
        <w:spacing w:after="0" w:line="38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100"/>
        <w:spacing w:after="0" w:line="269" w:lineRule="auto"/>
        <w:rPr>
          <w:sz w:val="20"/>
          <w:szCs w:val="20"/>
          <w:color w:val="auto"/>
        </w:rPr>
      </w:pPr>
      <w:r>
        <w:rPr>
          <w:rFonts w:ascii="Times New Roman" w:cs="Times New Roman" w:eastAsia="Times New Roman" w:hAnsi="Times New Roman"/>
          <w:sz w:val="20"/>
          <w:szCs w:val="20"/>
          <w:color w:val="0A0A0A"/>
        </w:rPr>
        <w:t>CIVEO CANADA OPERATIONS GP LTD., on behalf of and in its capacity as general partner of RED TABLE FOODS LIMITED PARTNERSHIP</w:t>
      </w:r>
    </w:p>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72" w:lineRule="exact"/>
        <w:rPr>
          <w:sz w:val="20"/>
          <w:szCs w:val="20"/>
          <w:color w:val="auto"/>
        </w:rPr>
      </w:pPr>
    </w:p>
    <w:p>
      <w:pPr>
        <w:jc w:val="both"/>
        <w:ind w:left="3100" w:right="260"/>
        <w:spacing w:after="0" w:line="257" w:lineRule="auto"/>
        <w:rPr>
          <w:sz w:val="20"/>
          <w:szCs w:val="20"/>
          <w:color w:val="auto"/>
        </w:rPr>
      </w:pPr>
      <w:r>
        <w:rPr>
          <w:rFonts w:ascii="Times New Roman" w:cs="Times New Roman" w:eastAsia="Times New Roman" w:hAnsi="Times New Roman"/>
          <w:sz w:val="22"/>
          <w:szCs w:val="22"/>
          <w:color w:val="auto"/>
        </w:rPr>
        <w:t>CIVEO PACIFIC NORTHWEST GP LTD., on behalf of and in its capacity as general partner of CIVEO PACIFIC NORTHWEST EMPLOYEES LIMITED PARTNERSHIP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20" w:name="page21"/>
    <w:bookmarkEnd w:id="20"/>
    <w:p>
      <w:pPr>
        <w:ind w:left="2780"/>
        <w:spacing w:after="0"/>
        <w:rPr>
          <w:sz w:val="20"/>
          <w:szCs w:val="20"/>
          <w:color w:val="auto"/>
        </w:rPr>
      </w:pPr>
      <w:r>
        <w:rPr>
          <w:rFonts w:ascii="Times New Roman" w:cs="Times New Roman" w:eastAsia="Times New Roman" w:hAnsi="Times New Roman"/>
          <w:sz w:val="22"/>
          <w:szCs w:val="22"/>
          <w:color w:val="auto"/>
        </w:rPr>
        <w:t>1046567 B.C. LTD.</w:t>
      </w:r>
    </w:p>
    <w:p>
      <w:pPr>
        <w:spacing w:after="0" w:line="23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Lisa Curry</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Lisa Curry</w:t>
      </w:r>
    </w:p>
    <w:p>
      <w:pPr>
        <w:ind w:left="3100"/>
        <w:spacing w:after="0"/>
        <w:rPr>
          <w:sz w:val="20"/>
          <w:szCs w:val="20"/>
          <w:color w:val="auto"/>
        </w:rPr>
      </w:pPr>
      <w:r>
        <w:rPr>
          <w:rFonts w:ascii="Times New Roman" w:cs="Times New Roman" w:eastAsia="Times New Roman" w:hAnsi="Times New Roman"/>
          <w:sz w:val="20"/>
          <w:szCs w:val="20"/>
          <w:color w:val="auto"/>
        </w:rPr>
        <w:t>Title: Vice President, Tax</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0B0B0B"/>
        </w:rPr>
        <w:t>CIVEO PROPERTY PTY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CIVEO HOLDING COMPANY 2 PTY LTD.</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Carolyn J. Stone</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Carolyn J. Stone</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Bradley J. Dodson</w:t>
      </w:r>
    </w:p>
    <w:p>
      <w:pPr>
        <w:ind w:left="31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9019"/>
          </w:cols>
          <w:pgMar w:left="1440" w:top="1422" w:right="1440"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Administrative Agent, U.S. Collateral Agent, Canadian Administrative Agent and Canadian Collateral Agent</w:t>
      </w:r>
    </w:p>
    <w:p>
      <w:pPr>
        <w:spacing w:after="0" w:line="200" w:lineRule="exact"/>
        <w:rPr>
          <w:sz w:val="20"/>
          <w:szCs w:val="20"/>
          <w:color w:val="auto"/>
        </w:rPr>
      </w:pPr>
    </w:p>
    <w:p>
      <w:pPr>
        <w:spacing w:after="0" w:line="2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-10795</wp:posOffset>
            </wp:positionV>
            <wp:extent cx="872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Ann Hurley</w:t>
      </w:r>
    </w:p>
    <w:p>
      <w:pPr>
        <w:ind w:left="20"/>
        <w:spacing w:after="0"/>
        <w:rPr>
          <w:sz w:val="20"/>
          <w:szCs w:val="20"/>
          <w:color w:val="auto"/>
        </w:rPr>
      </w:pPr>
      <w:r>
        <w:rPr>
          <w:rFonts w:ascii="Times New Roman" w:cs="Times New Roman" w:eastAsia="Times New Roman" w:hAnsi="Times New Roman"/>
          <w:sz w:val="20"/>
          <w:szCs w:val="20"/>
          <w:color w:val="auto"/>
        </w:rPr>
        <w:t>Title: Manager, Agency</w:t>
      </w:r>
    </w:p>
    <w:p>
      <w:pPr>
        <w:sectPr>
          <w:pgSz w:w="11900" w:h="16838" w:orient="portrait"/>
          <w:cols w:equalWidth="0" w:num="1">
            <w:col w:w="10119"/>
          </w:cols>
          <w:pgMar w:left="340" w:top="1413" w:right="1440"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Australian Administrative Agent, Australian Collateral Agent and an Issuing Lender</w:t>
      </w:r>
    </w:p>
    <w:p>
      <w:pPr>
        <w:spacing w:after="0" w:line="200" w:lineRule="exact"/>
        <w:rPr>
          <w:sz w:val="20"/>
          <w:szCs w:val="20"/>
          <w:color w:val="auto"/>
        </w:rPr>
      </w:pPr>
    </w:p>
    <w:p>
      <w:pPr>
        <w:spacing w:after="0" w:line="2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Johnson 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-10795</wp:posOffset>
            </wp:positionV>
            <wp:extent cx="923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Johnson Tse</w:t>
      </w:r>
    </w:p>
    <w:p>
      <w:pPr>
        <w:ind w:left="20"/>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0119"/>
          </w:cols>
          <w:pgMar w:left="340" w:top="1413" w:right="1440" w:bottom="1440" w:gutter="0" w:footer="0" w:header="0"/>
        </w:sectPr>
      </w:pPr>
    </w:p>
    <w:bookmarkStart w:id="23" w:name="page24"/>
    <w:bookmarkEnd w:id="23"/>
    <w:p>
      <w:pPr>
        <w:ind w:left="360"/>
        <w:spacing w:after="0"/>
        <w:rPr>
          <w:sz w:val="20"/>
          <w:szCs w:val="20"/>
          <w:color w:val="auto"/>
        </w:rPr>
      </w:pPr>
      <w:r>
        <w:rPr>
          <w:rFonts w:ascii="Times New Roman" w:cs="Times New Roman" w:eastAsia="Times New Roman" w:hAnsi="Times New Roman"/>
          <w:sz w:val="19"/>
          <w:szCs w:val="19"/>
          <w:color w:val="auto"/>
        </w:rPr>
        <w:t>ROYAL BANK OF CANADA, as a U.S. Lender, the U.S. Swing Line Lender, an Issuing Bank, and an Extending Lender</w:t>
      </w:r>
    </w:p>
    <w:p>
      <w:pPr>
        <w:spacing w:after="0" w:line="200" w:lineRule="exact"/>
        <w:rPr>
          <w:sz w:val="20"/>
          <w:szCs w:val="20"/>
          <w:color w:val="auto"/>
        </w:rPr>
      </w:pPr>
    </w:p>
    <w:p>
      <w:pPr>
        <w:spacing w:after="0" w:line="36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Jay T.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-10795</wp:posOffset>
            </wp:positionV>
            <wp:extent cx="960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Jay T. Sartain</w:t>
      </w: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0099"/>
          </w:cols>
          <w:pgMar w:left="360" w:top="1413" w:right="1440" w:bottom="1440" w:gutter="0" w:footer="0" w:header="0"/>
        </w:sectPr>
      </w:pPr>
    </w:p>
    <w:bookmarkStart w:id="24" w:name="page25"/>
    <w:bookmarkEnd w:id="24"/>
    <w:p>
      <w:pPr>
        <w:ind w:left="3860"/>
        <w:spacing w:after="0" w:line="269" w:lineRule="auto"/>
        <w:rPr>
          <w:sz w:val="20"/>
          <w:szCs w:val="20"/>
          <w:color w:val="auto"/>
        </w:rPr>
      </w:pPr>
      <w:r>
        <w:rPr>
          <w:rFonts w:ascii="Times New Roman" w:cs="Times New Roman" w:eastAsia="Times New Roman" w:hAnsi="Times New Roman"/>
          <w:sz w:val="20"/>
          <w:szCs w:val="20"/>
          <w:color w:val="auto"/>
        </w:rPr>
        <w:t>ROYAL BANK OF CANADA, as a Canadian Lender, the Canadian Swing Line Lender, an Issuing Bank, and an Extending Lender</w:t>
      </w:r>
    </w:p>
    <w:p>
      <w:pPr>
        <w:spacing w:after="0" w:line="200" w:lineRule="exact"/>
        <w:rPr>
          <w:sz w:val="20"/>
          <w:szCs w:val="20"/>
          <w:color w:val="auto"/>
        </w:rPr>
      </w:pP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Mike Gaudet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-10795</wp:posOffset>
            </wp:positionV>
            <wp:extent cx="966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Mike Gaudet</w:t>
      </w:r>
    </w:p>
    <w:p>
      <w:pPr>
        <w:spacing w:after="0"/>
        <w:rPr>
          <w:sz w:val="20"/>
          <w:szCs w:val="20"/>
          <w:color w:val="auto"/>
        </w:rPr>
      </w:pPr>
      <w:r>
        <w:rPr>
          <w:rFonts w:ascii="Times New Roman" w:cs="Times New Roman" w:eastAsia="Times New Roman" w:hAnsi="Times New Roman"/>
          <w:sz w:val="20"/>
          <w:szCs w:val="20"/>
          <w:color w:val="auto"/>
        </w:rPr>
        <w:t>Title: Authorized Signatory</w:t>
      </w:r>
    </w:p>
    <w:p>
      <w:pPr>
        <w:sectPr>
          <w:pgSz w:w="11900" w:h="16838" w:orient="portrait"/>
          <w:cols w:equalWidth="0" w:num="1">
            <w:col w:w="11200"/>
          </w:cols>
          <w:pgMar w:left="360" w:top="1413" w:right="339" w:bottom="1440" w:gutter="0" w:footer="0" w:header="0"/>
        </w:sectPr>
      </w:pPr>
    </w:p>
    <w:bookmarkStart w:id="25" w:name="page26"/>
    <w:bookmarkEnd w:id="25"/>
    <w:p>
      <w:pPr>
        <w:ind w:left="3860"/>
        <w:spacing w:after="0" w:line="269" w:lineRule="auto"/>
        <w:rPr>
          <w:sz w:val="20"/>
          <w:szCs w:val="20"/>
          <w:color w:val="auto"/>
        </w:rPr>
      </w:pPr>
      <w:r>
        <w:rPr>
          <w:rFonts w:ascii="Times New Roman" w:cs="Times New Roman" w:eastAsia="Times New Roman" w:hAnsi="Times New Roman"/>
          <w:sz w:val="20"/>
          <w:szCs w:val="20"/>
          <w:color w:val="auto"/>
        </w:rPr>
        <w:t>ROYAL BANK OF CANADA, as an Australian Lender, an Issuing Bank and an Extending Lender</w:t>
      </w:r>
    </w:p>
    <w:p>
      <w:pPr>
        <w:spacing w:after="0" w:line="200" w:lineRule="exact"/>
        <w:rPr>
          <w:sz w:val="20"/>
          <w:szCs w:val="20"/>
          <w:color w:val="auto"/>
        </w:rPr>
      </w:pP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Marcus Rayment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-10795</wp:posOffset>
            </wp:positionV>
            <wp:extent cx="1137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Marcus Rayment</w:t>
      </w:r>
    </w:p>
    <w:p>
      <w:pPr>
        <w:spacing w:after="0"/>
        <w:rPr>
          <w:sz w:val="20"/>
          <w:szCs w:val="20"/>
          <w:color w:val="auto"/>
        </w:rPr>
      </w:pPr>
      <w:r>
        <w:rPr>
          <w:rFonts w:ascii="Times New Roman" w:cs="Times New Roman" w:eastAsia="Times New Roman" w:hAnsi="Times New Roman"/>
          <w:sz w:val="20"/>
          <w:szCs w:val="20"/>
          <w:color w:val="auto"/>
        </w:rPr>
        <w:t>Title: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1180"/>
          </w:cols>
          <w:pgMar w:left="360" w:top="1413" w:right="359" w:bottom="1440" w:gutter="0" w:footer="0" w:header="0"/>
        </w:sectPr>
      </w:pPr>
    </w:p>
    <w:bookmarkStart w:id="26" w:name="page27"/>
    <w:bookmarkEnd w:id="26"/>
    <w:p>
      <w:pPr>
        <w:ind w:left="2780"/>
        <w:spacing w:after="0" w:line="269" w:lineRule="auto"/>
        <w:rPr>
          <w:sz w:val="20"/>
          <w:szCs w:val="20"/>
          <w:color w:val="auto"/>
        </w:rPr>
      </w:pPr>
      <w:r>
        <w:rPr>
          <w:rFonts w:ascii="Times New Roman" w:cs="Times New Roman" w:eastAsia="Times New Roman" w:hAnsi="Times New Roman"/>
          <w:sz w:val="20"/>
          <w:szCs w:val="20"/>
          <w:color w:val="auto"/>
        </w:rPr>
        <w:t>THE BANK OF NOVA SCOTIA, as a Canadian Lender, an Issuing Bank and an Extending Lender</w:t>
      </w:r>
    </w:p>
    <w:p>
      <w:pPr>
        <w:spacing w:after="0" w:line="200" w:lineRule="exact"/>
        <w:rPr>
          <w:sz w:val="20"/>
          <w:szCs w:val="20"/>
          <w:color w:val="auto"/>
        </w:rPr>
      </w:pP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Nickel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Scott Nickel</w:t>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00"/>
          </w:cols>
          <w:pgMar w:left="1440" w:top="1413" w:right="359" w:bottom="1440" w:gutter="0" w:footer="0" w:header="0"/>
        </w:sectPr>
      </w:pPr>
    </w:p>
    <w:bookmarkStart w:id="27" w:name="page28"/>
    <w:bookmarkEnd w:id="27"/>
    <w:p>
      <w:pPr>
        <w:ind w:left="3840"/>
        <w:spacing w:after="0" w:line="269" w:lineRule="auto"/>
        <w:rPr>
          <w:sz w:val="20"/>
          <w:szCs w:val="20"/>
          <w:color w:val="auto"/>
        </w:rPr>
      </w:pPr>
      <w:r>
        <w:rPr>
          <w:rFonts w:ascii="Times New Roman" w:cs="Times New Roman" w:eastAsia="Times New Roman" w:hAnsi="Times New Roman"/>
          <w:sz w:val="20"/>
          <w:szCs w:val="20"/>
          <w:color w:val="auto"/>
        </w:rPr>
        <w:t>BNS ASIA LIMITED, as an Australian Lender, an Exiting Lender and a Non-Extending Lender</w:t>
      </w:r>
    </w:p>
    <w:p>
      <w:pPr>
        <w:spacing w:after="0" w:line="200" w:lineRule="exact"/>
        <w:rPr>
          <w:sz w:val="20"/>
          <w:szCs w:val="20"/>
          <w:color w:val="auto"/>
        </w:rPr>
      </w:pPr>
    </w:p>
    <w:p>
      <w:pPr>
        <w:spacing w:after="0" w:line="2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Levia</w:t>
      </w:r>
    </w:p>
    <w:p>
      <w:pPr>
        <w:spacing w:after="0" w:line="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Name: Mark Levia</w:t>
      </w:r>
    </w:p>
    <w:p>
      <w:pPr>
        <w:ind w:left="3840"/>
        <w:spacing w:after="0"/>
        <w:rPr>
          <w:sz w:val="20"/>
          <w:szCs w:val="20"/>
          <w:color w:val="auto"/>
        </w:rPr>
      </w:pPr>
      <w:r>
        <w:rPr>
          <w:rFonts w:ascii="Times New Roman" w:cs="Times New Roman" w:eastAsia="Times New Roman" w:hAnsi="Times New Roman"/>
          <w:sz w:val="20"/>
          <w:szCs w:val="20"/>
          <w:color w:val="auto"/>
        </w:rPr>
        <w:t>Title: Director, Head of Execution &amp; Head of BNSAL</w:t>
      </w:r>
    </w:p>
    <w:p>
      <w:pPr>
        <w:spacing w:after="0"/>
        <w:rPr>
          <w:sz w:val="20"/>
          <w:szCs w:val="20"/>
          <w:color w:val="auto"/>
        </w:rPr>
      </w:pPr>
      <w:r>
        <w:rPr>
          <w:rFonts w:ascii="Times New Roman" w:cs="Times New Roman" w:eastAsia="Times New Roman" w:hAnsi="Times New Roman"/>
          <w:sz w:val="20"/>
          <w:szCs w:val="20"/>
          <w:color w:val="auto"/>
        </w:rPr>
        <w:t>BANK OF MONTREAL, as a Canadian Lender and an Extending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1180"/>
          </w:cols>
          <w:pgMar w:left="380" w:top="1413" w:right="339" w:bottom="1440" w:gutter="0" w:footer="0" w:header="0"/>
        </w:sectPr>
      </w:pPr>
    </w:p>
    <w:bookmarkStart w:id="28" w:name="page29"/>
    <w:bookmarkEnd w:id="28"/>
    <w:p>
      <w:pPr>
        <w:spacing w:after="0" w:line="200" w:lineRule="exact"/>
        <w:rPr>
          <w:sz w:val="20"/>
          <w:szCs w:val="20"/>
          <w:color w:val="auto"/>
        </w:rPr>
      </w:pPr>
    </w:p>
    <w:p>
      <w:pPr>
        <w:spacing w:after="0" w:line="2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Nicholas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-10795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Nicholas Power</w:t>
      </w:r>
    </w:p>
    <w:p>
      <w:pPr>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Kirk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-10795</wp:posOffset>
            </wp:positionV>
            <wp:extent cx="953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Kirk Phillips</w:t>
      </w:r>
    </w:p>
    <w:p>
      <w:pPr>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099"/>
          </w:cols>
          <w:pgMar w:left="360" w:top="1440" w:right="1440" w:bottom="1440" w:gutter="0" w:footer="0" w:header="0"/>
        </w:sectPr>
      </w:pPr>
    </w:p>
    <w:bookmarkStart w:id="29" w:name="page30"/>
    <w:bookmarkEnd w:id="29"/>
    <w:p>
      <w:pPr>
        <w:jc w:val="right"/>
        <w:ind w:right="359"/>
        <w:spacing w:after="0"/>
        <w:rPr>
          <w:sz w:val="20"/>
          <w:szCs w:val="20"/>
          <w:color w:val="auto"/>
        </w:rPr>
      </w:pPr>
      <w:r>
        <w:rPr>
          <w:rFonts w:ascii="Times New Roman" w:cs="Times New Roman" w:eastAsia="Times New Roman" w:hAnsi="Times New Roman"/>
          <w:sz w:val="20"/>
          <w:szCs w:val="20"/>
          <w:color w:val="auto"/>
        </w:rPr>
        <w:t>HSBC BANK CANADA, as a Canadian Lender and an Extending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Sherry Gauthier</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Sherry Gauthier</w:t>
      </w:r>
    </w:p>
    <w:p>
      <w:pPr>
        <w:ind w:left="27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Ilene Morey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Ilene Morey</w:t>
      </w:r>
    </w:p>
    <w:p>
      <w:pPr>
        <w:ind w:left="2780"/>
        <w:spacing w:after="0"/>
        <w:rPr>
          <w:sz w:val="20"/>
          <w:szCs w:val="20"/>
          <w:color w:val="auto"/>
        </w:rPr>
      </w:pPr>
      <w:r>
        <w:rPr>
          <w:rFonts w:ascii="Times New Roman" w:cs="Times New Roman" w:eastAsia="Times New Roman" w:hAnsi="Times New Roman"/>
          <w:sz w:val="20"/>
          <w:szCs w:val="20"/>
          <w:color w:val="auto"/>
        </w:rPr>
        <w:t>Title: Senior Officer – Commercial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9019"/>
          </w:cols>
          <w:pgMar w:left="1440" w:top="1413" w:right="1440" w:bottom="1440" w:gutter="0" w:footer="0" w:header="0"/>
        </w:sectPr>
      </w:pPr>
    </w:p>
    <w:bookmarkStart w:id="30" w:name="page31"/>
    <w:bookmarkEnd w:id="30"/>
    <w:p>
      <w:pPr>
        <w:jc w:val="both"/>
        <w:ind w:left="2780"/>
        <w:spacing w:after="0" w:line="254" w:lineRule="auto"/>
        <w:rPr>
          <w:sz w:val="20"/>
          <w:szCs w:val="20"/>
          <w:color w:val="auto"/>
        </w:rPr>
      </w:pPr>
      <w:r>
        <w:rPr>
          <w:rFonts w:ascii="Times New Roman" w:cs="Times New Roman" w:eastAsia="Times New Roman" w:hAnsi="Times New Roman"/>
          <w:sz w:val="20"/>
          <w:szCs w:val="20"/>
          <w:color w:val="auto"/>
        </w:rPr>
        <w:t>For and on behalf of THE HONGKONG AND SHANGHAI BANKING CORPORATION LIMITED, SYDNEY BRANCH, as an Australian Lender and an Extending Lender, by its duly authorised attorney pursuant to a power of attorney in the presence of: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Craig Greenwood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Craig Greenwood</w:t>
      </w:r>
    </w:p>
    <w:p>
      <w:pPr>
        <w:ind w:left="2780"/>
        <w:spacing w:after="0"/>
        <w:rPr>
          <w:sz w:val="20"/>
          <w:szCs w:val="20"/>
          <w:color w:val="auto"/>
        </w:rPr>
      </w:pPr>
      <w:r>
        <w:rPr>
          <w:rFonts w:ascii="Times New Roman" w:cs="Times New Roman" w:eastAsia="Times New Roman" w:hAnsi="Times New Roman"/>
          <w:sz w:val="20"/>
          <w:szCs w:val="20"/>
          <w:color w:val="auto"/>
        </w:rPr>
        <w:t>Title: State Manager, NSW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1" w:name="page32"/>
    <w:bookmarkEnd w:id="31"/>
    <w:p>
      <w:pPr>
        <w:ind w:left="2780"/>
        <w:spacing w:after="0" w:line="269" w:lineRule="auto"/>
        <w:rPr>
          <w:sz w:val="20"/>
          <w:szCs w:val="20"/>
          <w:color w:val="auto"/>
        </w:rPr>
      </w:pPr>
      <w:r>
        <w:rPr>
          <w:rFonts w:ascii="Times New Roman" w:cs="Times New Roman" w:eastAsia="Times New Roman" w:hAnsi="Times New Roman"/>
          <w:sz w:val="20"/>
          <w:szCs w:val="20"/>
          <w:color w:val="auto"/>
        </w:rPr>
        <w:t>THE TORONTO-DOMINION BANK, as a Canadian Lender, an Issuing Bank and an 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Vanessa Cheung</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Vanessa Cheung</w:t>
      </w:r>
    </w:p>
    <w:p>
      <w:pPr>
        <w:ind w:left="2780"/>
        <w:spacing w:after="0"/>
        <w:rPr>
          <w:sz w:val="20"/>
          <w:szCs w:val="20"/>
          <w:color w:val="auto"/>
        </w:rPr>
      </w:pPr>
      <w:r>
        <w:rPr>
          <w:rFonts w:ascii="Times New Roman" w:cs="Times New Roman" w:eastAsia="Times New Roman" w:hAnsi="Times New Roman"/>
          <w:sz w:val="20"/>
          <w:szCs w:val="20"/>
          <w:color w:val="auto"/>
        </w:rPr>
        <w:t>Title: Director, National Accounts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Jennifer Kerr</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Jennifer Kerr</w:t>
      </w:r>
    </w:p>
    <w:p>
      <w:pPr>
        <w:ind w:left="2780"/>
        <w:spacing w:after="0"/>
        <w:rPr>
          <w:sz w:val="20"/>
          <w:szCs w:val="20"/>
          <w:color w:val="auto"/>
        </w:rPr>
      </w:pPr>
      <w:r>
        <w:rPr>
          <w:rFonts w:ascii="Times New Roman" w:cs="Times New Roman" w:eastAsia="Times New Roman" w:hAnsi="Times New Roman"/>
          <w:sz w:val="20"/>
          <w:szCs w:val="20"/>
          <w:color w:val="auto"/>
        </w:rPr>
        <w:t>Title: Manager Commercial Credit, National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TORONTO-DOMINION (TEXAS) LLC, as a U.S. Lender and an Non-Extending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Pradeep Mehra</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Pradeep Mehra</w:t>
      </w:r>
    </w:p>
    <w:p>
      <w:pPr>
        <w:ind w:left="39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US-DOCS\117434314.2</w:t>
      </w:r>
    </w:p>
    <w:p>
      <w:pPr>
        <w:sectPr>
          <w:pgSz w:w="11900" w:h="16838" w:orient="portrait"/>
          <w:cols w:equalWidth="0" w:num="1">
            <w:col w:w="11240"/>
          </w:cols>
          <w:pgMar w:left="320" w:top="117" w:right="339" w:bottom="1440" w:gutter="0" w:footer="0" w:header="0"/>
        </w:sectPr>
      </w:pPr>
    </w:p>
    <w:bookmarkStart w:id="33" w:name="page34"/>
    <w:bookmarkEnd w:id="33"/>
    <w:p>
      <w:pPr>
        <w:spacing w:after="0" w:line="200" w:lineRule="exact"/>
        <w:rPr>
          <w:sz w:val="20"/>
          <w:szCs w:val="20"/>
          <w:color w:val="auto"/>
        </w:rPr>
      </w:pPr>
    </w:p>
    <w:p>
      <w:pPr>
        <w:spacing w:after="0" w:line="232" w:lineRule="exact"/>
        <w:rPr>
          <w:sz w:val="20"/>
          <w:szCs w:val="20"/>
          <w:color w:val="auto"/>
        </w:rPr>
      </w:pPr>
    </w:p>
    <w:p>
      <w:pPr>
        <w:ind w:left="2780"/>
        <w:spacing w:after="0" w:line="269" w:lineRule="auto"/>
        <w:rPr>
          <w:sz w:val="20"/>
          <w:szCs w:val="20"/>
          <w:color w:val="auto"/>
        </w:rPr>
      </w:pPr>
      <w:r>
        <w:rPr>
          <w:rFonts w:ascii="Times New Roman" w:cs="Times New Roman" w:eastAsia="Times New Roman" w:hAnsi="Times New Roman"/>
          <w:sz w:val="20"/>
          <w:szCs w:val="20"/>
          <w:color w:val="auto"/>
        </w:rPr>
        <w:t>NATIONAL BANK OF CANADA, as a Canadian Lender, an Australian Lender and an 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Anderson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Jason Anderson</w:t>
      </w:r>
    </w:p>
    <w:p>
      <w:pPr>
        <w:ind w:left="2780"/>
        <w:spacing w:after="0"/>
        <w:rPr>
          <w:sz w:val="20"/>
          <w:szCs w:val="20"/>
          <w:color w:val="auto"/>
        </w:rPr>
      </w:pPr>
      <w:r>
        <w:rPr>
          <w:rFonts w:ascii="Times New Roman" w:cs="Times New Roman" w:eastAsia="Times New Roman" w:hAnsi="Times New Roman"/>
          <w:sz w:val="20"/>
          <w:szCs w:val="20"/>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Darrell Stelmack</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Darrell Stelmack</w:t>
      </w:r>
    </w:p>
    <w:p>
      <w:pPr>
        <w:ind w:left="2780"/>
        <w:spacing w:after="0"/>
        <w:rPr>
          <w:sz w:val="20"/>
          <w:szCs w:val="20"/>
          <w:color w:val="auto"/>
        </w:rPr>
      </w:pPr>
      <w:r>
        <w:rPr>
          <w:rFonts w:ascii="Times New Roman" w:cs="Times New Roman" w:eastAsia="Times New Roman" w:hAnsi="Times New Roman"/>
          <w:sz w:val="20"/>
          <w:szCs w:val="20"/>
          <w:color w:val="auto"/>
        </w:rPr>
        <w:t>Title: Director, Energy Services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40" w:right="339" w:bottom="1440" w:gutter="0" w:footer="0" w:header="0"/>
        </w:sectPr>
      </w:pPr>
    </w:p>
    <w:bookmarkStart w:id="34" w:name="page35"/>
    <w:bookmarkEnd w:id="34"/>
    <w:p>
      <w:pPr>
        <w:jc w:val="right"/>
        <w:ind w:right="1039"/>
        <w:spacing w:after="0"/>
        <w:rPr>
          <w:sz w:val="20"/>
          <w:szCs w:val="20"/>
          <w:color w:val="auto"/>
        </w:rPr>
      </w:pPr>
      <w:r>
        <w:rPr>
          <w:rFonts w:ascii="Times New Roman" w:cs="Times New Roman" w:eastAsia="Times New Roman" w:hAnsi="Times New Roman"/>
          <w:sz w:val="20"/>
          <w:szCs w:val="20"/>
          <w:color w:val="auto"/>
        </w:rPr>
        <w:t>ATB FINANCIAL, as Canadian Lender and an Extending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Amish Patel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Amish Patel</w:t>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Davinder Jhutty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Davinder Jhutty</w:t>
      </w:r>
    </w:p>
    <w:p>
      <w:pPr>
        <w:ind w:left="2780"/>
        <w:spacing w:after="0"/>
        <w:rPr>
          <w:sz w:val="20"/>
          <w:szCs w:val="20"/>
          <w:color w:val="auto"/>
        </w:rPr>
      </w:pPr>
      <w:r>
        <w:rPr>
          <w:rFonts w:ascii="Times New Roman" w:cs="Times New Roman" w:eastAsia="Times New Roman" w:hAnsi="Times New Roman"/>
          <w:sz w:val="20"/>
          <w:szCs w:val="20"/>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9019"/>
          </w:cols>
          <w:pgMar w:left="1440" w:top="1413" w:right="1440" w:bottom="1440" w:gutter="0" w:footer="0" w:header="0"/>
        </w:sectPr>
      </w:pPr>
    </w:p>
    <w:bookmarkStart w:id="35" w:name="page36"/>
    <w:bookmarkEnd w:id="35"/>
    <w:p>
      <w:pPr>
        <w:ind w:left="2780"/>
        <w:spacing w:after="0" w:line="269" w:lineRule="auto"/>
        <w:rPr>
          <w:sz w:val="20"/>
          <w:szCs w:val="20"/>
          <w:color w:val="auto"/>
        </w:rPr>
      </w:pPr>
      <w:r>
        <w:rPr>
          <w:rFonts w:ascii="Times New Roman" w:cs="Times New Roman" w:eastAsia="Times New Roman" w:hAnsi="Times New Roman"/>
          <w:sz w:val="20"/>
          <w:szCs w:val="20"/>
          <w:color w:val="auto"/>
        </w:rPr>
        <w:t>WELLS FARGO BANK N.A., CANADIAN BRANCH, as Canadian Lender, an Exiting Lender and a Non-Extending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Lindy Couillard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Lindy Couillard</w:t>
      </w: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6" w:name="page37"/>
    <w:bookmarkEnd w:id="36"/>
    <w:p>
      <w:pPr>
        <w:ind w:left="2780"/>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an Australian Lender, an Exiting Lender and a Non-Extending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Jay Buckman</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Jay Buckman</w:t>
      </w: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7" w:name="page38"/>
    <w:bookmarkEnd w:id="37"/>
    <w:p>
      <w:pPr>
        <w:ind w:left="2780"/>
        <w:spacing w:after="0" w:line="269" w:lineRule="auto"/>
        <w:rPr>
          <w:sz w:val="20"/>
          <w:szCs w:val="20"/>
          <w:color w:val="auto"/>
        </w:rPr>
      </w:pPr>
      <w:r>
        <w:rPr>
          <w:rFonts w:ascii="Times New Roman" w:cs="Times New Roman" w:eastAsia="Times New Roman" w:hAnsi="Times New Roman"/>
          <w:sz w:val="20"/>
          <w:szCs w:val="20"/>
          <w:color w:val="auto"/>
        </w:rPr>
        <w:t>SUMITOMO MITSUI BANKING CORPORATION, as a U.S. Lender, an Exiting Lender and a Non-Extending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Eugene Nirenberg</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Eugene Nirenberg</w:t>
      </w: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8" w:name="page39"/>
    <w:bookmarkEnd w:id="38"/>
    <w:p>
      <w:pPr>
        <w:ind w:left="2780"/>
        <w:spacing w:after="0" w:line="269" w:lineRule="auto"/>
        <w:rPr>
          <w:sz w:val="20"/>
          <w:szCs w:val="20"/>
          <w:color w:val="auto"/>
        </w:rPr>
      </w:pPr>
      <w:r>
        <w:rPr>
          <w:rFonts w:ascii="Times New Roman" w:cs="Times New Roman" w:eastAsia="Times New Roman" w:hAnsi="Times New Roman"/>
          <w:sz w:val="20"/>
          <w:szCs w:val="20"/>
          <w:color w:val="auto"/>
        </w:rPr>
        <w:t>SUMITOMO MITSUI BANKING CORPORATION, CANADA BRANCH, as a Canadian Lender, an Exiting Lender and a Non-Extending Lender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Alfred Lee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Alfred Lee</w:t>
      </w: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10120"/>
          </w:cols>
          <w:pgMar w:left="1440" w:top="141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color w:val="auto"/>
        </w:rPr>
        <w:t>CANADIAN WESTERN BANK, as a Canadian Lender and an Extending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Jeff Owel</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Jeff Owel</w:t>
      </w:r>
    </w:p>
    <w:p>
      <w:pPr>
        <w:ind w:left="2780"/>
        <w:spacing w:after="0"/>
        <w:rPr>
          <w:sz w:val="20"/>
          <w:szCs w:val="20"/>
          <w:color w:val="auto"/>
        </w:rPr>
      </w:pPr>
      <w:r>
        <w:rPr>
          <w:rFonts w:ascii="Times New Roman" w:cs="Times New Roman" w:eastAsia="Times New Roman" w:hAnsi="Times New Roman"/>
          <w:sz w:val="20"/>
          <w:szCs w:val="20"/>
          <w:color w:val="auto"/>
        </w:rPr>
        <w:t>Title: AVP Commercial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Third Amendment to Amended and Restated Syndicated Facility Agreement]</w:t>
      </w:r>
    </w:p>
    <w:p>
      <w:pPr>
        <w:sectPr>
          <w:pgSz w:w="11900" w:h="16838" w:orient="portrait"/>
          <w:cols w:equalWidth="0" w:num="1">
            <w:col w:w="9280"/>
          </w:cols>
          <w:pgMar w:left="1440" w:top="1413" w:right="1179" w:bottom="1440" w:gutter="0" w:footer="0" w:header="0"/>
        </w:sectPr>
      </w:pPr>
    </w:p>
    <w:bookmarkStart w:id="40" w:name="page41"/>
    <w:bookmarkEnd w:id="40"/>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Lenders and Commitments/Loans</w:t>
      </w:r>
    </w:p>
    <w:p>
      <w:pPr>
        <w:sectPr>
          <w:pgSz w:w="11900" w:h="16838" w:orient="portrait"/>
          <w:cols w:equalWidth="0" w:num="1">
            <w:col w:w="9019"/>
          </w:cols>
          <w:pgMar w:left="1440" w:top="1440" w:right="1440" w:bottom="1440" w:gutter="0" w:footer="0" w:header="0"/>
        </w:sectPr>
      </w:pPr>
    </w:p>
    <w:bookmarkStart w:id="41" w:name="page42"/>
    <w:bookmarkEnd w:id="4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80" w:type="dxa"/>
            <w:vAlign w:val="bottom"/>
            <w:tcBorders>
              <w:top w:val="single" w:sz="8" w:color="auto"/>
              <w:left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Revolving</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Canadian Revolving</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Australian Revolving</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Canadian Term Loans</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Bank</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 / Loans</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Bank of Canada</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$5,061,203.04</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$8,440,790.10</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$63,690,883.95</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$71,032,503.55</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Bank of Nova Scotia</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$14,335,621.35</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$40,731,819.34</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$44,732,501.46</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BNS Asia Limited</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HSBC Bank Canada</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$16,730,177.00</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$47,165,625.02</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$51,928,404.62</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Hong Kong and</w:t>
            </w:r>
          </w:p>
        </w:tc>
        <w:tc>
          <w:tcPr>
            <w:tcW w:w="18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Shanghai Banking</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$19,125,000.00</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$19,125,000.00</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 Limited,</w:t>
            </w:r>
          </w:p>
        </w:tc>
        <w:tc>
          <w:tcPr>
            <w:tcW w:w="18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80" w:type="dxa"/>
            <w:vAlign w:val="bottom"/>
            <w:tcBorders>
              <w:left w:val="single" w:sz="8" w:color="auto"/>
              <w:right w:val="single" w:sz="8" w:color="auto"/>
            </w:tcBorders>
            <w:vMerge w:val="continue"/>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Sydney Branch</w:t>
            </w:r>
          </w:p>
        </w:tc>
        <w:tc>
          <w:tcPr>
            <w:tcW w:w="180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Bank of Montreal</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$19,337,990.71</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$30,310,924.95</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$41,958,083.96</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Toronto-Dominion</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$12,027,961.44</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$37,709,534.63</w:t>
            </w:r>
          </w:p>
        </w:tc>
        <w:tc>
          <w:tcPr>
            <w:tcW w:w="2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$40,169,405.20</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Bank</w:t>
            </w:r>
          </w:p>
        </w:tc>
        <w:tc>
          <w:tcPr>
            <w:tcW w:w="18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Toronto-Dominion (Texas)</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18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National Bank of Canada</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$15,454,427.63</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$7,434,209.90</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$20,763,494.88</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$38,383,782.96</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ATB Financial</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$16,942,712.43</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$20,712,485.35</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$32,399,791.05</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Wells Fargo Bank National</w:t>
            </w:r>
          </w:p>
        </w:tc>
        <w:tc>
          <w:tcPr>
            <w:tcW w:w="18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Association, Canadian</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Branch</w:t>
            </w:r>
          </w:p>
        </w:tc>
        <w:tc>
          <w:tcPr>
            <w:tcW w:w="180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Wells Fargo Bank, National</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Association</w:t>
            </w:r>
          </w:p>
        </w:tc>
        <w:tc>
          <w:tcPr>
            <w:tcW w:w="18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Sumitomo Mitsui Banking</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180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Sumitomo Mitsui Banking</w:t>
            </w:r>
          </w:p>
        </w:tc>
        <w:tc>
          <w:tcPr>
            <w:tcW w:w="18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Corporation, Canada</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Branch</w:t>
            </w:r>
          </w:p>
        </w:tc>
        <w:tc>
          <w:tcPr>
            <w:tcW w:w="180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Canadian Western Bank</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$22,409,906.40</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$22,409,906.40</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$10,000,000.00</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$122,300,000.00</w:t>
            </w:r>
          </w:p>
        </w:tc>
        <w:tc>
          <w:tcPr>
            <w:tcW w:w="1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$35,000,000.00</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$261,084,768.12</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$362,139,379.19</w:t>
            </w:r>
          </w:p>
        </w:tc>
        <w:tc>
          <w:tcPr>
            <w:tcW w:w="0" w:type="dxa"/>
            <w:vAlign w:val="bottom"/>
          </w:tcPr>
          <w:p>
            <w:pPr>
              <w:spacing w:after="0"/>
              <w:rPr>
                <w:sz w:val="1"/>
                <w:szCs w:val="1"/>
                <w:color w:val="auto"/>
              </w:rPr>
            </w:pPr>
          </w:p>
        </w:tc>
      </w:tr>
      <w:tr>
        <w:trPr>
          <w:trHeight w:val="27"/>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ANNEX II</w:t>
            </w:r>
          </w:p>
        </w:tc>
        <w:tc>
          <w:tcPr>
            <w:tcW w:w="4960" w:type="dxa"/>
            <w:vAlign w:val="bottom"/>
            <w:gridSpan w:val="4"/>
          </w:tcPr>
          <w:p>
            <w:pPr>
              <w:spacing w:after="0"/>
              <w:rPr>
                <w:sz w:val="19"/>
                <w:szCs w:val="19"/>
                <w:color w:val="auto"/>
              </w:rPr>
            </w:pPr>
          </w:p>
        </w:tc>
      </w:tr>
      <w:tr>
        <w:trPr>
          <w:trHeight w:val="466"/>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00" w:type="dxa"/>
            <w:vAlign w:val="bottom"/>
            <w:gridSpan w:val="8"/>
          </w:tcPr>
          <w:p>
            <w:pPr>
              <w:jc w:val="center"/>
              <w:ind w:right="3940"/>
              <w:spacing w:after="0"/>
              <w:rPr>
                <w:sz w:val="20"/>
                <w:szCs w:val="20"/>
                <w:color w:val="auto"/>
              </w:rPr>
            </w:pPr>
            <w:r>
              <w:rPr>
                <w:rFonts w:ascii="Times New Roman" w:cs="Times New Roman" w:eastAsia="Times New Roman" w:hAnsi="Times New Roman"/>
                <w:sz w:val="20"/>
                <w:szCs w:val="20"/>
                <w:b w:val="1"/>
                <w:bCs w:val="1"/>
                <w:color w:val="auto"/>
                <w:w w:val="98"/>
              </w:rPr>
              <w:t>SCHEDULE 2.04</w:t>
            </w:r>
          </w:p>
        </w:tc>
      </w:tr>
      <w:tr>
        <w:trPr>
          <w:trHeight w:val="216"/>
        </w:trPr>
        <w:tc>
          <w:tcPr>
            <w:tcW w:w="2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Borders>
              <w:bottom w:val="single" w:sz="8" w:color="auto"/>
            </w:tcBorders>
            <w:gridSpan w:val="4"/>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Amortization</w:t>
            </w:r>
          </w:p>
        </w:tc>
        <w:tc>
          <w:tcPr>
            <w:tcW w:w="4840" w:type="dxa"/>
            <w:vAlign w:val="bottom"/>
            <w:gridSpan w:val="3"/>
          </w:tcPr>
          <w:p>
            <w:pPr>
              <w:spacing w:after="0"/>
              <w:rPr>
                <w:sz w:val="18"/>
                <w:szCs w:val="18"/>
                <w:color w:val="auto"/>
              </w:rPr>
            </w:pPr>
          </w:p>
        </w:tc>
      </w:tr>
      <w:tr>
        <w:trPr>
          <w:trHeight w:val="499"/>
        </w:trPr>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00" w:type="dxa"/>
            <w:vAlign w:val="bottom"/>
            <w:gridSpan w:val="8"/>
          </w:tcPr>
          <w:p>
            <w:pPr>
              <w:jc w:val="center"/>
              <w:ind w:right="3940"/>
              <w:spacing w:after="0"/>
              <w:rPr>
                <w:sz w:val="20"/>
                <w:szCs w:val="20"/>
                <w:color w:val="auto"/>
              </w:rPr>
            </w:pPr>
            <w:r>
              <w:rPr>
                <w:rFonts w:ascii="Times New Roman" w:cs="Times New Roman" w:eastAsia="Times New Roman" w:hAnsi="Times New Roman"/>
                <w:sz w:val="20"/>
                <w:szCs w:val="20"/>
                <w:i w:val="1"/>
                <w:iCs w:val="1"/>
                <w:color w:val="auto"/>
                <w:w w:val="97"/>
              </w:rPr>
              <w:t>Canadian Term Loans</w:t>
            </w:r>
          </w:p>
        </w:tc>
      </w:tr>
      <w:tr>
        <w:trPr>
          <w:trHeight w:val="507"/>
        </w:trPr>
        <w:tc>
          <w:tcPr>
            <w:tcW w:w="2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r>
        <w:trPr>
          <w:trHeight w:val="209"/>
        </w:trPr>
        <w:tc>
          <w:tcPr>
            <w:tcW w:w="2560" w:type="dxa"/>
            <w:vAlign w:val="bottom"/>
            <w:tcBorders>
              <w:left w:val="single" w:sz="8" w:color="auto"/>
            </w:tcBorders>
          </w:tcPr>
          <w:p>
            <w:pPr>
              <w:spacing w:after="0"/>
              <w:rPr>
                <w:sz w:val="18"/>
                <w:szCs w:val="18"/>
                <w:color w:val="auto"/>
              </w:rPr>
            </w:pPr>
          </w:p>
        </w:tc>
        <w:tc>
          <w:tcPr>
            <w:tcW w:w="1580" w:type="dxa"/>
            <w:vAlign w:val="bottom"/>
            <w:gridSpan w:val="2"/>
          </w:tcPr>
          <w:p>
            <w:pPr>
              <w:jc w:val="center"/>
              <w:ind w:right="1200"/>
              <w:spacing w:after="0" w:line="209" w:lineRule="exact"/>
              <w:rPr>
                <w:sz w:val="20"/>
                <w:szCs w:val="20"/>
                <w:color w:val="auto"/>
              </w:rPr>
            </w:pPr>
            <w:r>
              <w:rPr>
                <w:rFonts w:ascii="Times New Roman" w:cs="Times New Roman" w:eastAsia="Times New Roman" w:hAnsi="Times New Roman"/>
                <w:sz w:val="20"/>
                <w:szCs w:val="20"/>
                <w:color w:val="auto"/>
              </w:rPr>
              <w:t>Date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Borders>
              <w:right w:val="single" w:sz="8" w:color="auto"/>
            </w:tcBorders>
            <w:gridSpan w:val="3"/>
          </w:tcPr>
          <w:p>
            <w:pPr>
              <w:jc w:val="center"/>
              <w:ind w:right="720"/>
              <w:spacing w:after="0" w:line="209" w:lineRule="exact"/>
              <w:rPr>
                <w:sz w:val="20"/>
                <w:szCs w:val="20"/>
                <w:color w:val="auto"/>
              </w:rPr>
            </w:pPr>
            <w:r>
              <w:rPr>
                <w:rFonts w:ascii="Times New Roman" w:cs="Times New Roman" w:eastAsia="Times New Roman" w:hAnsi="Times New Roman"/>
                <w:sz w:val="20"/>
                <w:szCs w:val="20"/>
                <w:color w:val="auto"/>
                <w:w w:val="97"/>
              </w:rPr>
              <w:t>Amount</w:t>
            </w:r>
          </w:p>
        </w:tc>
      </w:tr>
      <w:tr>
        <w:trPr>
          <w:trHeight w:val="48"/>
        </w:trPr>
        <w:tc>
          <w:tcPr>
            <w:tcW w:w="2560" w:type="dxa"/>
            <w:vAlign w:val="bottom"/>
            <w:tcBorders>
              <w:left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June 30, 2018</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9"/>
              </w:rPr>
              <w:t>C$9,203,085.94</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September 30, 2018</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9"/>
              </w:rPr>
              <w:t>C$9,203,085.94</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December 31, 2018</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9"/>
              </w:rPr>
              <w:t>March 31, 2019</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June 30, 2019</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September 30, 2019</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December 31, 2019</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9"/>
              </w:rPr>
              <w:t>March 31, 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June 30, 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C$11,503,857.42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September 30, 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December 31, 2020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9"/>
              </w:rPr>
              <w:t>March 31, 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June 30, 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September 30, 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December 30, 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9"/>
              </w:rPr>
              <w:t>March 31, 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June 30, 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8"/>
              </w:rPr>
              <w:t>September 30, 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61"/>
              <w:spacing w:after="0"/>
              <w:rPr>
                <w:sz w:val="20"/>
                <w:szCs w:val="20"/>
                <w:color w:val="auto"/>
              </w:rPr>
            </w:pPr>
            <w:r>
              <w:rPr>
                <w:rFonts w:ascii="Times New Roman" w:cs="Times New Roman" w:eastAsia="Times New Roman" w:hAnsi="Times New Roman"/>
                <w:sz w:val="20"/>
                <w:szCs w:val="20"/>
                <w:color w:val="auto"/>
                <w:w w:val="99"/>
              </w:rPr>
              <w:t>March 31, 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8"/>
              </w:rPr>
              <w:t>C$11,157,468.72</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140" w:type="dxa"/>
            <w:vAlign w:val="bottom"/>
            <w:tcBorders>
              <w:left w:val="single" w:sz="8" w:color="auto"/>
            </w:tcBorders>
            <w:gridSpan w:val="3"/>
          </w:tcPr>
          <w:p>
            <w:pPr>
              <w:jc w:val="center"/>
              <w:ind w:left="1281"/>
              <w:spacing w:after="0"/>
              <w:rPr>
                <w:sz w:val="20"/>
                <w:szCs w:val="20"/>
                <w:color w:val="auto"/>
              </w:rPr>
            </w:pPr>
            <w:r>
              <w:rPr>
                <w:rFonts w:ascii="Times New Roman" w:cs="Times New Roman" w:eastAsia="Times New Roman" w:hAnsi="Times New Roman"/>
                <w:sz w:val="20"/>
                <w:szCs w:val="20"/>
                <w:color w:val="auto"/>
                <w:w w:val="99"/>
              </w:rPr>
              <w:t>Maturity Date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40" w:type="dxa"/>
            <w:vAlign w:val="bottom"/>
            <w:tcBorders>
              <w:right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20"/>
                <w:szCs w:val="20"/>
                <w:color w:val="auto"/>
                <w:w w:val="99"/>
              </w:rPr>
              <w:t>Remaining Balance</w:t>
            </w:r>
          </w:p>
        </w:tc>
      </w:tr>
      <w:tr>
        <w:trPr>
          <w:trHeight w:val="21"/>
        </w:trPr>
        <w:tc>
          <w:tcPr>
            <w:tcW w:w="256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320" w:top="139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4"/>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lowerLetter"/>
      <w:start w:val="4"/>
    </w:lvl>
  </w:abstractNum>
  <w:abstractNum w:abstractNumId="8">
    <w:nsid w:val="3352255A"/>
    <w:multiLevelType w:val="hybridMultilevel"/>
    <w:lvl w:ilvl="0">
      <w:lvlJc w:val="left"/>
      <w:lvlText w:val="%1"/>
      <w:numFmt w:val="lowerLetter"/>
      <w:start w:val="1"/>
    </w:lvl>
    <w:lvl w:ilvl="1">
      <w:lvlJc w:val="left"/>
      <w:lvlText w:val="(%2)"/>
      <w:numFmt w:val="lowerLetter"/>
      <w:start w:val="5"/>
    </w:lvl>
  </w:abstractNum>
  <w:abstractNum w:abstractNumId="9">
    <w:nsid w:val="109CF92E"/>
    <w:multiLevelType w:val="hybridMultilevel"/>
    <w:lvl w:ilvl="0">
      <w:lvlJc w:val="left"/>
      <w:lvlText w:val="(%1)"/>
      <w:numFmt w:val="lowerLetter"/>
      <w:start w:val="7"/>
    </w:lvl>
    <w:lvl w:ilvl="1">
      <w:lvlJc w:val="left"/>
      <w:lvlText w:val="(%2)"/>
      <w:numFmt w:val="lowerLetter"/>
      <w:start w:val="6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10"/>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2020-09-08T16:15:29Z</dcterms:created>
  <dcterms:modified xsi:type="dcterms:W3CDTF">2020-09-08T16:15:29Z</dcterms:modified>
</cp:coreProperties>
</file>