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81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121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Brewer Barclay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333 CLAY STREET</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4980</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Civeo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02/22/2024</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Vice President and Controller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53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2,273</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9,332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2,273</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7,059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2,205</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9,264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551"/>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rPr>
              <w:t>984</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8,280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02/22/2024</w:t>
            </w:r>
          </w:p>
        </w:tc>
        <w:tc>
          <w:tcPr>
            <w:tcW w:w="11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2,273</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2,273</w:t>
            </w:r>
          </w:p>
        </w:tc>
        <w:tc>
          <w:tcPr>
            <w:tcW w:w="1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8,894</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2,273 shares vested on February 22, 2024.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97% on the third anniversary of February 22,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02/26/2024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66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2024-02-26T20:34:46Z</dcterms:created>
  <dcterms:modified xsi:type="dcterms:W3CDTF">2024-02-26T20:34:46Z</dcterms:modified>
</cp:coreProperties>
</file>