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19,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63"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6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8"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At the 2021 Annual General Meeting of Shareholders on May 19, 2021, the shareholders of Civeo Corporation (“Civeo”): (1) elected two Class I nominees to Civeo’s Board of Directors (the “Board”); (2) voted, on an advisory basis, in favor of the compensation of the persons listed as named executive officers in Civeo’s proxy statement filed with the Securities and Exchange Commission on April 1, 2021 (the "Proxy Statement"); (3) ratified the appointment of Ernst &amp; Young LLP as Civeo’s independent registered public accounting firm for the year ending December 31, 2021 and until the next annual general meeting of shareholders and authorized the directors of Civeo, acting through the Audit Committee, to determine the remuneration to be paid to Ernst &amp; Young LLP for 2021; (4) approved the frequency with which the Company conducts the say-on-pay vote, commonly referred to as a “Say-When-On-Pay" Proposal. The proposals related to each matter are described in detail in the Proxy Statement. The voting results for each proposal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Proposal 1 - To elect the two Class I nominees to the Board: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ind w:left="720"/>
              <w:spacing w:after="0"/>
              <w:rPr>
                <w:sz w:val="20"/>
                <w:szCs w:val="20"/>
                <w:color w:val="auto"/>
              </w:rPr>
            </w:pPr>
            <w:r>
              <w:rPr>
                <w:rFonts w:ascii="Arial" w:cs="Arial" w:eastAsia="Arial" w:hAnsi="Arial"/>
                <w:sz w:val="18"/>
                <w:szCs w:val="18"/>
                <w:b w:val="1"/>
                <w:bCs w:val="1"/>
                <w:color w:val="auto"/>
              </w:rPr>
              <w:t>Withheld</w:t>
            </w:r>
          </w:p>
        </w:tc>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Broker Non-Votes</w:t>
            </w:r>
          </w:p>
        </w:tc>
      </w:tr>
      <w:tr>
        <w:trPr>
          <w:trHeight w:val="24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 Ron Blankenship</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8,052,437</w:t>
            </w:r>
          </w:p>
        </w:tc>
        <w:tc>
          <w:tcPr>
            <w:tcW w:w="14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2,182,833</w:t>
            </w:r>
          </w:p>
        </w:tc>
        <w:tc>
          <w:tcPr>
            <w:tcW w:w="140" w:type="dxa"/>
            <w:vAlign w:val="bottom"/>
            <w:tcBorders>
              <w:top w:val="single" w:sz="8" w:color="CCEEFF"/>
            </w:tcBorders>
            <w:shd w:val="clear" w:color="auto" w:fill="CCEEFF"/>
          </w:tcPr>
          <w:p>
            <w:pPr>
              <w:spacing w:after="0"/>
              <w:rPr>
                <w:sz w:val="21"/>
                <w:szCs w:val="21"/>
                <w:color w:val="auto"/>
              </w:rPr>
            </w:pPr>
          </w:p>
        </w:tc>
        <w:tc>
          <w:tcPr>
            <w:tcW w:w="24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2,411,344</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8,039,311</w:t>
            </w:r>
          </w:p>
        </w:tc>
        <w:tc>
          <w:tcPr>
            <w:tcW w:w="140" w:type="dxa"/>
            <w:vAlign w:val="bottom"/>
          </w:tcPr>
          <w:p>
            <w:pPr>
              <w:spacing w:after="0"/>
              <w:rPr>
                <w:sz w:val="20"/>
                <w:szCs w:val="20"/>
                <w:color w:val="auto"/>
              </w:rPr>
            </w:pPr>
          </w:p>
        </w:tc>
        <w:tc>
          <w:tcPr>
            <w:tcW w:w="2160" w:type="dxa"/>
            <w:vAlign w:val="bottom"/>
          </w:tcPr>
          <w:p>
            <w:pPr>
              <w:ind w:left="720"/>
              <w:spacing w:after="0"/>
              <w:rPr>
                <w:sz w:val="20"/>
                <w:szCs w:val="20"/>
                <w:color w:val="auto"/>
              </w:rPr>
            </w:pPr>
            <w:r>
              <w:rPr>
                <w:rFonts w:ascii="Arial" w:cs="Arial" w:eastAsia="Arial" w:hAnsi="Arial"/>
                <w:sz w:val="18"/>
                <w:szCs w:val="18"/>
                <w:color w:val="auto"/>
              </w:rPr>
              <w:t>2,195,959</w:t>
            </w:r>
          </w:p>
        </w:tc>
        <w:tc>
          <w:tcPr>
            <w:tcW w:w="140" w:type="dxa"/>
            <w:vAlign w:val="bottom"/>
          </w:tcPr>
          <w:p>
            <w:pPr>
              <w:spacing w:after="0"/>
              <w:rPr>
                <w:sz w:val="20"/>
                <w:szCs w:val="20"/>
                <w:color w:val="auto"/>
              </w:rPr>
            </w:pPr>
          </w:p>
        </w:tc>
        <w:tc>
          <w:tcPr>
            <w:tcW w:w="2420" w:type="dxa"/>
            <w:vAlign w:val="bottom"/>
          </w:tcPr>
          <w:p>
            <w:pPr>
              <w:jc w:val="right"/>
              <w:ind w:right="830"/>
              <w:spacing w:after="0"/>
              <w:rPr>
                <w:sz w:val="20"/>
                <w:szCs w:val="20"/>
                <w:color w:val="auto"/>
              </w:rPr>
            </w:pPr>
            <w:r>
              <w:rPr>
                <w:rFonts w:ascii="Arial" w:cs="Arial" w:eastAsia="Arial" w:hAnsi="Arial"/>
                <w:sz w:val="18"/>
                <w:szCs w:val="18"/>
                <w:color w:val="auto"/>
              </w:rPr>
              <w:t>2,411,344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Proposal 2 - To approve, on an advisory basis, the compensation of the named executive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Abstain</w:t>
            </w:r>
          </w:p>
        </w:tc>
        <w:tc>
          <w:tcPr>
            <w:tcW w:w="29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r>
      <w:tr>
        <w:trPr>
          <w:trHeight w:val="243"/>
        </w:trPr>
        <w:tc>
          <w:tcPr>
            <w:tcW w:w="19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7,175,141</w:t>
            </w:r>
          </w:p>
        </w:tc>
        <w:tc>
          <w:tcPr>
            <w:tcW w:w="34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3,048,300</w:t>
            </w:r>
          </w:p>
        </w:tc>
        <w:tc>
          <w:tcPr>
            <w:tcW w:w="44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11,829</w:t>
            </w:r>
          </w:p>
        </w:tc>
        <w:tc>
          <w:tcPr>
            <w:tcW w:w="29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2,411,344</w:t>
            </w:r>
          </w:p>
        </w:tc>
      </w:tr>
    </w:tbl>
    <w:p>
      <w:pPr>
        <w:spacing w:after="0" w:line="310"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Proposal 3 - To ratify the appointment of Ernst &amp; Young LLP as Civeo’s independent registered public accounting firm for the year ending December 31, 2021 and until the next annual general meeting of shareholders and to authorize the directors of Civeo, acting through the Audit Committee, to determine the remuneration to be paid to Ernst &amp; Young LLP for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Withheld</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Broker Non-Votes</w:t>
            </w:r>
          </w:p>
        </w:tc>
      </w:tr>
      <w:tr>
        <w:trPr>
          <w:trHeight w:val="243"/>
        </w:trPr>
        <w:tc>
          <w:tcPr>
            <w:tcW w:w="19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12,624,413</w:t>
            </w:r>
          </w:p>
        </w:tc>
        <w:tc>
          <w:tcPr>
            <w:tcW w:w="24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22,201</w:t>
            </w:r>
          </w:p>
        </w:tc>
        <w:tc>
          <w:tcPr>
            <w:tcW w:w="340" w:type="dxa"/>
            <w:vAlign w:val="bottom"/>
            <w:tcBorders>
              <w:top w:val="single" w:sz="8" w:color="CCEEFF"/>
            </w:tcBorders>
            <w:shd w:val="clear" w:color="auto" w:fill="CCEEFF"/>
          </w:tcPr>
          <w:p>
            <w:pPr>
              <w:spacing w:after="0"/>
              <w:rPr>
                <w:sz w:val="21"/>
                <w:szCs w:val="21"/>
                <w:color w:val="auto"/>
              </w:rPr>
            </w:pPr>
          </w:p>
        </w:tc>
        <w:tc>
          <w:tcPr>
            <w:tcW w:w="21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5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Proposal 4 - To approve the frequency with which the Company conducts a vote, on an advisory basis, to approve the compensation of named executive officers, commonly referred to as a “Say-When-On-Pay" Proposal: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One Year</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Two Years</w:t>
            </w: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Three Years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43"/>
        </w:trPr>
        <w:tc>
          <w:tcPr>
            <w:tcW w:w="25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9,979,955</w:t>
            </w:r>
          </w:p>
        </w:tc>
        <w:tc>
          <w:tcPr>
            <w:tcW w:w="160" w:type="dxa"/>
            <w:vAlign w:val="bottom"/>
            <w:tcBorders>
              <w:top w:val="single" w:sz="8" w:color="CCEEFF"/>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9,430</w:t>
            </w:r>
          </w:p>
        </w:tc>
        <w:tc>
          <w:tcPr>
            <w:tcW w:w="20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237,499</w:t>
            </w:r>
          </w:p>
        </w:tc>
        <w:tc>
          <w:tcPr>
            <w:tcW w:w="182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8,386</w:t>
            </w:r>
          </w:p>
        </w:tc>
        <w:tc>
          <w:tcPr>
            <w:tcW w:w="250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2,411,344</w:t>
            </w:r>
          </w:p>
        </w:tc>
      </w:tr>
    </w:tbl>
    <w:p>
      <w:pPr>
        <w:spacing w:after="0" w:line="310"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Based upon these results, and consistent with the Company's board of directors' previous recommendation, the Company will hold a vote, on an advisory basis, to approve the compensation of the Company's named executive officers every year until the next required "Say-When-On-Pay"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2021</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By: /s/ Carolyn J. Stone </w:t>
      </w: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-10160</wp:posOffset>
            </wp:positionV>
            <wp:extent cx="951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Name:</w:t>
        <w:tab/>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tab/>
        <w:t>Senior Vice President, Chief Financial Officer and Treasurer</w:t>
      </w:r>
    </w:p>
    <w:sectPr>
      <w:pgSz w:w="11900" w:h="16838" w:orient="portrait"/>
      <w:cols w:equalWidth="0" w:num="1">
        <w:col w:w="11240"/>
      </w:cols>
      <w:pgMar w:left="320" w:top="13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2021-05-20T16:15:53Z</dcterms:created>
  <dcterms:modified xsi:type="dcterms:W3CDTF">2021-05-20T16:15:53Z</dcterms:modified>
</cp:coreProperties>
</file>