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October 28, 2022</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firstLine="301"/>
        <w:spacing w:after="0" w:line="263" w:lineRule="auto"/>
        <w:rPr>
          <w:sz w:val="20"/>
          <w:szCs w:val="20"/>
          <w:color w:val="auto"/>
        </w:rPr>
      </w:pPr>
      <w:r>
        <w:rPr>
          <w:rFonts w:ascii="Times New Roman" w:cs="Times New Roman" w:eastAsia="Times New Roman" w:hAnsi="Times New Roman"/>
          <w:sz w:val="22"/>
          <w:szCs w:val="22"/>
          <w:color w:val="auto"/>
        </w:rPr>
        <w:t>On October 28, 2022, Civeo Corporation (“Civeo”) issued a press release announcing its financial condition and results of operations as of and for the quarter ended September 30, 2022. A copy of the press release is furnished as Exhibit 99.1 to this report on Form 8-K, and is incorporated herein by reference.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700" w:hanging="47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620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020" w:type="dxa"/>
            <w:vAlign w:val="bottom"/>
          </w:tcPr>
          <w:p>
            <w:pPr>
              <w:spacing w:after="0"/>
              <w:rPr>
                <w:sz w:val="24"/>
                <w:szCs w:val="24"/>
                <w:color w:val="auto"/>
              </w:rPr>
            </w:pPr>
          </w:p>
        </w:tc>
        <w:tc>
          <w:tcPr>
            <w:tcW w:w="3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8"/>
              </w:rPr>
              <w:t>Press Release dated October 28, 2022</w:t>
            </w:r>
          </w:p>
        </w:tc>
        <w:tc>
          <w:tcPr>
            <w:tcW w:w="6200" w:type="dxa"/>
            <w:vAlign w:val="bottom"/>
          </w:tcPr>
          <w:p>
            <w:pPr>
              <w:spacing w:after="0"/>
              <w:rPr>
                <w:sz w:val="24"/>
                <w:szCs w:val="24"/>
                <w:color w:val="auto"/>
              </w:rPr>
            </w:pPr>
          </w:p>
        </w:tc>
      </w:tr>
      <w:tr>
        <w:trPr>
          <w:trHeight w:val="4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(formatted as Inline XBRL and contained in Exhibit 101)</w:t>
            </w:r>
          </w:p>
        </w:tc>
      </w:tr>
      <w:tr>
        <w:trPr>
          <w:trHeight w:val="1385"/>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b w:val="1"/>
          <w:bCs w:val="1"/>
          <w:color w:val="auto"/>
        </w:rPr>
        <w:t>October 28, 2022</w:t>
      </w:r>
    </w:p>
    <w:p>
      <w:pPr>
        <w:spacing w:after="0" w:line="26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Carolyn J. Stone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143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Carolyn J. Stone</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p>
      <w:pPr>
        <w:sectPr>
          <w:pgSz w:w="11900" w:h="16838" w:orient="portrait"/>
          <w:cols w:equalWidth="0" w:num="1">
            <w:col w:w="11220"/>
          </w:cols>
          <w:pgMar w:left="320" w:top="1296"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Civeo Reports Third Quarter 2022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Third Quarter Highlights include:</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third quarter revenues of $184.2 million, net income of $5.2 million and operating cash flow of $38.7 million;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net leverage ratio to 0.9x as of September 30, 2022 from 1.2x as of June 30, 2022;</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third quarter Adjusted EBITDA of $35.0 million and free cash flow of $38.6 million; and</w:t>
      </w:r>
    </w:p>
    <w:p>
      <w:pPr>
        <w:ind w:left="660" w:right="6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earlier this quarter that its Board of Directors had renewed its share repurchase authorization for the Company to repurchase up to 5% of its total common shares outstanding over the next twelve months.</w:t>
      </w:r>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HOUSTON and CALGARY, October 28, 2022 (BUSINESS WIRE) -- Civeo Corporation (NYSE:CVEO) today reported financial and operating results for the third quarter ended September 30, 2022.</w:t>
      </w:r>
    </w:p>
    <w:p>
      <w:pPr>
        <w:spacing w:after="0" w:line="72"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“In the third quarter of 2022, our focus remained on our strategic objectives of operating safely, generating free cash flow, maintaining our strong balance sheet and returning capital to shareholders through our buyback program. We continued to experience a recovery in Canadian lodge billed rooms as our customers increase activity in the oil sands region. We also experienced strong Canadian mobile camp</w:t>
      </w:r>
    </w:p>
    <w:p>
      <w:pPr>
        <w:spacing w:after="0" w:line="2"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results supporting pipeline construction activity. We now expect our mobile camps to remain active into 2023, moving their demobilization costs out of 2022 Adjusted EBITDA guidance, " stated Bradley J. Dodson, Civeo's President and Chief Executive Officer.</w:t>
      </w:r>
    </w:p>
    <w:p>
      <w:pPr>
        <w:spacing w:after="0" w:line="19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Mr. Dodson concluded, "We are also proud to report that we achieved the significant milestone of reducing our net leverage ratio below 1.0x. This achievement would not be possible without the efforts of the entire Civeo team over the last few years. Our continued debt reduction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provides us the flexibility to both weather the current market volatility and further evaluate other capital allocation opportunities."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2022 Results</w:t>
      </w:r>
    </w:p>
    <w:p>
      <w:pPr>
        <w:spacing w:after="0" w:line="15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the third quarter of 2022, Civeo generated revenues of $ 184.2 million and reported net income of $5.2 million, or $0.32 per diluted share. During the third quarter of 2022, Civeo produced operating cash flow of $38.7 million, Adjusted EBITDA of $35.0 million and free cash flow of $38.6 million.</w:t>
      </w:r>
    </w:p>
    <w:p>
      <w:pPr>
        <w:spacing w:after="0" w:line="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By comparison, in the third quarter of 2021, Civeo generated revenues of $155.1 million and reported net income of $0.1 million, or $0.00 per diluted share. During the third quarter of 2021, Civeo produced operating cash flow of $33.9 million, Adjusted EBITDA of $26.2 million and free cash flow of $31.0 million.</w:t>
      </w:r>
    </w:p>
    <w:p>
      <w:pPr>
        <w:spacing w:after="0" w:line="8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Overall, the increase in revenues and Adjusted EBITDA in the third quarter of 2022 compared to the third quarter of 2021 was primarily driven by improved occupancy in the Canadian lodges and Australian villages as well as increased Canadian mobile camp activity, partially offset by the weaker Canadian and Australian dollars relative to the U.S. dollar.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0"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(Unless otherwise noted, the following discussion compares the quarterly results for the third quarter of 2022 to the results for the third quarter of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4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During the third quarter of 2022, the Canadian segment generated revenues of $103.0 million, operating income of $7.8 million and Adjusted EBITDA of $25.6 million, compared to revenues of $84.1 million, operating income of $6.1 million and Adjusted EBITDA of $19.8 million in the third quarter of 2021. Results from the third quarter of 2022 reflect the impact of a weakened Canadian dollar relative to the U.S. dollar, which decreased revenues and Adjusted EBITDA by $3.7 million and $0.9 million, respectively.</w:t>
      </w:r>
    </w:p>
    <w:p>
      <w:pPr>
        <w:spacing w:after="0" w:line="214"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On a constant currency basis, the Canadian segment experienced a 27% period-over-period increase in revenues largely due to increased mobile camp activity and a 19% year-over-year increase in billed rooms, driven by increased customer activity as a result of the recovery of oil prices. Adjusted EBITDA for the Canadian segment increased 29% year-over-year primarily due to the aforementioned dynamics.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ectPr>
          <w:pgSz w:w="11900" w:h="16838" w:orient="portrait"/>
          <w:cols w:equalWidth="0" w:num="1">
            <w:col w:w="11220"/>
          </w:cols>
          <w:pgMar w:left="320" w:top="889" w:right="359" w:bottom="1440" w:gutter="0" w:footer="0" w:header="0"/>
        </w:sectPr>
      </w:pPr>
    </w:p>
    <w:bookmarkStart w:id="5" w:name="page6"/>
    <w:bookmarkEnd w:id="5"/>
    <w:p>
      <w:pPr>
        <w:ind w:right="100"/>
        <w:spacing w:after="0" w:line="262" w:lineRule="auto"/>
        <w:rPr>
          <w:sz w:val="20"/>
          <w:szCs w:val="20"/>
          <w:color w:val="auto"/>
        </w:rPr>
      </w:pPr>
      <w:r>
        <w:rPr>
          <w:rFonts w:ascii="Arial" w:cs="Arial" w:eastAsia="Arial" w:hAnsi="Arial"/>
          <w:sz w:val="18"/>
          <w:szCs w:val="18"/>
          <w:color w:val="auto"/>
        </w:rPr>
        <w:t>During the third quarter of 2022, the Australian segment generated revenues of $73.8 million, operating income of $5.9 million and Adjusted EBITDA of $16.9 million, compared to revenues of $65.1 million, operating income of $4.4 million and Adjusted EBITDA of $ 14.8 million in the third quarter of 2021. Results from the third quarter of 2022 reflect the impact of a weakened Australian dollar relative to the U.S. dollar, which decreased revenues and Adjusted EBITDA by $5.5 million and $1.3 million, respectively.</w:t>
      </w:r>
    </w:p>
    <w:p>
      <w:pPr>
        <w:spacing w:after="0" w:line="19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a constant currency basis, the Australian segment experienced a 22% period-over-period increase in revenues, and a 14% year-over-year increase in Adjusted EBITDA. These improvements were driven by higher integrated services activity in Western Australia as well as a 7% year-over-year growth in billed rooms due to increased customer maintenance activity in the Bowen Basin.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w:t>
      </w:r>
    </w:p>
    <w:p>
      <w:pPr>
        <w:spacing w:after="0" w:line="13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U.S. segment generated revenues of $7.4 million, an operating loss of $1.7 million and negative Adjusted EBITDA of less than $0.0 million in the third quarter of 2022, compared to revenues of $5.9 million, an operating loss of $2.1 million and negative Adjusted EBITDA of $0.5 million in the third quarter of 2021. Revenues and Adjusted EBITDA increased year-over-year primarily due to the increased activity in our wellsite services and offshore businesses, partially offset by the sale of the West Permian lodge in the fourth quarter of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5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As of September 30, 2022, Civeo had total liquidity of approximately $117.3 million, consisting of $108.9 million available under its revolving credit facilities and $8.4 million of cash on hand.</w:t>
      </w:r>
    </w:p>
    <w:p>
      <w:pPr>
        <w:spacing w:after="0" w:line="72"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Civeo’s total debt outstanding on September 30, 2022 was $126.2 million, a $28.4 million decrease since June 30, 2022. The decrease consisted of $19.5 million in debt payments from cash flow generated by the business and favorable foreign currency translation of $8.9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Civeo reduced its net leverage ratio to 0.9x as of September 30, 2022 from 1.2x as of June 30, 2022.</w:t>
      </w:r>
    </w:p>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During the third quarter of 2022, Civeo invested $8.8 million in capital expenditures compared to $3.4 million invested during the third quarter of 2021. Capital expenditures in both periods were predominantly related to maintenance spending on the Company’s lodges and villages.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2022 Guidance</w:t>
      </w:r>
    </w:p>
    <w:p>
      <w:pPr>
        <w:spacing w:after="0" w:line="13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For the full year of 2022, Civeo is increasing its previously provided revenue and Adjusted EBITDA guidance range to $675 million to $685 million and $110 million to $115 million, respectively. The Company is maintaining its full year 2022 capital expenditure guidance of $24 million to $29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Civeo will host a conference call to discuss its third quarter 2022 financial results today at 11:00 a.m. Eastern time. This call is being webcast and can be accessed at Civeo's website at www.civeo.com. Participants may also join the conference call by dialing (877) 423-9813 in the United States or (201) 689-8573 internationally and using the conference ID 13733925#. A replay will be available after the call by dialing</w:t>
      </w:r>
    </w:p>
    <w:p>
      <w:pPr>
        <w:spacing w:after="0" w:line="1" w:lineRule="exact"/>
        <w:rPr>
          <w:sz w:val="20"/>
          <w:szCs w:val="20"/>
          <w:color w:val="auto"/>
        </w:rPr>
      </w:pPr>
    </w:p>
    <w:p>
      <w:pPr>
        <w:ind w:right="2380" w:firstLine="8"/>
        <w:spacing w:after="0" w:line="404"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512-2921 in the United States or (412) 317-6671 internationally and using the conference ID 13733925#. </w:t>
      </w:r>
      <w:r>
        <w:rPr>
          <w:rFonts w:ascii="Arial" w:cs="Arial" w:eastAsia="Arial" w:hAnsi="Arial"/>
          <w:sz w:val="18"/>
          <w:szCs w:val="18"/>
          <w:u w:val="single" w:color="auto"/>
          <w:color w:val="auto"/>
        </w:rPr>
        <w:t>About Civeo</w:t>
      </w:r>
    </w:p>
    <w:p>
      <w:pPr>
        <w:spacing w:after="0" w:line="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27 lodges and villages in Canada, Australia and the U.S., with an aggregate of over 28,000 rooms. Civeo is publicly traded under the symbol CVEO on the New York Stock Exchange. For more information, please visit Civeo's website at www.civeo.com.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4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future plans and outlook, including guidance, current trends and liquidity needs, and</w:t>
      </w:r>
    </w:p>
    <w:p>
      <w:pPr>
        <w:sectPr>
          <w:pgSz w:w="11900" w:h="16838" w:orient="portrait"/>
          <w:cols w:equalWidth="0" w:num="1">
            <w:col w:w="11200"/>
          </w:cols>
          <w:pgMar w:left="320" w:top="890" w:right="379" w:bottom="1440" w:gutter="0" w:footer="0" w:header="0"/>
        </w:sectPr>
      </w:pPr>
    </w:p>
    <w:bookmarkStart w:id="6" w:name="page7"/>
    <w:bookmarkEnd w:id="6"/>
    <w:p>
      <w:pPr>
        <w:ind w:right="20"/>
        <w:spacing w:after="0" w:line="242" w:lineRule="auto"/>
        <w:rPr>
          <w:sz w:val="20"/>
          <w:szCs w:val="20"/>
          <w:color w:val="auto"/>
        </w:rPr>
      </w:pPr>
      <w:r>
        <w:rPr>
          <w:rFonts w:ascii="Arial" w:cs="Arial" w:eastAsia="Arial" w:hAnsi="Arial"/>
          <w:sz w:val="18"/>
          <w:szCs w:val="18"/>
          <w:color w:val="auto"/>
        </w:rPr>
        <w:t>ability to pay down debt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global health concerns and pandemics, including the COVID-19 pandemic, any increases in or severity of COVID-19 cases (including due to existing or new variants) and the risk that room occupancy may decline if our customers are limited or restricted in the availability of personnel who may become ill or be subjected to quarantine,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inflation, global weather conditions, natural disasters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EBITDA is a non-GAAP financial measure that is defined as net income (loss) plus interest, taxes, depreciation and amortization, and Adjusted EBITDA is defined as EBITDA adjusted to exclude certain other unusual or non-operating items. Free cash flow is a non-GAAP financial measure that is defined as net cash flows provided by operating activities less capital expenditures plus proceeds from asset sales.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See “Non-GAAP Reconciliation” below for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240"/>
          </w:cols>
          <w:pgMar w:left="320" w:top="890"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21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September 30,</w:t>
            </w:r>
          </w:p>
        </w:tc>
      </w:tr>
      <w:tr>
        <w:trPr>
          <w:trHeight w:val="262"/>
        </w:trPr>
        <w:tc>
          <w:tcPr>
            <w:tcW w:w="4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r>
      <w:tr>
        <w:trPr>
          <w:trHeight w:val="499"/>
        </w:trPr>
        <w:tc>
          <w:tcPr>
            <w:tcW w:w="4260" w:type="dxa"/>
            <w:vAlign w:val="bottom"/>
          </w:tcPr>
          <w:p>
            <w:pPr>
              <w:spacing w:after="0"/>
              <w:rPr>
                <w:sz w:val="20"/>
                <w:szCs w:val="20"/>
                <w:color w:val="auto"/>
              </w:rPr>
            </w:pPr>
            <w:r>
              <w:rPr>
                <w:rFonts w:ascii="Arial" w:cs="Arial" w:eastAsia="Arial" w:hAnsi="Arial"/>
                <w:sz w:val="14"/>
                <w:szCs w:val="14"/>
                <w:color w:val="auto"/>
              </w:rPr>
              <w:t>Revenues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184,227</w:t>
            </w:r>
          </w:p>
        </w:tc>
        <w:tc>
          <w:tcPr>
            <w:tcW w:w="2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155,063</w:t>
            </w:r>
          </w:p>
        </w:tc>
        <w:tc>
          <w:tcPr>
            <w:tcW w:w="2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534,859</w:t>
            </w:r>
          </w:p>
        </w:tc>
        <w:tc>
          <w:tcPr>
            <w:tcW w:w="2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434,669</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Costs and expenses: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133,496</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111,430</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389,392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319,242</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17,677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17,320</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50,572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46,204</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22,608</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20,282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65,818</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62,928</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30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7,935</w:t>
            </w:r>
          </w:p>
        </w:tc>
      </w:tr>
      <w:tr>
        <w:trPr>
          <w:trHeight w:val="261"/>
        </w:trPr>
        <w:tc>
          <w:tcPr>
            <w:tcW w:w="4260" w:type="dxa"/>
            <w:vAlign w:val="bottom"/>
          </w:tcPr>
          <w:p>
            <w:pPr>
              <w:ind w:left="120"/>
              <w:spacing w:after="0"/>
              <w:rPr>
                <w:sz w:val="20"/>
                <w:szCs w:val="20"/>
                <w:color w:val="auto"/>
              </w:rPr>
            </w:pPr>
            <w:r>
              <w:rPr>
                <w:rFonts w:ascii="Arial" w:cs="Arial" w:eastAsia="Arial" w:hAnsi="Arial"/>
                <w:sz w:val="14"/>
                <w:szCs w:val="14"/>
                <w:color w:val="auto"/>
              </w:rPr>
              <w:t>Other operating (income) expense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w:t>
            </w:r>
          </w:p>
        </w:tc>
      </w:tr>
      <w:tr>
        <w:trPr>
          <w:trHeight w:val="236"/>
        </w:trPr>
        <w:tc>
          <w:tcPr>
            <w:tcW w:w="4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173,442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149,053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505,595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436,431</w:t>
            </w:r>
          </w:p>
        </w:tc>
      </w:tr>
      <w:tr>
        <w:trPr>
          <w:trHeight w:val="233"/>
        </w:trPr>
        <w:tc>
          <w:tcPr>
            <w:tcW w:w="4260" w:type="dxa"/>
            <w:vAlign w:val="bottom"/>
          </w:tcPr>
          <w:p>
            <w:pPr>
              <w:spacing w:after="0"/>
              <w:rPr>
                <w:sz w:val="20"/>
                <w:szCs w:val="20"/>
                <w:color w:val="auto"/>
              </w:rPr>
            </w:pPr>
            <w:r>
              <w:rPr>
                <w:rFonts w:ascii="Arial" w:cs="Arial" w:eastAsia="Arial" w:hAnsi="Arial"/>
                <w:sz w:val="14"/>
                <w:szCs w:val="14"/>
                <w:color w:val="auto"/>
              </w:rPr>
              <w:t>Operating income (loss)</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10,785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6,010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29,264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(1,762)</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(3,166)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(8,077)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(9,929)</w:t>
            </w:r>
          </w:p>
        </w:tc>
      </w:tr>
      <w:tr>
        <w:trPr>
          <w:trHeight w:val="257"/>
        </w:trPr>
        <w:tc>
          <w:tcPr>
            <w:tcW w:w="426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30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(416)</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(416)</w:t>
            </w:r>
          </w:p>
        </w:tc>
      </w:tr>
      <w:tr>
        <w:trPr>
          <w:trHeight w:val="257"/>
        </w:trPr>
        <w:tc>
          <w:tcPr>
            <w:tcW w:w="4260" w:type="dxa"/>
            <w:vAlign w:val="bottom"/>
          </w:tcPr>
          <w:p>
            <w:pPr>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260"/>
        </w:trPr>
        <w:tc>
          <w:tcPr>
            <w:tcW w:w="4260" w:type="dxa"/>
            <w:vAlign w:val="bottom"/>
          </w:tcPr>
          <w:p>
            <w:pPr>
              <w:spacing w:after="0"/>
              <w:rPr>
                <w:sz w:val="20"/>
                <w:szCs w:val="20"/>
                <w:color w:val="auto"/>
              </w:rPr>
            </w:pPr>
            <w:r>
              <w:rPr>
                <w:rFonts w:ascii="Arial" w:cs="Arial" w:eastAsia="Arial" w:hAnsi="Arial"/>
                <w:sz w:val="14"/>
                <w:szCs w:val="14"/>
                <w:color w:val="auto"/>
              </w:rPr>
              <w:t>Other income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2,179</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364</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4,290</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6,066</w:t>
            </w:r>
          </w:p>
        </w:tc>
      </w:tr>
      <w:tr>
        <w:trPr>
          <w:trHeight w:val="233"/>
        </w:trPr>
        <w:tc>
          <w:tcPr>
            <w:tcW w:w="426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9,976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2,792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25,492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(6,039)</w:t>
            </w:r>
          </w:p>
        </w:tc>
      </w:tr>
      <w:tr>
        <w:trPr>
          <w:trHeight w:val="261"/>
        </w:trPr>
        <w:tc>
          <w:tcPr>
            <w:tcW w:w="4260" w:type="dxa"/>
            <w:vAlign w:val="bottom"/>
          </w:tcPr>
          <w:p>
            <w:pPr>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(3,713)</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(7,091)</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(2,354)</w:t>
            </w:r>
          </w:p>
        </w:tc>
      </w:tr>
      <w:tr>
        <w:trPr>
          <w:trHeight w:val="232"/>
        </w:trPr>
        <w:tc>
          <w:tcPr>
            <w:tcW w:w="4260" w:type="dxa"/>
            <w:vAlign w:val="bottom"/>
          </w:tcPr>
          <w:p>
            <w:pPr>
              <w:spacing w:after="0"/>
              <w:rPr>
                <w:sz w:val="20"/>
                <w:szCs w:val="20"/>
                <w:color w:val="auto"/>
              </w:rPr>
            </w:pPr>
            <w:r>
              <w:rPr>
                <w:rFonts w:ascii="Arial" w:cs="Arial" w:eastAsia="Arial" w:hAnsi="Arial"/>
                <w:sz w:val="14"/>
                <w:szCs w:val="14"/>
                <w:color w:val="auto"/>
              </w:rPr>
              <w:t>Net income (loss)</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6,263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1,022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18,401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(8,393)</w:t>
            </w:r>
          </w:p>
        </w:tc>
      </w:tr>
      <w:tr>
        <w:trPr>
          <w:trHeight w:val="260"/>
        </w:trPr>
        <w:tc>
          <w:tcPr>
            <w:tcW w:w="4260" w:type="dxa"/>
            <w:vAlign w:val="bottom"/>
          </w:tcPr>
          <w:p>
            <w:pPr>
              <w:ind w:left="120"/>
              <w:spacing w:after="0"/>
              <w:rPr>
                <w:sz w:val="20"/>
                <w:szCs w:val="20"/>
                <w:color w:val="auto"/>
              </w:rPr>
            </w:pPr>
            <w:r>
              <w:rPr>
                <w:rFonts w:ascii="Arial" w:cs="Arial" w:eastAsia="Arial" w:hAnsi="Arial"/>
                <w:sz w:val="14"/>
                <w:szCs w:val="14"/>
                <w:color w:val="auto"/>
              </w:rPr>
              <w:t>Less: Net income attributable to noncontrolling interest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546</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1,706</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534</w:t>
            </w:r>
          </w:p>
        </w:tc>
      </w:tr>
      <w:tr>
        <w:trPr>
          <w:trHeight w:val="233"/>
        </w:trPr>
        <w:tc>
          <w:tcPr>
            <w:tcW w:w="426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5,717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544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16,695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(8,927)</w:t>
            </w:r>
          </w:p>
        </w:tc>
      </w:tr>
      <w:tr>
        <w:trPr>
          <w:trHeight w:val="261"/>
        </w:trPr>
        <w:tc>
          <w:tcPr>
            <w:tcW w:w="4260" w:type="dxa"/>
            <w:vAlign w:val="bottom"/>
          </w:tcPr>
          <w:p>
            <w:pPr>
              <w:ind w:left="120"/>
              <w:spacing w:after="0"/>
              <w:rPr>
                <w:sz w:val="20"/>
                <w:szCs w:val="20"/>
                <w:color w:val="auto"/>
              </w:rPr>
            </w:pPr>
            <w:r>
              <w:rPr>
                <w:rFonts w:ascii="Arial" w:cs="Arial" w:eastAsia="Arial" w:hAnsi="Arial"/>
                <w:sz w:val="14"/>
                <w:szCs w:val="14"/>
                <w:color w:val="auto"/>
              </w:rPr>
              <w:t>Less: Dividends attributable to Class A preferred shares</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492</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482</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1,469</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1,440</w:t>
            </w:r>
          </w:p>
        </w:tc>
      </w:tr>
      <w:tr>
        <w:trPr>
          <w:trHeight w:val="213"/>
        </w:trPr>
        <w:tc>
          <w:tcPr>
            <w:tcW w:w="4260" w:type="dxa"/>
            <w:vAlign w:val="bottom"/>
          </w:tcPr>
          <w:p>
            <w:pPr>
              <w:spacing w:after="0"/>
              <w:rPr>
                <w:sz w:val="20"/>
                <w:szCs w:val="20"/>
                <w:color w:val="auto"/>
              </w:rPr>
            </w:pPr>
            <w:r>
              <w:rPr>
                <w:rFonts w:ascii="Arial" w:cs="Arial" w:eastAsia="Arial" w:hAnsi="Arial"/>
                <w:sz w:val="14"/>
                <w:szCs w:val="14"/>
                <w:color w:val="auto"/>
              </w:rPr>
              <w:t>Net income (loss) attributable to Civeo common shareholders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5,225</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15,226</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(10,367)</w:t>
            </w:r>
          </w:p>
        </w:tc>
      </w:tr>
      <w:tr>
        <w:trPr>
          <w:trHeight w:val="21"/>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71"/>
        </w:trPr>
        <w:tc>
          <w:tcPr>
            <w:tcW w:w="4560" w:type="dxa"/>
            <w:vAlign w:val="bottom"/>
            <w:gridSpan w:val="2"/>
          </w:tcPr>
          <w:p>
            <w:pPr>
              <w:spacing w:after="0"/>
              <w:rPr>
                <w:sz w:val="20"/>
                <w:szCs w:val="20"/>
                <w:color w:val="auto"/>
              </w:rPr>
            </w:pPr>
            <w:r>
              <w:rPr>
                <w:rFonts w:ascii="Arial" w:cs="Arial" w:eastAsia="Arial" w:hAnsi="Arial"/>
                <w:sz w:val="14"/>
                <w:szCs w:val="14"/>
                <w:color w:val="auto"/>
              </w:rPr>
              <w:t>Net income (loss) per share attributable to Civeo Corporation common</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4260" w:type="dxa"/>
            <w:vAlign w:val="bottom"/>
          </w:tcPr>
          <w:p>
            <w:pPr>
              <w:spacing w:after="0"/>
              <w:rPr>
                <w:sz w:val="20"/>
                <w:szCs w:val="20"/>
                <w:color w:val="auto"/>
              </w:rPr>
            </w:pPr>
            <w:r>
              <w:rPr>
                <w:rFonts w:ascii="Arial" w:cs="Arial" w:eastAsia="Arial" w:hAnsi="Arial"/>
                <w:sz w:val="14"/>
                <w:szCs w:val="14"/>
                <w:color w:val="auto"/>
              </w:rPr>
              <w:t>shareholders: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7"/>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0.32</w:t>
            </w:r>
          </w:p>
        </w:tc>
        <w:tc>
          <w:tcPr>
            <w:tcW w:w="2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0.92</w:t>
            </w:r>
          </w:p>
        </w:tc>
        <w:tc>
          <w:tcPr>
            <w:tcW w:w="2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(0.73)</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0.32</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0.91</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(0.73)</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13,932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14,277</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14,058</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14,255</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14,064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14,361</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14,220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14,255</w:t>
            </w:r>
          </w:p>
        </w:tc>
      </w:tr>
    </w:tbl>
    <w:p>
      <w:pPr>
        <w:sectPr>
          <w:pgSz w:w="11900" w:h="16838" w:orient="portrait"/>
          <w:cols w:equalWidth="0" w:num="1">
            <w:col w:w="9180"/>
          </w:cols>
          <w:pgMar w:left="1360" w:top="890" w:right="1359" w:bottom="1440" w:gutter="0" w:footer="0" w:header="0"/>
        </w:sectPr>
      </w:pPr>
    </w:p>
    <w:bookmarkStart w:id="8" w:name="page9"/>
    <w:bookmarkEnd w:id="8"/>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189"/>
        </w:trPr>
        <w:tc>
          <w:tcPr>
            <w:tcW w:w="5460" w:type="dxa"/>
            <w:vAlign w:val="bottom"/>
            <w:gridSpan w:val="4"/>
          </w:tcPr>
          <w:p>
            <w:pPr>
              <w:jc w:val="center"/>
              <w:ind w:left="1419"/>
              <w:spacing w:after="0"/>
              <w:rPr>
                <w:sz w:val="20"/>
                <w:szCs w:val="20"/>
                <w:color w:val="auto"/>
              </w:rPr>
            </w:pPr>
            <w:r>
              <w:rPr>
                <w:rFonts w:ascii="Arial" w:cs="Arial" w:eastAsia="Arial" w:hAnsi="Arial"/>
                <w:sz w:val="16"/>
                <w:szCs w:val="16"/>
                <w:b w:val="1"/>
                <w:bCs w:val="1"/>
                <w:color w:val="auto"/>
              </w:rPr>
              <w:t>CIVEO CORPORATION</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60" w:type="dxa"/>
            <w:vAlign w:val="bottom"/>
            <w:gridSpan w:val="4"/>
          </w:tcPr>
          <w:p>
            <w:pPr>
              <w:jc w:val="center"/>
              <w:ind w:left="1439"/>
              <w:spacing w:after="0"/>
              <w:rPr>
                <w:sz w:val="20"/>
                <w:szCs w:val="20"/>
                <w:color w:val="auto"/>
              </w:rPr>
            </w:pPr>
            <w:r>
              <w:rPr>
                <w:rFonts w:ascii="Arial" w:cs="Arial" w:eastAsia="Arial" w:hAnsi="Arial"/>
                <w:sz w:val="16"/>
                <w:szCs w:val="16"/>
                <w:b w:val="1"/>
                <w:bCs w:val="1"/>
                <w:color w:val="auto"/>
              </w:rPr>
              <w:t>CONDENSED CONSOLIDATED BALANCE SHEETS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60" w:type="dxa"/>
            <w:vAlign w:val="bottom"/>
            <w:gridSpan w:val="4"/>
          </w:tcPr>
          <w:p>
            <w:pPr>
              <w:jc w:val="center"/>
              <w:ind w:left="141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60"/>
              <w:spacing w:after="0" w:line="170" w:lineRule="exact"/>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8,361</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6,282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122,280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114,859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6,984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6,468</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13,759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11,762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13,337</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17,822</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164,721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157,193</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309,752</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389,996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7,322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8,204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81,997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93,642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14,267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18,327</w:t>
            </w:r>
          </w:p>
        </w:tc>
        <w:tc>
          <w:tcPr>
            <w:tcW w:w="0" w:type="dxa"/>
            <w:vAlign w:val="bottom"/>
          </w:tcPr>
          <w:p>
            <w:pPr>
              <w:spacing w:after="0"/>
              <w:rPr>
                <w:sz w:val="1"/>
                <w:szCs w:val="1"/>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5,270</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5,372</w:t>
            </w:r>
          </w:p>
        </w:tc>
        <w:tc>
          <w:tcPr>
            <w:tcW w:w="0" w:type="dxa"/>
            <w:vAlign w:val="bottom"/>
          </w:tcPr>
          <w:p>
            <w:pPr>
              <w:spacing w:after="0"/>
              <w:rPr>
                <w:sz w:val="1"/>
                <w:szCs w:val="1"/>
                <w:color w:val="auto"/>
              </w:rPr>
            </w:pPr>
          </w:p>
        </w:tc>
      </w:tr>
      <w:tr>
        <w:trPr>
          <w:trHeight w:val="211"/>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583,329</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672,734</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46,225</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49,321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32,432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33,564</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27,964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30,576</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2,092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18,479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8,900</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4,807</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117,724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136,918</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96,727</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142,602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7,344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11,669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15,429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13,668</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13,778</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247,132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309,623</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Preferred shares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63,410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61,941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1,585,303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1,582,442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(911,934)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(912,951)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(9,063)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(8,050)</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(394,408)</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(361,883)</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333,308</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361,499</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10"/>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336,197</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363,111</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583,329</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672,734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Nine Months Ended</w:t>
      </w:r>
    </w:p>
    <w:p>
      <w:pPr>
        <w:jc w:val="center"/>
        <w:ind w:left="5800"/>
        <w:spacing w:after="0"/>
        <w:rPr>
          <w:sz w:val="20"/>
          <w:szCs w:val="20"/>
          <w:color w:val="auto"/>
        </w:rPr>
      </w:pPr>
      <w:r>
        <w:rPr>
          <w:rFonts w:ascii="Arial" w:cs="Arial" w:eastAsia="Arial" w:hAnsi="Arial"/>
          <w:sz w:val="16"/>
          <w:szCs w:val="16"/>
          <w:b w:val="1"/>
          <w:bCs w:val="1"/>
          <w:color w:val="auto"/>
        </w:rPr>
        <w:t>September 30,</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491"/>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18,401</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(8,393)</w:t>
            </w:r>
          </w:p>
        </w:tc>
      </w:tr>
      <w:tr>
        <w:trPr>
          <w:trHeight w:val="205"/>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6"/>
                <w:szCs w:val="16"/>
                <w:color w:val="auto"/>
              </w:rPr>
              <w:t>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65,818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62,928</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4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7,935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expense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6,930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2,861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2,933</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Gains on disposals of assets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(4,069)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(2,305)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Provision (benefit) for credit losses, net of recoveries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2,397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2,436</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(19,138)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(21,516)</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3,515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9,836</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58"/>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assets and liabilities,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(12,701)</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6,843</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operating activities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62,372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63,241</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(17,466)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(9,645)</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dispositions of property, plant and equipment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11,975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7,545</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investing activities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(5,301)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(2,100)</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(23,059)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(117,595)</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(14,824)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62,474</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4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(4,407)</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(14,209)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(445)</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financing activities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(53,105)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(61,093)</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w:t>
            </w:r>
          </w:p>
        </w:tc>
      </w:tr>
      <w:tr>
        <w:trPr>
          <w:trHeight w:val="235"/>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2,079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(1,207)</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6,282</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6,155</w:t>
            </w:r>
          </w:p>
        </w:tc>
      </w:tr>
      <w:tr>
        <w:trPr>
          <w:trHeight w:val="22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8,361</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4,948</w:t>
            </w:r>
          </w:p>
        </w:tc>
      </w:tr>
      <w:tr>
        <w:trPr>
          <w:trHeight w:val="21"/>
        </w:trPr>
        <w:tc>
          <w:tcPr>
            <w:tcW w:w="5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5"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2021</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103,009</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84,057</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307,984</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229,223</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73,805</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65,118</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205,154</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188,774</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7,413</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5,888</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21,721</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16,672</w:t>
            </w:r>
          </w:p>
        </w:tc>
        <w:tc>
          <w:tcPr>
            <w:tcW w:w="0" w:type="dxa"/>
            <w:vAlign w:val="bottom"/>
          </w:tcPr>
          <w:p>
            <w:pPr>
              <w:spacing w:after="0"/>
              <w:rPr>
                <w:sz w:val="1"/>
                <w:szCs w:val="1"/>
                <w:color w:val="auto"/>
              </w:rPr>
            </w:pPr>
          </w:p>
        </w:tc>
      </w:tr>
      <w:tr>
        <w:trPr>
          <w:trHeight w:val="210"/>
        </w:trPr>
        <w:tc>
          <w:tcPr>
            <w:tcW w:w="336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184,227</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155,063</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534,859</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434,669</w:t>
            </w:r>
          </w:p>
        </w:tc>
        <w:tc>
          <w:tcPr>
            <w:tcW w:w="0" w:type="dxa"/>
            <w:vAlign w:val="bottom"/>
          </w:tcPr>
          <w:p>
            <w:pPr>
              <w:spacing w:after="0"/>
              <w:rPr>
                <w:sz w:val="1"/>
                <w:szCs w:val="1"/>
                <w:color w:val="auto"/>
              </w:rPr>
            </w:pPr>
          </w:p>
        </w:tc>
      </w:tr>
      <w:tr>
        <w:trPr>
          <w:trHeight w:val="21"/>
        </w:trPr>
        <w:tc>
          <w:tcPr>
            <w:tcW w:w="33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25,567</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19,801</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71,445</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53,201</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16,858</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14,835</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47,832</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35,157</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(544)</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(7,366)</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(7,914)</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(21,808)</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(20,192)</w:t>
            </w:r>
          </w:p>
        </w:tc>
        <w:tc>
          <w:tcPr>
            <w:tcW w:w="0" w:type="dxa"/>
            <w:vAlign w:val="bottom"/>
          </w:tcPr>
          <w:p>
            <w:pPr>
              <w:spacing w:after="0"/>
              <w:rPr>
                <w:sz w:val="1"/>
                <w:szCs w:val="1"/>
                <w:color w:val="auto"/>
              </w:rPr>
            </w:pPr>
          </w:p>
        </w:tc>
      </w:tr>
      <w:tr>
        <w:trPr>
          <w:trHeight w:val="211"/>
        </w:trPr>
        <w:tc>
          <w:tcPr>
            <w:tcW w:w="336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35,026</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26,178</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97,666</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66,698</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25,567</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19,801</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71,445</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53,201</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16,858</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14,835</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47,832</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43,092</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(544)</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(7,366)</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(7,914)</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(21,808)</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(20,192)</w:t>
            </w:r>
          </w:p>
        </w:tc>
        <w:tc>
          <w:tcPr>
            <w:tcW w:w="0" w:type="dxa"/>
            <w:vAlign w:val="bottom"/>
          </w:tcPr>
          <w:p>
            <w:pPr>
              <w:spacing w:after="0"/>
              <w:rPr>
                <w:sz w:val="1"/>
                <w:szCs w:val="1"/>
                <w:color w:val="auto"/>
              </w:rPr>
            </w:pPr>
          </w:p>
        </w:tc>
      </w:tr>
      <w:tr>
        <w:trPr>
          <w:trHeight w:val="210"/>
        </w:trPr>
        <w:tc>
          <w:tcPr>
            <w:tcW w:w="336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35,026</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26,178</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97,666</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74,633</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7,846</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6,131</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23,081</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5,924</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5,859</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4,422</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17,446</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5,073</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(1,690)</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(2,124)</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(4,594)</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(5,831)</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(6,669)</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(6,928)</w:t>
            </w:r>
          </w:p>
        </w:tc>
        <w:tc>
          <w:tcPr>
            <w:tcW w:w="0" w:type="dxa"/>
            <w:vAlign w:val="bottom"/>
          </w:tcPr>
          <w:p>
            <w:pPr>
              <w:spacing w:after="0"/>
              <w:rPr>
                <w:sz w:val="1"/>
                <w:szCs w:val="1"/>
                <w:color w:val="auto"/>
              </w:rPr>
            </w:pPr>
          </w:p>
        </w:tc>
      </w:tr>
      <w:tr>
        <w:trPr>
          <w:trHeight w:val="210"/>
        </w:trPr>
        <w:tc>
          <w:tcPr>
            <w:tcW w:w="3360" w:type="dxa"/>
            <w:vAlign w:val="bottom"/>
          </w:tcPr>
          <w:p>
            <w:pPr>
              <w:ind w:left="44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10,785</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6,010</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29,264</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160"/>
          </w:cols>
          <w:pgMar w:left="1380" w:top="895" w:right="1359" w:bottom="1440" w:gutter="0" w:footer="0" w:header="0"/>
        </w:sectPr>
      </w:pPr>
    </w:p>
    <w:bookmarkStart w:id="11" w:name="page12"/>
    <w:bookmarkEnd w:id="11"/>
    <w:p>
      <w:pPr>
        <w:jc w:val="center"/>
        <w:ind w:right="-3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(unaudited)</w:t>
      </w:r>
    </w:p>
    <w:p>
      <w:pPr>
        <w:spacing w:after="0" w:line="265" w:lineRule="exact"/>
        <w:rPr>
          <w:sz w:val="20"/>
          <w:szCs w:val="20"/>
          <w:color w:val="auto"/>
        </w:rPr>
      </w:pPr>
    </w:p>
    <w:tbl>
      <w:tblPr>
        <w:tblLayout w:type="fixed"/>
        <w:tblInd w:w="2392"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08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w:t>
            </w:r>
          </w:p>
        </w:tc>
      </w:tr>
      <w:tr>
        <w:trPr>
          <w:trHeight w:val="223"/>
        </w:trPr>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9"/>
                <w:szCs w:val="19"/>
                <w:color w:val="auto"/>
              </w:rPr>
            </w:pPr>
          </w:p>
        </w:tc>
        <w:tc>
          <w:tcPr>
            <w:tcW w:w="208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September 30,</w:t>
            </w:r>
          </w:p>
        </w:tc>
      </w:tr>
      <w:tr>
        <w:trPr>
          <w:trHeight w:val="263"/>
        </w:trPr>
        <w:tc>
          <w:tcPr>
            <w:tcW w:w="16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518"/>
        </w:trPr>
        <w:tc>
          <w:tcPr>
            <w:tcW w:w="168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35,026</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26,178</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97,666</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66,698</w:t>
            </w:r>
          </w:p>
        </w:tc>
      </w:tr>
      <w:tr>
        <w:trPr>
          <w:trHeight w:val="270"/>
        </w:trPr>
        <w:tc>
          <w:tcPr>
            <w:tcW w:w="168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35,026</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26,178</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97,666</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74,633</w:t>
            </w:r>
          </w:p>
        </w:tc>
      </w:tr>
      <w:tr>
        <w:trPr>
          <w:trHeight w:val="270"/>
        </w:trPr>
        <w:tc>
          <w:tcPr>
            <w:tcW w:w="168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38,595</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31,035</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56,881</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61,141</w:t>
            </w:r>
          </w:p>
        </w:tc>
      </w:tr>
    </w:tbl>
    <w:p>
      <w:pPr>
        <w:spacing w:after="0" w:line="312" w:lineRule="exact"/>
        <w:rPr>
          <w:sz w:val="20"/>
          <w:szCs w:val="20"/>
          <w:color w:val="auto"/>
        </w:rPr>
      </w:pPr>
    </w:p>
    <w:p>
      <w:pPr>
        <w:ind w:left="332" w:right="20" w:hanging="332"/>
        <w:spacing w:after="0" w:line="258" w:lineRule="auto"/>
        <w:tabs>
          <w:tab w:leader="none" w:pos="3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EBITDA is defined as net income (loss) attributable to Civeo Corporation plus interest, taxes, depreciation and amortization. The term Adjusted EBITDA is defined as EBITDA adjusted to exclude certain other unusual or non-operating ite</w:t>
      </w:r>
      <w:r>
        <w:rPr>
          <w:rFonts w:ascii="Arial" w:cs="Arial" w:eastAsia="Arial" w:hAnsi="Arial"/>
          <w:sz w:val="17"/>
          <w:szCs w:val="17"/>
          <w:color w:val="auto"/>
        </w:rPr>
        <w:t>ms</w:t>
      </w:r>
      <w:r>
        <w:rPr>
          <w:rFonts w:ascii="Arial" w:cs="Arial" w:eastAsia="Arial" w:hAnsi="Arial"/>
          <w:sz w:val="16"/>
          <w:szCs w:val="16"/>
          <w:color w:val="auto"/>
        </w:rPr>
        <w:t>.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23" w:lineRule="exact"/>
        <w:rPr>
          <w:rFonts w:ascii="Arial" w:cs="Arial" w:eastAsia="Arial" w:hAnsi="Arial"/>
          <w:sz w:val="16"/>
          <w:szCs w:val="16"/>
          <w:color w:val="auto"/>
        </w:rPr>
      </w:pPr>
    </w:p>
    <w:p>
      <w:pPr>
        <w:ind w:left="332" w:right="10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256" w:lineRule="exact"/>
        <w:rPr>
          <w:sz w:val="20"/>
          <w:szCs w:val="20"/>
          <w:color w:val="auto"/>
        </w:rPr>
      </w:pPr>
    </w:p>
    <w:tbl>
      <w:tblPr>
        <w:tblLayout w:type="fixed"/>
        <w:tblInd w:w="1432"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4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9"/>
                <w:szCs w:val="19"/>
                <w:color w:val="auto"/>
              </w:rPr>
            </w:pPr>
          </w:p>
        </w:tc>
        <w:tc>
          <w:tcPr>
            <w:tcW w:w="2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3"/>
        </w:trPr>
        <w:tc>
          <w:tcPr>
            <w:tcW w:w="3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12"/>
        </w:trPr>
        <w:tc>
          <w:tcPr>
            <w:tcW w:w="346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5,717</w:t>
            </w:r>
          </w:p>
        </w:tc>
        <w:tc>
          <w:tcPr>
            <w:tcW w:w="180" w:type="dxa"/>
            <w:vAlign w:val="bottom"/>
          </w:tcPr>
          <w:p>
            <w:pPr>
              <w:spacing w:after="0"/>
              <w:rPr>
                <w:sz w:val="24"/>
                <w:szCs w:val="24"/>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544</w:t>
            </w:r>
          </w:p>
        </w:tc>
        <w:tc>
          <w:tcPr>
            <w:tcW w:w="180" w:type="dxa"/>
            <w:vAlign w:val="bottom"/>
          </w:tcPr>
          <w:p>
            <w:pPr>
              <w:spacing w:after="0"/>
              <w:rPr>
                <w:sz w:val="24"/>
                <w:szCs w:val="2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16,695</w:t>
            </w:r>
          </w:p>
        </w:tc>
        <w:tc>
          <w:tcPr>
            <w:tcW w:w="180" w:type="dxa"/>
            <w:vAlign w:val="bottom"/>
          </w:tcPr>
          <w:p>
            <w:pPr>
              <w:spacing w:after="0"/>
              <w:rPr>
                <w:sz w:val="24"/>
                <w:szCs w:val="2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(8,927)</w:t>
            </w: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6"/>
                <w:szCs w:val="16"/>
                <w:color w:val="auto"/>
              </w:rPr>
              <w:t>Corporation</w:t>
            </w: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46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3,713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7,091</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22,608</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20,282</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65,818</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62,928</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416</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71"/>
        </w:trPr>
        <w:tc>
          <w:tcPr>
            <w:tcW w:w="346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3,001</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3,166</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8,077</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9,929</w:t>
            </w:r>
          </w:p>
        </w:tc>
        <w:tc>
          <w:tcPr>
            <w:tcW w:w="0" w:type="dxa"/>
            <w:vAlign w:val="bottom"/>
          </w:tcPr>
          <w:p>
            <w:pPr>
              <w:spacing w:after="0"/>
              <w:rPr>
                <w:sz w:val="1"/>
                <w:szCs w:val="1"/>
                <w:color w:val="auto"/>
              </w:rPr>
            </w:pPr>
          </w:p>
        </w:tc>
      </w:tr>
      <w:tr>
        <w:trPr>
          <w:trHeight w:val="249"/>
        </w:trPr>
        <w:tc>
          <w:tcPr>
            <w:tcW w:w="3460" w:type="dxa"/>
            <w:vAlign w:val="bottom"/>
          </w:tcPr>
          <w:p>
            <w:pPr>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35,026</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26,178</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97,666</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66,698</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460" w:type="dxa"/>
            <w:vAlign w:val="bottom"/>
          </w:tcPr>
          <w:p>
            <w:pPr>
              <w:ind w:left="140"/>
              <w:spacing w:after="0"/>
              <w:rPr>
                <w:sz w:val="20"/>
                <w:szCs w:val="20"/>
                <w:color w:val="auto"/>
              </w:rPr>
            </w:pPr>
            <w:r>
              <w:rPr>
                <w:rFonts w:ascii="Arial" w:cs="Arial" w:eastAsia="Arial" w:hAnsi="Arial"/>
                <w:sz w:val="16"/>
                <w:szCs w:val="16"/>
                <w:color w:val="auto"/>
              </w:rPr>
              <w:t>Impairment of long-lived assets (a)</w:t>
            </w:r>
          </w:p>
        </w:tc>
        <w:tc>
          <w:tcPr>
            <w:tcW w:w="24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7,935</w:t>
            </w:r>
          </w:p>
        </w:tc>
        <w:tc>
          <w:tcPr>
            <w:tcW w:w="0" w:type="dxa"/>
            <w:vAlign w:val="bottom"/>
          </w:tcPr>
          <w:p>
            <w:pPr>
              <w:spacing w:after="0"/>
              <w:rPr>
                <w:sz w:val="1"/>
                <w:szCs w:val="1"/>
                <w:color w:val="auto"/>
              </w:rPr>
            </w:pPr>
          </w:p>
        </w:tc>
      </w:tr>
      <w:tr>
        <w:trPr>
          <w:trHeight w:val="224"/>
        </w:trPr>
        <w:tc>
          <w:tcPr>
            <w:tcW w:w="3460" w:type="dxa"/>
            <w:vAlign w:val="bottom"/>
          </w:tcPr>
          <w:p>
            <w:pPr>
              <w:spacing w:after="0"/>
              <w:rPr>
                <w:sz w:val="20"/>
                <w:szCs w:val="20"/>
                <w:color w:val="auto"/>
              </w:rPr>
            </w:pPr>
            <w:r>
              <w:rPr>
                <w:rFonts w:ascii="Arial" w:cs="Arial" w:eastAsia="Arial" w:hAnsi="Arial"/>
                <w:sz w:val="16"/>
                <w:szCs w:val="16"/>
                <w:color w:val="auto"/>
              </w:rPr>
              <w:t>EBITDA and Adjusted EBITDA</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35,026</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26,178</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97,666</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74,633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52" w:right="220" w:hanging="328"/>
        <w:spacing w:after="0" w:line="304" w:lineRule="auto"/>
        <w:tabs>
          <w:tab w:leader="none" w:pos="571" w:val="left"/>
        </w:tabs>
        <w:numPr>
          <w:ilvl w:val="1"/>
          <w:numId w:val="6"/>
        </w:numPr>
        <w:rPr>
          <w:rFonts w:ascii="Arial" w:cs="Arial" w:eastAsia="Arial" w:hAnsi="Arial"/>
          <w:sz w:val="16"/>
          <w:szCs w:val="16"/>
          <w:color w:val="auto"/>
        </w:rPr>
      </w:pPr>
      <w:r>
        <w:rPr>
          <w:rFonts w:ascii="Arial" w:cs="Arial" w:eastAsia="Arial" w:hAnsi="Arial"/>
          <w:sz w:val="16"/>
          <w:szCs w:val="16"/>
          <w:color w:val="auto"/>
        </w:rPr>
        <w:t>Relates to asset impairments in the second quarter of 2021.In the second quarter of 2021, we recorded a pre-tax loss related to the impairment of long-lived assets in our Australian segment of $7.9 million, which is included in Impairment expense on the unaudited statements of operations.</w:t>
      </w:r>
    </w:p>
    <w:p>
      <w:pPr>
        <w:spacing w:after="0" w:line="168" w:lineRule="exact"/>
        <w:rPr>
          <w:rFonts w:ascii="Arial" w:cs="Arial" w:eastAsia="Arial" w:hAnsi="Arial"/>
          <w:sz w:val="16"/>
          <w:szCs w:val="16"/>
          <w:color w:val="auto"/>
        </w:rPr>
      </w:pPr>
    </w:p>
    <w:p>
      <w:pPr>
        <w:ind w:left="332" w:hanging="332"/>
        <w:spacing w:after="0" w:line="261"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w:t>
      </w:r>
    </w:p>
    <w:p>
      <w:pPr>
        <w:sectPr>
          <w:pgSz w:w="11900" w:h="16838" w:orient="portrait"/>
          <w:cols w:equalWidth="0" w:num="1">
            <w:col w:w="11212"/>
          </w:cols>
          <w:pgMar w:left="328" w:top="895" w:right="359" w:bottom="1440" w:gutter="0" w:footer="0" w:header="0"/>
        </w:sectPr>
      </w:pPr>
    </w:p>
    <w:bookmarkStart w:id="12" w:name="page13"/>
    <w:bookmarkEnd w:id="12"/>
    <w:p>
      <w:pPr>
        <w:spacing w:after="0" w:line="286" w:lineRule="auto"/>
        <w:rPr>
          <w:sz w:val="20"/>
          <w:szCs w:val="20"/>
          <w:color w:val="auto"/>
        </w:rPr>
      </w:pPr>
      <w:r>
        <w:rPr>
          <w:rFonts w:ascii="Arial" w:cs="Arial" w:eastAsia="Arial" w:hAnsi="Arial"/>
          <w:sz w:val="16"/>
          <w:szCs w:val="16"/>
          <w:color w:val="auto"/>
        </w:rPr>
        <w:t>Cash Flow to compare and to understand, manage, make operating decisions and evaluate Civeo's business. It is also used as a benchmark for the award of incentive compensation under its annual incentive compensation plan.</w:t>
      </w:r>
    </w:p>
    <w:p>
      <w:pPr>
        <w:spacing w:after="0" w:line="19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56"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9"/>
                <w:szCs w:val="19"/>
                <w:color w:val="auto"/>
              </w:rPr>
            </w:pPr>
          </w:p>
        </w:tc>
        <w:tc>
          <w:tcPr>
            <w:tcW w:w="21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3"/>
        </w:trPr>
        <w:tc>
          <w:tcPr>
            <w:tcW w:w="4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518"/>
        </w:trPr>
        <w:tc>
          <w:tcPr>
            <w:tcW w:w="434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38,741</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33,891</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62,372</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63,241</w:t>
            </w:r>
          </w:p>
        </w:tc>
        <w:tc>
          <w:tcPr>
            <w:tcW w:w="0" w:type="dxa"/>
            <w:vAlign w:val="bottom"/>
          </w:tcPr>
          <w:p>
            <w:pPr>
              <w:spacing w:after="0"/>
              <w:rPr>
                <w:sz w:val="1"/>
                <w:szCs w:val="1"/>
                <w:color w:val="auto"/>
              </w:rPr>
            </w:pPr>
          </w:p>
        </w:tc>
      </w:tr>
      <w:tr>
        <w:trPr>
          <w:trHeight w:val="270"/>
        </w:trPr>
        <w:tc>
          <w:tcPr>
            <w:tcW w:w="43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(8,819)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(3,389)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(17,466)</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(9,645)</w:t>
            </w:r>
          </w:p>
        </w:tc>
        <w:tc>
          <w:tcPr>
            <w:tcW w:w="0" w:type="dxa"/>
            <w:vAlign w:val="bottom"/>
          </w:tcPr>
          <w:p>
            <w:pPr>
              <w:spacing w:after="0"/>
              <w:rPr>
                <w:sz w:val="1"/>
                <w:szCs w:val="1"/>
                <w:color w:val="auto"/>
              </w:rPr>
            </w:pPr>
          </w:p>
        </w:tc>
      </w:tr>
      <w:tr>
        <w:trPr>
          <w:trHeight w:val="164"/>
        </w:trPr>
        <w:tc>
          <w:tcPr>
            <w:tcW w:w="4340" w:type="dxa"/>
            <w:vAlign w:val="bottom"/>
          </w:tcPr>
          <w:p>
            <w:pPr>
              <w:ind w:left="120"/>
              <w:spacing w:after="0" w:line="164" w:lineRule="exact"/>
              <w:rPr>
                <w:sz w:val="20"/>
                <w:szCs w:val="20"/>
                <w:color w:val="auto"/>
              </w:rPr>
            </w:pPr>
            <w:r>
              <w:rPr>
                <w:rFonts w:ascii="Arial" w:cs="Arial" w:eastAsia="Arial" w:hAnsi="Arial"/>
                <w:sz w:val="16"/>
                <w:szCs w:val="16"/>
                <w:color w:val="auto"/>
              </w:rPr>
              <w:t>Proceeds from dispositions of property, plant and</w:t>
            </w: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8,673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533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auto"/>
              </w:rPr>
              <w:t>11,975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7,545</w:t>
            </w:r>
          </w:p>
        </w:tc>
        <w:tc>
          <w:tcPr>
            <w:tcW w:w="0" w:type="dxa"/>
            <w:vAlign w:val="bottom"/>
          </w:tcPr>
          <w:p>
            <w:pPr>
              <w:spacing w:after="0"/>
              <w:rPr>
                <w:sz w:val="1"/>
                <w:szCs w:val="1"/>
                <w:color w:val="auto"/>
              </w:rPr>
            </w:pPr>
          </w:p>
        </w:tc>
      </w:tr>
      <w:tr>
        <w:trPr>
          <w:trHeight w:val="215"/>
        </w:trPr>
        <w:tc>
          <w:tcPr>
            <w:tcW w:w="4340" w:type="dxa"/>
            <w:vAlign w:val="bottom"/>
          </w:tcPr>
          <w:p>
            <w:pPr>
              <w:ind w:left="120"/>
              <w:spacing w:after="0"/>
              <w:rPr>
                <w:sz w:val="20"/>
                <w:szCs w:val="20"/>
                <w:color w:val="auto"/>
              </w:rPr>
            </w:pPr>
            <w:r>
              <w:rPr>
                <w:rFonts w:ascii="Arial" w:cs="Arial" w:eastAsia="Arial" w:hAnsi="Arial"/>
                <w:sz w:val="16"/>
                <w:szCs w:val="16"/>
                <w:color w:val="auto"/>
              </w:rPr>
              <w:t>equipment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4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38,595</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31,035</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56,881</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61,141</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660" w:top="895" w:right="659" w:bottom="1440" w:gutter="0" w:footer="0" w:header="0"/>
        </w:sectPr>
      </w:pPr>
    </w:p>
    <w:bookmarkStart w:id="13" w:name="page14"/>
    <w:bookmarkEnd w:id="13"/>
    <w:p>
      <w:pPr>
        <w:jc w:val="center"/>
        <w:ind w:right="-35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351"/>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86" w:lineRule="exact"/>
        <w:rPr>
          <w:sz w:val="20"/>
          <w:szCs w:val="20"/>
          <w:color w:val="auto"/>
        </w:rPr>
      </w:pPr>
    </w:p>
    <w:p>
      <w:pPr>
        <w:ind w:left="6652"/>
        <w:spacing w:after="0"/>
        <w:rPr>
          <w:sz w:val="20"/>
          <w:szCs w:val="20"/>
          <w:color w:val="auto"/>
        </w:rPr>
      </w:pPr>
      <w:r>
        <w:rPr>
          <w:rFonts w:ascii="Arial" w:cs="Arial" w:eastAsia="Arial" w:hAnsi="Arial"/>
          <w:sz w:val="16"/>
          <w:szCs w:val="16"/>
          <w:b w:val="1"/>
          <w:bCs w:val="1"/>
          <w:color w:val="auto"/>
        </w:rPr>
        <w:t>Year Ending December 31, 2022</w:t>
      </w:r>
    </w:p>
    <w:p>
      <w:pPr>
        <w:spacing w:after="0" w:line="127" w:lineRule="exact"/>
        <w:rPr>
          <w:sz w:val="20"/>
          <w:szCs w:val="20"/>
          <w:color w:val="auto"/>
        </w:rPr>
      </w:pPr>
    </w:p>
    <w:p>
      <w:pPr>
        <w:ind w:left="2072"/>
        <w:spacing w:after="0"/>
        <w:tabs>
          <w:tab w:leader="none" w:pos="6532" w:val="left"/>
          <w:tab w:leader="none" w:pos="7292" w:val="left"/>
          <w:tab w:leader="none" w:pos="7952" w:val="left"/>
          <w:tab w:leader="none" w:pos="8692" w:val="left"/>
        </w:tabs>
        <w:rPr>
          <w:sz w:val="20"/>
          <w:szCs w:val="20"/>
          <w:color w:val="auto"/>
        </w:rPr>
      </w:pPr>
      <w:r>
        <w:rPr>
          <w:rFonts w:ascii="Arial" w:cs="Arial" w:eastAsia="Arial" w:hAnsi="Arial"/>
          <w:sz w:val="16"/>
          <w:szCs w:val="16"/>
          <w:color w:val="auto"/>
        </w:rPr>
        <w:t>EBITDA Range (1)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110.0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115.0</w:t>
      </w:r>
    </w:p>
    <w:p>
      <w:pPr>
        <w:spacing w:after="0" w:line="329" w:lineRule="exact"/>
        <w:rPr>
          <w:sz w:val="20"/>
          <w:szCs w:val="20"/>
          <w:color w:val="auto"/>
        </w:rPr>
      </w:pPr>
    </w:p>
    <w:p>
      <w:pPr>
        <w:ind w:left="332" w:hanging="332"/>
        <w:spacing w:after="0" w:line="286"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to estimated net loss, which is the most directly comparable measure of financial performance calculated under generally accepted accounting principles (in millions) (unaudited):</w:t>
      </w:r>
    </w:p>
    <w:p>
      <w:pPr>
        <w:spacing w:after="0" w:line="237" w:lineRule="exact"/>
        <w:rPr>
          <w:sz w:val="20"/>
          <w:szCs w:val="20"/>
          <w:color w:val="auto"/>
        </w:rPr>
      </w:pPr>
    </w:p>
    <w:tbl>
      <w:tblPr>
        <w:tblLayout w:type="fixed"/>
        <w:tblInd w:w="1872"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2022</w:t>
            </w:r>
          </w:p>
        </w:tc>
      </w:tr>
      <w:tr>
        <w:trPr>
          <w:trHeight w:val="223"/>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(estimated)</w:t>
            </w:r>
          </w:p>
        </w:tc>
        <w:tc>
          <w:tcPr>
            <w:tcW w:w="700" w:type="dxa"/>
            <w:vAlign w:val="bottom"/>
          </w:tcPr>
          <w:p>
            <w:pPr>
              <w:spacing w:after="0"/>
              <w:rPr>
                <w:sz w:val="19"/>
                <w:szCs w:val="19"/>
                <w:color w:val="auto"/>
              </w:rPr>
            </w:pPr>
          </w:p>
        </w:tc>
      </w:tr>
      <w:tr>
        <w:trPr>
          <w:trHeight w:val="316"/>
        </w:trPr>
        <w:tc>
          <w:tcPr>
            <w:tcW w:w="482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24"/>
                <w:szCs w:val="24"/>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11"/>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w:t>
            </w:r>
          </w:p>
        </w:tc>
      </w:tr>
    </w:tbl>
    <w:p>
      <w:pPr>
        <w:sectPr>
          <w:pgSz w:w="11900" w:h="16838" w:orient="portrait"/>
          <w:cols w:equalWidth="0" w:num="1">
            <w:col w:w="10872"/>
          </w:cols>
          <w:pgMar w:left="328" w:top="895" w:right="699" w:bottom="1440" w:gutter="0" w:footer="0" w:header="0"/>
        </w:sectPr>
      </w:pPr>
    </w:p>
    <w:bookmarkStart w:id="14" w:name="page15"/>
    <w:bookmarkEnd w:id="14"/>
    <w:p>
      <w:pPr>
        <w:jc w:val="center"/>
        <w:ind w:right="-17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w:t>
      </w:r>
    </w:p>
    <w:p>
      <w:pPr>
        <w:spacing w:after="0" w:line="76" w:lineRule="exact"/>
        <w:rPr>
          <w:sz w:val="20"/>
          <w:szCs w:val="20"/>
          <w:color w:val="auto"/>
        </w:rPr>
      </w:pPr>
    </w:p>
    <w:tbl>
      <w:tblPr>
        <w:tblLayout w:type="fixed"/>
        <w:tblInd w:w="1352"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2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22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72,724</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60,511</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219,349</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176,800</w:t>
            </w:r>
          </w:p>
        </w:tc>
        <w:tc>
          <w:tcPr>
            <w:tcW w:w="0" w:type="dxa"/>
            <w:vAlign w:val="bottom"/>
          </w:tcPr>
          <w:p>
            <w:pPr>
              <w:spacing w:after="0"/>
              <w:rPr>
                <w:sz w:val="1"/>
                <w:szCs w:val="1"/>
                <w:color w:val="auto"/>
              </w:rPr>
            </w:pPr>
          </w:p>
        </w:tc>
      </w:tr>
      <w:tr>
        <w:trPr>
          <w:trHeight w:val="270"/>
        </w:trPr>
        <w:tc>
          <w:tcPr>
            <w:tcW w:w="358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25,283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19,075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73,359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38,240</w:t>
            </w:r>
          </w:p>
        </w:tc>
        <w:tc>
          <w:tcPr>
            <w:tcW w:w="0" w:type="dxa"/>
            <w:vAlign w:val="bottom"/>
          </w:tcPr>
          <w:p>
            <w:pPr>
              <w:spacing w:after="0"/>
              <w:rPr>
                <w:sz w:val="1"/>
                <w:szCs w:val="1"/>
                <w:color w:val="auto"/>
              </w:rPr>
            </w:pPr>
          </w:p>
        </w:tc>
      </w:tr>
      <w:tr>
        <w:trPr>
          <w:trHeight w:val="271"/>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5,002</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4,471</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15,276</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14,183</w:t>
            </w:r>
          </w:p>
        </w:tc>
        <w:tc>
          <w:tcPr>
            <w:tcW w:w="0" w:type="dxa"/>
            <w:vAlign w:val="bottom"/>
          </w:tcPr>
          <w:p>
            <w:pPr>
              <w:spacing w:after="0"/>
              <w:rPr>
                <w:sz w:val="1"/>
                <w:szCs w:val="1"/>
                <w:color w:val="auto"/>
              </w:rPr>
            </w:pPr>
          </w:p>
        </w:tc>
      </w:tr>
      <w:tr>
        <w:trPr>
          <w:trHeight w:val="249"/>
        </w:trPr>
        <w:tc>
          <w:tcPr>
            <w:tcW w:w="358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103,009</w:t>
            </w:r>
          </w:p>
        </w:tc>
        <w:tc>
          <w:tcPr>
            <w:tcW w:w="1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84,057</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307,984</w:t>
            </w:r>
          </w:p>
        </w:tc>
        <w:tc>
          <w:tcPr>
            <w:tcW w:w="2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229,223</w:t>
            </w:r>
          </w:p>
        </w:tc>
        <w:tc>
          <w:tcPr>
            <w:tcW w:w="0" w:type="dxa"/>
            <w:vAlign w:val="bottom"/>
          </w:tcPr>
          <w:p>
            <w:pPr>
              <w:spacing w:after="0"/>
              <w:rPr>
                <w:sz w:val="1"/>
                <w:szCs w:val="1"/>
                <w:color w:val="auto"/>
              </w:rPr>
            </w:pPr>
          </w:p>
        </w:tc>
      </w:tr>
      <w:tr>
        <w:trPr>
          <w:trHeight w:val="378"/>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50,308</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41,470</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156,543</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124,798</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15,597</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11,144</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44,939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23,562</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4,447</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4,007</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13,782</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12,583</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7,829</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7,498</w:t>
            </w:r>
          </w:p>
        </w:tc>
        <w:tc>
          <w:tcPr>
            <w:tcW w:w="0" w:type="dxa"/>
            <w:vAlign w:val="bottom"/>
          </w:tcPr>
          <w:p>
            <w:pPr>
              <w:spacing w:after="0"/>
              <w:rPr>
                <w:sz w:val="1"/>
                <w:szCs w:val="1"/>
                <w:color w:val="auto"/>
              </w:rPr>
            </w:pPr>
          </w:p>
        </w:tc>
      </w:tr>
      <w:tr>
        <w:trPr>
          <w:trHeight w:val="144"/>
        </w:trPr>
        <w:tc>
          <w:tcPr>
            <w:tcW w:w="3580" w:type="dxa"/>
            <w:vAlign w:val="bottom"/>
          </w:tcPr>
          <w:p>
            <w:pPr>
              <w:ind w:left="660"/>
              <w:spacing w:after="0" w:line="144" w:lineRule="exact"/>
              <w:rPr>
                <w:sz w:val="20"/>
                <w:szCs w:val="20"/>
                <w:color w:val="auto"/>
              </w:rPr>
            </w:pPr>
            <w:r>
              <w:rPr>
                <w:rFonts w:ascii="Arial" w:cs="Arial" w:eastAsia="Arial" w:hAnsi="Arial"/>
                <w:sz w:val="16"/>
                <w:szCs w:val="16"/>
                <w:color w:val="auto"/>
              </w:rPr>
              <w:t>Total Canadian cost of sales and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72,878</w:t>
            </w:r>
          </w:p>
        </w:tc>
        <w:tc>
          <w:tcPr>
            <w:tcW w:w="18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59,214</w:t>
            </w:r>
          </w:p>
        </w:tc>
        <w:tc>
          <w:tcPr>
            <w:tcW w:w="1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223,093</w:t>
            </w:r>
          </w:p>
        </w:tc>
        <w:tc>
          <w:tcPr>
            <w:tcW w:w="200" w:type="dxa"/>
            <w:vAlign w:val="bottom"/>
          </w:tcPr>
          <w:p>
            <w:pPr>
              <w:spacing w:after="0"/>
              <w:rPr>
                <w:sz w:val="12"/>
                <w:szCs w:val="12"/>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168,441</w:t>
            </w:r>
          </w:p>
        </w:tc>
        <w:tc>
          <w:tcPr>
            <w:tcW w:w="0" w:type="dxa"/>
            <w:vAlign w:val="bottom"/>
          </w:tcPr>
          <w:p>
            <w:pPr>
              <w:spacing w:after="0"/>
              <w:rPr>
                <w:sz w:val="1"/>
                <w:szCs w:val="1"/>
                <w:color w:val="auto"/>
              </w:rPr>
            </w:pPr>
          </w:p>
        </w:tc>
      </w:tr>
      <w:tr>
        <w:trPr>
          <w:trHeight w:val="21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99</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102</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730,708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613,017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2,137,530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1,816,407</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0.766</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0.794</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0.779</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0.799</w:t>
            </w:r>
          </w:p>
        </w:tc>
        <w:tc>
          <w:tcPr>
            <w:tcW w:w="0" w:type="dxa"/>
            <w:vAlign w:val="bottom"/>
          </w:tcPr>
          <w:p>
            <w:pPr>
              <w:spacing w:after="0"/>
              <w:rPr>
                <w:sz w:val="1"/>
                <w:szCs w:val="1"/>
                <w:color w:val="auto"/>
              </w:rPr>
            </w:pPr>
          </w:p>
        </w:tc>
      </w:tr>
      <w:tr>
        <w:trPr>
          <w:trHeight w:val="434"/>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38,316</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38,104</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114,967</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109,559</w:t>
            </w:r>
          </w:p>
        </w:tc>
        <w:tc>
          <w:tcPr>
            <w:tcW w:w="0" w:type="dxa"/>
            <w:vAlign w:val="bottom"/>
          </w:tcPr>
          <w:p>
            <w:pPr>
              <w:spacing w:after="0"/>
              <w:rPr>
                <w:sz w:val="1"/>
                <w:szCs w:val="1"/>
                <w:color w:val="auto"/>
              </w:rPr>
            </w:pPr>
          </w:p>
        </w:tc>
      </w:tr>
      <w:tr>
        <w:trPr>
          <w:trHeight w:val="271"/>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35,489</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27,014</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90,187</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79,215</w:t>
            </w:r>
          </w:p>
        </w:tc>
        <w:tc>
          <w:tcPr>
            <w:tcW w:w="0" w:type="dxa"/>
            <w:vAlign w:val="bottom"/>
          </w:tcPr>
          <w:p>
            <w:pPr>
              <w:spacing w:after="0"/>
              <w:rPr>
                <w:sz w:val="1"/>
                <w:szCs w:val="1"/>
                <w:color w:val="auto"/>
              </w:rPr>
            </w:pPr>
          </w:p>
        </w:tc>
      </w:tr>
      <w:tr>
        <w:trPr>
          <w:trHeight w:val="249"/>
        </w:trPr>
        <w:tc>
          <w:tcPr>
            <w:tcW w:w="358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73,805</w:t>
            </w:r>
          </w:p>
        </w:tc>
        <w:tc>
          <w:tcPr>
            <w:tcW w:w="1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65,118</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205,154</w:t>
            </w:r>
          </w:p>
        </w:tc>
        <w:tc>
          <w:tcPr>
            <w:tcW w:w="2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188,774</w:t>
            </w:r>
          </w:p>
        </w:tc>
        <w:tc>
          <w:tcPr>
            <w:tcW w:w="0" w:type="dxa"/>
            <w:vAlign w:val="bottom"/>
          </w:tcPr>
          <w:p>
            <w:pPr>
              <w:spacing w:after="0"/>
              <w:rPr>
                <w:sz w:val="1"/>
                <w:szCs w:val="1"/>
                <w:color w:val="auto"/>
              </w:rPr>
            </w:pPr>
          </w:p>
        </w:tc>
      </w:tr>
      <w:tr>
        <w:trPr>
          <w:trHeight w:val="378"/>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17,818</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18,351</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55,065</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53,538</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33,465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26,007</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84,836</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75,458</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5,638</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144"/>
        </w:trPr>
        <w:tc>
          <w:tcPr>
            <w:tcW w:w="3580" w:type="dxa"/>
            <w:vAlign w:val="bottom"/>
          </w:tcPr>
          <w:p>
            <w:pPr>
              <w:ind w:left="660"/>
              <w:spacing w:after="0" w:line="144" w:lineRule="exact"/>
              <w:rPr>
                <w:sz w:val="20"/>
                <w:szCs w:val="20"/>
                <w:color w:val="auto"/>
              </w:rPr>
            </w:pPr>
            <w:r>
              <w:rPr>
                <w:rFonts w:ascii="Arial" w:cs="Arial" w:eastAsia="Arial" w:hAnsi="Arial"/>
                <w:sz w:val="16"/>
                <w:szCs w:val="16"/>
                <w:color w:val="auto"/>
              </w:rPr>
              <w:t>Total Australian cost of sales and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53,333</w:t>
            </w:r>
          </w:p>
        </w:tc>
        <w:tc>
          <w:tcPr>
            <w:tcW w:w="18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46,374</w:t>
            </w:r>
          </w:p>
        </w:tc>
        <w:tc>
          <w:tcPr>
            <w:tcW w:w="1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145,539</w:t>
            </w:r>
          </w:p>
        </w:tc>
        <w:tc>
          <w:tcPr>
            <w:tcW w:w="200" w:type="dxa"/>
            <w:vAlign w:val="bottom"/>
          </w:tcPr>
          <w:p>
            <w:pPr>
              <w:spacing w:after="0"/>
              <w:rPr>
                <w:sz w:val="12"/>
                <w:szCs w:val="12"/>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134,172</w:t>
            </w:r>
          </w:p>
        </w:tc>
        <w:tc>
          <w:tcPr>
            <w:tcW w:w="0" w:type="dxa"/>
            <w:vAlign w:val="bottom"/>
          </w:tcPr>
          <w:p>
            <w:pPr>
              <w:spacing w:after="0"/>
              <w:rPr>
                <w:sz w:val="1"/>
                <w:szCs w:val="1"/>
                <w:color w:val="auto"/>
              </w:rPr>
            </w:pPr>
          </w:p>
        </w:tc>
      </w:tr>
      <w:tr>
        <w:trPr>
          <w:trHeight w:val="21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525,359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491,218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1,505,143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1,382,182</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0.683</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0.735</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0.707</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30"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mobile assets for the periods presented.</w:t>
      </w:r>
    </w:p>
    <w:p>
      <w:pPr>
        <w:spacing w:after="0" w:line="8"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14"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Billed rooms represents total billed days for owned assets for the periods presented.</w:t>
      </w:r>
    </w:p>
    <w:p>
      <w:pPr>
        <w:sectPr>
          <w:pgSz w:w="11900" w:h="16838" w:orient="portrait"/>
          <w:cols w:equalWidth="0" w:num="1">
            <w:col w:w="11052"/>
          </w:cols>
          <w:pgMar w:left="328" w:top="1138" w:right="5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8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844"/>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2"/>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2022-10-28T08:13:02Z</dcterms:created>
  <dcterms:modified xsi:type="dcterms:W3CDTF">2022-10-28T08:13:02Z</dcterms:modified>
</cp:coreProperties>
</file>