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89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8960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92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McCann Peter</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05/30/2014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90"/>
        <w:spacing w:after="0"/>
        <w:rPr>
          <w:sz w:val="20"/>
          <w:szCs w:val="20"/>
          <w:color w:val="auto"/>
        </w:rPr>
      </w:pPr>
      <w:r>
        <w:rPr>
          <w:rFonts w:ascii="Arial" w:cs="Arial" w:eastAsia="Arial" w:hAnsi="Arial"/>
          <w:sz w:val="17"/>
          <w:szCs w:val="17"/>
          <w:color w:val="0000FF"/>
        </w:rPr>
        <w:t>See Remarks</w:t>
      </w:r>
    </w:p>
    <w:p>
      <w:pPr>
        <w:spacing w:after="0" w:line="326" w:lineRule="exact"/>
        <w:rPr>
          <w:sz w:val="24"/>
          <w:szCs w:val="24"/>
          <w:color w:val="auto"/>
        </w:rPr>
      </w:pPr>
    </w:p>
    <w:p>
      <w:pPr>
        <w:sectPr>
          <w:pgSz w:w="11900" w:h="16838" w:orient="portrait"/>
          <w:cols w:equalWidth="0" w:num="3">
            <w:col w:w="3340" w:space="720"/>
            <w:col w:w="3270" w:space="720"/>
            <w:col w:w="3470"/>
          </w:cols>
          <w:pgMar w:left="240" w:top="224" w:right="139" w:bottom="922"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6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92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05/30/2014</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19"/>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11,092</w:t>
            </w:r>
            <w:r>
              <w:rPr>
                <w:rFonts w:ascii="Arial" w:cs="Arial" w:eastAsia="Arial" w:hAnsi="Arial"/>
                <w:sz w:val="22"/>
                <w:szCs w:val="22"/>
                <w:color w:val="00800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11,092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jc w:val="right"/>
              <w:ind w:righ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w w:val="97"/>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w w:val="97"/>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05/30/2014</w:t>
            </w:r>
          </w:p>
        </w:tc>
        <w:tc>
          <w:tcPr>
            <w:tcW w:w="1140" w:type="dxa"/>
            <w:vAlign w:val="bottom"/>
          </w:tcPr>
          <w:p>
            <w:pPr>
              <w:spacing w:after="0"/>
              <w:rPr>
                <w:sz w:val="16"/>
                <w:szCs w:val="16"/>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7"/>
              </w:rPr>
              <w:t>1,999</w:t>
            </w:r>
            <w:r>
              <w:rPr>
                <w:rFonts w:ascii="Arial" w:cs="Arial" w:eastAsia="Arial" w:hAnsi="Arial"/>
                <w:sz w:val="22"/>
                <w:szCs w:val="22"/>
                <w:color w:val="008000"/>
                <w:w w:val="87"/>
                <w:vertAlign w:val="superscript"/>
              </w:rPr>
              <w:t>(3)</w:t>
            </w:r>
          </w:p>
        </w:tc>
        <w:tc>
          <w:tcPr>
            <w:tcW w:w="300" w:type="dxa"/>
            <w:vAlign w:val="bottom"/>
          </w:tcPr>
          <w:p>
            <w:pPr>
              <w:spacing w:after="0"/>
              <w:rPr>
                <w:sz w:val="16"/>
                <w:szCs w:val="16"/>
                <w:color w:val="auto"/>
              </w:rPr>
            </w:pPr>
          </w:p>
        </w:tc>
        <w:tc>
          <w:tcPr>
            <w:tcW w:w="800" w:type="dxa"/>
            <w:vAlign w:val="bottom"/>
            <w:gridSpan w:val="2"/>
            <w:vMerge w:val="restart"/>
          </w:tcPr>
          <w:p>
            <w:pPr>
              <w:jc w:val="right"/>
              <w:ind w:right="299"/>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8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1,999</w:t>
            </w:r>
          </w:p>
        </w:tc>
        <w:tc>
          <w:tcPr>
            <w:tcW w:w="60" w:type="dxa"/>
            <w:vAlign w:val="bottom"/>
          </w:tcPr>
          <w:p>
            <w:pPr>
              <w:spacing w:after="0"/>
              <w:rPr>
                <w:sz w:val="16"/>
                <w:szCs w:val="16"/>
                <w:color w:val="auto"/>
              </w:rPr>
            </w:pP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98"/>
              <w:spacing w:after="0"/>
              <w:rPr>
                <w:sz w:val="20"/>
                <w:szCs w:val="20"/>
                <w:color w:val="auto"/>
              </w:rPr>
            </w:pPr>
            <w:r>
              <w:rPr>
                <w:rFonts w:ascii="Arial" w:cs="Arial" w:eastAsia="Arial" w:hAnsi="Arial"/>
                <w:sz w:val="13"/>
                <w:szCs w:val="13"/>
                <w:color w:val="0000FF"/>
                <w:w w:val="92"/>
              </w:rPr>
              <w:t>1,999</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05/30/2014</w:t>
            </w:r>
          </w:p>
        </w:tc>
        <w:tc>
          <w:tcPr>
            <w:tcW w:w="1140" w:type="dxa"/>
            <w:vAlign w:val="bottom"/>
          </w:tcPr>
          <w:p>
            <w:pPr>
              <w:spacing w:after="0"/>
              <w:rPr>
                <w:sz w:val="16"/>
                <w:szCs w:val="16"/>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7"/>
              </w:rPr>
              <w:t>9,255</w:t>
            </w:r>
            <w:r>
              <w:rPr>
                <w:rFonts w:ascii="Arial" w:cs="Arial" w:eastAsia="Arial" w:hAnsi="Arial"/>
                <w:sz w:val="22"/>
                <w:szCs w:val="22"/>
                <w:color w:val="008000"/>
                <w:w w:val="87"/>
                <w:vertAlign w:val="superscript"/>
              </w:rPr>
              <w:t>(4)</w:t>
            </w:r>
          </w:p>
        </w:tc>
        <w:tc>
          <w:tcPr>
            <w:tcW w:w="300" w:type="dxa"/>
            <w:vAlign w:val="bottom"/>
          </w:tcPr>
          <w:p>
            <w:pPr>
              <w:spacing w:after="0"/>
              <w:rPr>
                <w:sz w:val="16"/>
                <w:szCs w:val="16"/>
                <w:color w:val="auto"/>
              </w:rPr>
            </w:pPr>
          </w:p>
        </w:tc>
        <w:tc>
          <w:tcPr>
            <w:tcW w:w="800" w:type="dxa"/>
            <w:vAlign w:val="bottom"/>
            <w:gridSpan w:val="2"/>
            <w:vMerge w:val="restart"/>
          </w:tcPr>
          <w:p>
            <w:pPr>
              <w:jc w:val="right"/>
              <w:ind w:right="299"/>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8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9,255</w:t>
            </w:r>
          </w:p>
        </w:tc>
        <w:tc>
          <w:tcPr>
            <w:tcW w:w="60" w:type="dxa"/>
            <w:vAlign w:val="bottom"/>
          </w:tcPr>
          <w:p>
            <w:pPr>
              <w:spacing w:after="0"/>
              <w:rPr>
                <w:sz w:val="16"/>
                <w:szCs w:val="16"/>
                <w:color w:val="auto"/>
              </w:rPr>
            </w:pP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78"/>
              <w:spacing w:after="0"/>
              <w:rPr>
                <w:sz w:val="20"/>
                <w:szCs w:val="20"/>
                <w:color w:val="auto"/>
              </w:rPr>
            </w:pPr>
            <w:r>
              <w:rPr>
                <w:rFonts w:ascii="Arial" w:cs="Arial" w:eastAsia="Arial" w:hAnsi="Arial"/>
                <w:sz w:val="13"/>
                <w:szCs w:val="13"/>
                <w:color w:val="0000FF"/>
                <w:w w:val="90"/>
              </w:rPr>
              <w:t>11,254</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ind w:left="360"/>
              <w:spacing w:after="0"/>
              <w:rPr>
                <w:sz w:val="20"/>
                <w:szCs w:val="20"/>
                <w:color w:val="auto"/>
              </w:rPr>
            </w:pPr>
            <w:r>
              <w:rPr>
                <w:rFonts w:ascii="Arial" w:cs="Arial" w:eastAsia="Arial" w:hAnsi="Arial"/>
                <w:sz w:val="11"/>
                <w:szCs w:val="11"/>
                <w:color w:val="008000"/>
              </w:rPr>
              <w:t>(2)</w:t>
            </w:r>
          </w:p>
        </w:tc>
        <w:tc>
          <w:tcPr>
            <w:tcW w:w="1100" w:type="dxa"/>
            <w:vAlign w:val="bottom"/>
          </w:tcPr>
          <w:p>
            <w:pPr>
              <w:jc w:val="center"/>
              <w:spacing w:after="0"/>
              <w:rPr>
                <w:sz w:val="20"/>
                <w:szCs w:val="20"/>
                <w:color w:val="auto"/>
              </w:rPr>
            </w:pPr>
            <w:r>
              <w:rPr>
                <w:rFonts w:ascii="Arial" w:cs="Arial" w:eastAsia="Arial" w:hAnsi="Arial"/>
                <w:sz w:val="13"/>
                <w:szCs w:val="13"/>
                <w:color w:val="0000FF"/>
                <w:w w:val="95"/>
              </w:rPr>
              <w:t>05/30/2014</w:t>
            </w:r>
          </w:p>
        </w:tc>
        <w:tc>
          <w:tcPr>
            <w:tcW w:w="114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Pr>
          <w:p>
            <w:pPr>
              <w:jc w:val="center"/>
              <w:spacing w:after="0"/>
              <w:rPr>
                <w:sz w:val="20"/>
                <w:szCs w:val="20"/>
                <w:color w:val="auto"/>
              </w:rPr>
            </w:pPr>
            <w:r>
              <w:rPr>
                <w:rFonts w:ascii="Arial" w:cs="Arial" w:eastAsia="Arial" w:hAnsi="Arial"/>
                <w:sz w:val="13"/>
                <w:szCs w:val="13"/>
                <w:color w:val="0000FF"/>
                <w:w w:val="83"/>
              </w:rPr>
              <w:t>10,411</w:t>
            </w:r>
            <w:r>
              <w:rPr>
                <w:rFonts w:ascii="Arial" w:cs="Arial" w:eastAsia="Arial" w:hAnsi="Arial"/>
                <w:sz w:val="22"/>
                <w:szCs w:val="22"/>
                <w:color w:val="008000"/>
                <w:w w:val="83"/>
                <w:vertAlign w:val="superscript"/>
              </w:rPr>
              <w:t>(5)</w:t>
            </w:r>
          </w:p>
        </w:tc>
        <w:tc>
          <w:tcPr>
            <w:tcW w:w="300" w:type="dxa"/>
            <w:vAlign w:val="bottom"/>
          </w:tcPr>
          <w:p>
            <w:pPr>
              <w:spacing w:after="0"/>
              <w:rPr>
                <w:sz w:val="21"/>
                <w:szCs w:val="21"/>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8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spacing w:after="0"/>
              <w:rPr>
                <w:sz w:val="20"/>
                <w:szCs w:val="20"/>
                <w:color w:val="auto"/>
              </w:rPr>
            </w:pPr>
            <w:r>
              <w:rPr>
                <w:rFonts w:ascii="Arial" w:cs="Arial" w:eastAsia="Arial" w:hAnsi="Arial"/>
                <w:sz w:val="17"/>
                <w:szCs w:val="17"/>
                <w:color w:val="0000FF"/>
                <w:w w:val="92"/>
              </w:rPr>
              <w:t>10,411</w:t>
            </w:r>
          </w:p>
        </w:tc>
        <w:tc>
          <w:tcPr>
            <w:tcW w:w="60" w:type="dxa"/>
            <w:vAlign w:val="bottom"/>
          </w:tcPr>
          <w:p>
            <w:pPr>
              <w:spacing w:after="0"/>
              <w:rPr>
                <w:sz w:val="21"/>
                <w:szCs w:val="21"/>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78"/>
              <w:spacing w:after="0"/>
              <w:rPr>
                <w:sz w:val="20"/>
                <w:szCs w:val="20"/>
                <w:color w:val="auto"/>
              </w:rPr>
            </w:pPr>
            <w:r>
              <w:rPr>
                <w:rFonts w:ascii="Arial" w:cs="Arial" w:eastAsia="Arial" w:hAnsi="Arial"/>
                <w:sz w:val="13"/>
                <w:szCs w:val="13"/>
                <w:color w:val="0000FF"/>
                <w:w w:val="90"/>
              </w:rPr>
              <w:t>21,665</w:t>
            </w:r>
          </w:p>
        </w:tc>
        <w:tc>
          <w:tcPr>
            <w:tcW w:w="300" w:type="dxa"/>
            <w:vAlign w:val="bottom"/>
          </w:tcPr>
          <w:p>
            <w:pPr>
              <w:spacing w:after="0"/>
              <w:rPr>
                <w:sz w:val="21"/>
                <w:szCs w:val="21"/>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Borders>
              <w:bottom w:val="single" w:sz="8" w:color="2C2C2C"/>
            </w:tcBorders>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80"/>
              <w:spacing w:after="0" w:line="146" w:lineRule="exact"/>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ind w:left="360"/>
              <w:spacing w:after="0"/>
              <w:rPr>
                <w:sz w:val="20"/>
                <w:szCs w:val="20"/>
                <w:color w:val="auto"/>
              </w:rPr>
            </w:pPr>
            <w:r>
              <w:rPr>
                <w:rFonts w:ascii="Arial" w:cs="Arial" w:eastAsia="Arial" w:hAnsi="Arial"/>
                <w:sz w:val="11"/>
                <w:szCs w:val="11"/>
                <w:color w:val="008000"/>
              </w:rPr>
              <w:t>(2)</w:t>
            </w:r>
          </w:p>
        </w:tc>
        <w:tc>
          <w:tcPr>
            <w:tcW w:w="1100" w:type="dxa"/>
            <w:vAlign w:val="bottom"/>
          </w:tcPr>
          <w:p>
            <w:pPr>
              <w:jc w:val="center"/>
              <w:spacing w:after="0"/>
              <w:rPr>
                <w:sz w:val="20"/>
                <w:szCs w:val="20"/>
                <w:color w:val="auto"/>
              </w:rPr>
            </w:pPr>
            <w:r>
              <w:rPr>
                <w:rFonts w:ascii="Arial" w:cs="Arial" w:eastAsia="Arial" w:hAnsi="Arial"/>
                <w:sz w:val="13"/>
                <w:szCs w:val="13"/>
                <w:color w:val="0000FF"/>
                <w:w w:val="95"/>
              </w:rPr>
              <w:t>05/30/2014</w:t>
            </w:r>
          </w:p>
        </w:tc>
        <w:tc>
          <w:tcPr>
            <w:tcW w:w="114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Pr>
          <w:p>
            <w:pPr>
              <w:jc w:val="center"/>
              <w:spacing w:after="0"/>
              <w:rPr>
                <w:sz w:val="20"/>
                <w:szCs w:val="20"/>
                <w:color w:val="auto"/>
              </w:rPr>
            </w:pPr>
            <w:r>
              <w:rPr>
                <w:rFonts w:ascii="Arial" w:cs="Arial" w:eastAsia="Arial" w:hAnsi="Arial"/>
                <w:sz w:val="13"/>
                <w:szCs w:val="13"/>
                <w:color w:val="0000FF"/>
                <w:w w:val="83"/>
              </w:rPr>
              <w:t>20,822</w:t>
            </w:r>
            <w:r>
              <w:rPr>
                <w:rFonts w:ascii="Arial" w:cs="Arial" w:eastAsia="Arial" w:hAnsi="Arial"/>
                <w:sz w:val="22"/>
                <w:szCs w:val="22"/>
                <w:color w:val="008000"/>
                <w:w w:val="83"/>
                <w:vertAlign w:val="superscript"/>
              </w:rPr>
              <w:t>(6)</w:t>
            </w:r>
          </w:p>
        </w:tc>
        <w:tc>
          <w:tcPr>
            <w:tcW w:w="300" w:type="dxa"/>
            <w:vAlign w:val="bottom"/>
          </w:tcPr>
          <w:p>
            <w:pPr>
              <w:spacing w:after="0"/>
              <w:rPr>
                <w:sz w:val="21"/>
                <w:szCs w:val="21"/>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1"/>
                <w:szCs w:val="11"/>
                <w:color w:val="008000"/>
              </w:rPr>
              <w:t>(6)</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8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spacing w:after="0"/>
              <w:rPr>
                <w:sz w:val="20"/>
                <w:szCs w:val="20"/>
                <w:color w:val="auto"/>
              </w:rPr>
            </w:pPr>
            <w:r>
              <w:rPr>
                <w:rFonts w:ascii="Arial" w:cs="Arial" w:eastAsia="Arial" w:hAnsi="Arial"/>
                <w:sz w:val="17"/>
                <w:szCs w:val="17"/>
                <w:color w:val="0000FF"/>
                <w:w w:val="92"/>
              </w:rPr>
              <w:t>20,822</w:t>
            </w:r>
          </w:p>
        </w:tc>
        <w:tc>
          <w:tcPr>
            <w:tcW w:w="60" w:type="dxa"/>
            <w:vAlign w:val="bottom"/>
          </w:tcPr>
          <w:p>
            <w:pPr>
              <w:spacing w:after="0"/>
              <w:rPr>
                <w:sz w:val="21"/>
                <w:szCs w:val="21"/>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78"/>
              <w:spacing w:after="0"/>
              <w:rPr>
                <w:sz w:val="20"/>
                <w:szCs w:val="20"/>
                <w:color w:val="auto"/>
              </w:rPr>
            </w:pPr>
            <w:r>
              <w:rPr>
                <w:rFonts w:ascii="Arial" w:cs="Arial" w:eastAsia="Arial" w:hAnsi="Arial"/>
                <w:sz w:val="13"/>
                <w:szCs w:val="13"/>
                <w:color w:val="0000FF"/>
                <w:w w:val="90"/>
              </w:rPr>
              <w:t>42,487</w:t>
            </w:r>
          </w:p>
        </w:tc>
        <w:tc>
          <w:tcPr>
            <w:tcW w:w="300" w:type="dxa"/>
            <w:vAlign w:val="bottom"/>
          </w:tcPr>
          <w:p>
            <w:pPr>
              <w:spacing w:after="0"/>
              <w:rPr>
                <w:sz w:val="21"/>
                <w:szCs w:val="21"/>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Borders>
              <w:bottom w:val="single" w:sz="8" w:color="2C2C2C"/>
            </w:tcBorders>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80"/>
              <w:spacing w:after="0" w:line="146" w:lineRule="exact"/>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ind w:left="360"/>
              <w:spacing w:after="0"/>
              <w:rPr>
                <w:sz w:val="20"/>
                <w:szCs w:val="20"/>
                <w:color w:val="auto"/>
              </w:rPr>
            </w:pPr>
            <w:r>
              <w:rPr>
                <w:rFonts w:ascii="Arial" w:cs="Arial" w:eastAsia="Arial" w:hAnsi="Arial"/>
                <w:sz w:val="11"/>
                <w:szCs w:val="11"/>
                <w:color w:val="008000"/>
              </w:rPr>
              <w:t>(2)</w:t>
            </w:r>
          </w:p>
        </w:tc>
        <w:tc>
          <w:tcPr>
            <w:tcW w:w="1100" w:type="dxa"/>
            <w:vAlign w:val="bottom"/>
          </w:tcPr>
          <w:p>
            <w:pPr>
              <w:jc w:val="center"/>
              <w:spacing w:after="0"/>
              <w:rPr>
                <w:sz w:val="20"/>
                <w:szCs w:val="20"/>
                <w:color w:val="auto"/>
              </w:rPr>
            </w:pPr>
            <w:r>
              <w:rPr>
                <w:rFonts w:ascii="Arial" w:cs="Arial" w:eastAsia="Arial" w:hAnsi="Arial"/>
                <w:sz w:val="13"/>
                <w:szCs w:val="13"/>
                <w:color w:val="0000FF"/>
                <w:w w:val="95"/>
              </w:rPr>
              <w:t>05/30/2014</w:t>
            </w:r>
          </w:p>
        </w:tc>
        <w:tc>
          <w:tcPr>
            <w:tcW w:w="114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Pr>
          <w:p>
            <w:pPr>
              <w:jc w:val="center"/>
              <w:spacing w:after="0"/>
              <w:rPr>
                <w:sz w:val="20"/>
                <w:szCs w:val="20"/>
                <w:color w:val="auto"/>
              </w:rPr>
            </w:pPr>
            <w:r>
              <w:rPr>
                <w:rFonts w:ascii="Arial" w:cs="Arial" w:eastAsia="Arial" w:hAnsi="Arial"/>
                <w:sz w:val="13"/>
                <w:szCs w:val="13"/>
                <w:color w:val="0000FF"/>
                <w:w w:val="83"/>
              </w:rPr>
              <w:t>32,390</w:t>
            </w:r>
            <w:r>
              <w:rPr>
                <w:rFonts w:ascii="Arial" w:cs="Arial" w:eastAsia="Arial" w:hAnsi="Arial"/>
                <w:sz w:val="22"/>
                <w:szCs w:val="22"/>
                <w:color w:val="008000"/>
                <w:w w:val="83"/>
                <w:vertAlign w:val="superscript"/>
              </w:rPr>
              <w:t>(7)</w:t>
            </w:r>
          </w:p>
        </w:tc>
        <w:tc>
          <w:tcPr>
            <w:tcW w:w="300" w:type="dxa"/>
            <w:vAlign w:val="bottom"/>
          </w:tcPr>
          <w:p>
            <w:pPr>
              <w:spacing w:after="0"/>
              <w:rPr>
                <w:sz w:val="21"/>
                <w:szCs w:val="21"/>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1"/>
                <w:szCs w:val="11"/>
                <w:color w:val="008000"/>
              </w:rPr>
              <w:t>(7)</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8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spacing w:after="0"/>
              <w:rPr>
                <w:sz w:val="20"/>
                <w:szCs w:val="20"/>
                <w:color w:val="auto"/>
              </w:rPr>
            </w:pPr>
            <w:r>
              <w:rPr>
                <w:rFonts w:ascii="Arial" w:cs="Arial" w:eastAsia="Arial" w:hAnsi="Arial"/>
                <w:sz w:val="17"/>
                <w:szCs w:val="17"/>
                <w:color w:val="0000FF"/>
                <w:w w:val="92"/>
              </w:rPr>
              <w:t>32,390</w:t>
            </w:r>
          </w:p>
        </w:tc>
        <w:tc>
          <w:tcPr>
            <w:tcW w:w="60" w:type="dxa"/>
            <w:vAlign w:val="bottom"/>
          </w:tcPr>
          <w:p>
            <w:pPr>
              <w:spacing w:after="0"/>
              <w:rPr>
                <w:sz w:val="21"/>
                <w:szCs w:val="21"/>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78"/>
              <w:spacing w:after="0"/>
              <w:rPr>
                <w:sz w:val="20"/>
                <w:szCs w:val="20"/>
                <w:color w:val="auto"/>
              </w:rPr>
            </w:pPr>
            <w:r>
              <w:rPr>
                <w:rFonts w:ascii="Arial" w:cs="Arial" w:eastAsia="Arial" w:hAnsi="Arial"/>
                <w:sz w:val="13"/>
                <w:szCs w:val="13"/>
                <w:color w:val="0000FF"/>
                <w:w w:val="90"/>
              </w:rPr>
              <w:t>74,877</w:t>
            </w:r>
          </w:p>
        </w:tc>
        <w:tc>
          <w:tcPr>
            <w:tcW w:w="300" w:type="dxa"/>
            <w:vAlign w:val="bottom"/>
          </w:tcPr>
          <w:p>
            <w:pPr>
              <w:spacing w:after="0"/>
              <w:rPr>
                <w:sz w:val="21"/>
                <w:szCs w:val="21"/>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Distribution resulting from the spin-off of the Issuer from Oil States International, Inc. on May 30, 2014 (the "Spin-Off").</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deferred stock represents a contingent right to receive one share of common stock of the Issuer.</w:t>
      </w:r>
    </w:p>
    <w:p>
      <w:pPr>
        <w:spacing w:after="0" w:line="49" w:lineRule="exact"/>
        <w:rPr>
          <w:rFonts w:ascii="Arial" w:cs="Arial" w:eastAsia="Arial" w:hAnsi="Arial"/>
          <w:sz w:val="13"/>
          <w:szCs w:val="13"/>
          <w:color w:val="008000"/>
        </w:rPr>
      </w:pPr>
    </w:p>
    <w:p>
      <w:pPr>
        <w:ind w:left="40" w:right="2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Adjusted deferred stock resulting from the Spin-Off that vests completely on May 17, 2015. Amounts reported in this row are estimated as of June 2, 2014 based on preliminary information regarding the Spin-Off. Final amounts, if different, will be reported in a subsequent filing.</w:t>
      </w:r>
    </w:p>
    <w:p>
      <w:pPr>
        <w:spacing w:after="0" w:line="16"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Adjusted deferred stock resulting from the Spin-Off that vests equally over the two year period beginning February 16, 2015. Amounts reported in this row are estimated as of June 2, 2014 based on preliminary information regarding the Spin-Off. Final amounts, if different, will be reported in a subsequent filing.</w:t>
      </w:r>
    </w:p>
    <w:p>
      <w:pPr>
        <w:spacing w:after="0" w:line="16" w:lineRule="exact"/>
        <w:rPr>
          <w:rFonts w:ascii="Arial" w:cs="Arial" w:eastAsia="Arial" w:hAnsi="Arial"/>
          <w:sz w:val="13"/>
          <w:szCs w:val="13"/>
          <w:color w:val="008000"/>
        </w:rPr>
      </w:pPr>
    </w:p>
    <w:p>
      <w:pPr>
        <w:ind w:left="40" w:right="38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Adjusted deferred stock resulting from the Spin-Off that vests equally over the three year period beginning June 22, 2014. Amounts reported in this row are estimated as of June 2, 2014 based on preliminary information regarding the Spin-Off. Final amounts, if different, will be reported in a subsequent filing.</w:t>
      </w:r>
    </w:p>
    <w:p>
      <w:pPr>
        <w:spacing w:after="0" w:line="16" w:lineRule="exact"/>
        <w:rPr>
          <w:rFonts w:ascii="Arial" w:cs="Arial" w:eastAsia="Arial" w:hAnsi="Arial"/>
          <w:sz w:val="13"/>
          <w:szCs w:val="13"/>
          <w:color w:val="008000"/>
        </w:rPr>
      </w:pPr>
    </w:p>
    <w:p>
      <w:pPr>
        <w:ind w:left="40" w:right="14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Adjusted deferred stock resulting from the Spin-Off that vests equally over the three year period beginning February 19, 2015. Amounts reported in this row are estimated as of June 2, 2014 based on preliminary information regarding the Spin-Off. Final amounts, if different, will be reported in a subsequent filing.</w:t>
      </w:r>
    </w:p>
    <w:p>
      <w:pPr>
        <w:spacing w:after="0" w:line="16" w:lineRule="exact"/>
        <w:rPr>
          <w:rFonts w:ascii="Arial" w:cs="Arial" w:eastAsia="Arial" w:hAnsi="Arial"/>
          <w:sz w:val="13"/>
          <w:szCs w:val="13"/>
          <w:color w:val="008000"/>
        </w:rPr>
      </w:pPr>
    </w:p>
    <w:p>
      <w:pPr>
        <w:ind w:left="40" w:right="18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Adjusted deferred stock resulting from the Spin-Off that vests equally over the four year period beginning February 19, 2015. Amounts reported in this row are estimated as of June 2, 2014 based on preliminary information regarding the Spin-Off. Final amounts, if different, will be reported in a subsequent filing.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Australia</w:t>
      </w:r>
    </w:p>
    <w:p>
      <w:pPr>
        <w:sectPr>
          <w:pgSz w:w="11900" w:h="16838" w:orient="portrait"/>
          <w:cols w:equalWidth="0" w:num="1">
            <w:col w:w="11520"/>
          </w:cols>
          <w:pgMar w:left="240" w:top="224" w:right="139" w:bottom="922" w:gutter="0" w:footer="0" w:header="0"/>
          <w:type w:val="continuous"/>
        </w:sectPr>
      </w:pPr>
    </w:p>
    <w:p>
      <w:pPr>
        <w:spacing w:after="0" w:line="77"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Peter McCann, by Bradley J.</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5715</wp:posOffset>
            </wp:positionV>
            <wp:extent cx="1397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-13335</wp:posOffset>
            </wp:positionV>
            <wp:extent cx="12509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0950" cy="8255"/>
                    </a:xfrm>
                    <a:prstGeom prst="rect">
                      <a:avLst/>
                    </a:prstGeom>
                    <a:noFill/>
                  </pic:spPr>
                </pic:pic>
              </a:graphicData>
            </a:graphic>
          </wp:anchor>
        </w:drawing>
      </w:r>
    </w:p>
    <w:p>
      <w:pPr>
        <w:spacing w:after="0" w:line="50"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136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5"/>
          <w:szCs w:val="15"/>
          <w:color w:val="0000FF"/>
        </w:rPr>
        <w:t>06/03/2014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0" w:lineRule="exact"/>
        <w:rPr>
          <w:sz w:val="24"/>
          <w:szCs w:val="24"/>
          <w:color w:val="auto"/>
        </w:rPr>
      </w:pPr>
    </w:p>
    <w:p>
      <w:pPr>
        <w:sectPr>
          <w:pgSz w:w="11900" w:h="16838" w:orient="portrait"/>
          <w:cols w:equalWidth="0" w:num="2">
            <w:col w:w="9060" w:space="100"/>
            <w:col w:w="2360"/>
          </w:cols>
          <w:pgMar w:left="240" w:top="224" w:right="139" w:bottom="922"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92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2019-12-18T15:11:15Z</dcterms:created>
  <dcterms:modified xsi:type="dcterms:W3CDTF">2019-12-18T15:11:15Z</dcterms:modified>
</cp:coreProperties>
</file>