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April 22, 2014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001-36246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GENERAL FORM FOR REGISTRATION OF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7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tcPr>
          <w:p>
            <w:pPr>
              <w:jc w:val="right"/>
              <w:ind w:right="2330"/>
              <w:spacing w:after="0"/>
              <w:rPr>
                <w:sz w:val="20"/>
                <w:szCs w:val="20"/>
                <w:color w:val="auto"/>
              </w:rPr>
            </w:pPr>
            <w:r>
              <w:rPr>
                <w:rFonts w:ascii="Arial" w:cs="Arial" w:eastAsia="Arial" w:hAnsi="Arial"/>
                <w:sz w:val="18"/>
                <w:szCs w:val="18"/>
                <w:b w:val="1"/>
                <w:bCs w:val="1"/>
                <w:color w:val="auto"/>
              </w:rPr>
              <w:t>46-3831207</w:t>
            </w:r>
          </w:p>
        </w:tc>
      </w:tr>
      <w:tr>
        <w:trPr>
          <w:trHeight w:val="216"/>
        </w:trPr>
        <w:tc>
          <w:tcPr>
            <w:tcW w:w="6780" w:type="dxa"/>
            <w:vAlign w:val="bottom"/>
            <w:gridSpan w:val="3"/>
          </w:tcPr>
          <w:p>
            <w:pPr>
              <w:jc w:val="center"/>
              <w:ind w:right="1060"/>
              <w:spacing w:after="0"/>
              <w:rPr>
                <w:sz w:val="20"/>
                <w:szCs w:val="20"/>
                <w:color w:val="auto"/>
              </w:rPr>
            </w:pPr>
            <w:r>
              <w:rPr>
                <w:rFonts w:ascii="Arial" w:cs="Arial" w:eastAsia="Arial" w:hAnsi="Arial"/>
                <w:sz w:val="18"/>
                <w:szCs w:val="18"/>
                <w:i w:val="1"/>
                <w:iCs w:val="1"/>
                <w:color w:val="auto"/>
                <w:w w:val="94"/>
              </w:rPr>
              <w:t>(State or other jurisdiction of</w:t>
            </w:r>
          </w:p>
        </w:tc>
        <w:tc>
          <w:tcPr>
            <w:tcW w:w="4640" w:type="dxa"/>
            <w:vAlign w:val="bottom"/>
          </w:tcPr>
          <w:p>
            <w:pPr>
              <w:jc w:val="center"/>
              <w:ind w:right="9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780" w:type="dxa"/>
            <w:vAlign w:val="bottom"/>
            <w:gridSpan w:val="3"/>
          </w:tcPr>
          <w:p>
            <w:pPr>
              <w:jc w:val="center"/>
              <w:ind w:right="1040"/>
              <w:spacing w:after="0"/>
              <w:rPr>
                <w:sz w:val="20"/>
                <w:szCs w:val="20"/>
                <w:color w:val="auto"/>
              </w:rPr>
            </w:pPr>
            <w:r>
              <w:rPr>
                <w:rFonts w:ascii="Arial" w:cs="Arial" w:eastAsia="Arial" w:hAnsi="Arial"/>
                <w:sz w:val="18"/>
                <w:szCs w:val="18"/>
                <w:i w:val="1"/>
                <w:iCs w:val="1"/>
                <w:color w:val="auto"/>
                <w:w w:val="94"/>
              </w:rPr>
              <w:t>incorporation or organization)</w:t>
            </w:r>
          </w:p>
        </w:tc>
        <w:tc>
          <w:tcPr>
            <w:tcW w:w="4640" w:type="dxa"/>
            <w:vAlign w:val="bottom"/>
          </w:tcPr>
          <w:p>
            <w:pPr>
              <w:jc w:val="center"/>
              <w:ind w:right="970"/>
              <w:spacing w:after="0"/>
              <w:rPr>
                <w:sz w:val="20"/>
                <w:szCs w:val="20"/>
                <w:color w:val="auto"/>
              </w:rPr>
            </w:pPr>
            <w:r>
              <w:rPr>
                <w:rFonts w:ascii="Arial" w:cs="Arial" w:eastAsia="Arial" w:hAnsi="Arial"/>
                <w:sz w:val="18"/>
                <w:szCs w:val="18"/>
                <w:i w:val="1"/>
                <w:iCs w:val="1"/>
                <w:color w:val="auto"/>
                <w:w w:val="95"/>
              </w:rPr>
              <w:t>Identification No.)</w:t>
            </w:r>
          </w:p>
        </w:tc>
      </w:tr>
      <w:tr>
        <w:trPr>
          <w:trHeight w:val="634"/>
        </w:trPr>
        <w:tc>
          <w:tcPr>
            <w:tcW w:w="67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Three Allen Center, 333 Clay Street, Suite 4980, Houston, Texas</w:t>
            </w:r>
          </w:p>
        </w:tc>
        <w:tc>
          <w:tcPr>
            <w:tcW w:w="4640" w:type="dxa"/>
            <w:vAlign w:val="bottom"/>
          </w:tcPr>
          <w:p>
            <w:pPr>
              <w:jc w:val="right"/>
              <w:ind w:right="2530"/>
              <w:spacing w:after="0"/>
              <w:rPr>
                <w:sz w:val="20"/>
                <w:szCs w:val="20"/>
                <w:color w:val="auto"/>
              </w:rPr>
            </w:pPr>
            <w:r>
              <w:rPr>
                <w:rFonts w:ascii="Arial" w:cs="Arial" w:eastAsia="Arial" w:hAnsi="Arial"/>
                <w:sz w:val="18"/>
                <w:szCs w:val="18"/>
                <w:b w:val="1"/>
                <w:bCs w:val="1"/>
                <w:color w:val="auto"/>
              </w:rPr>
              <w:t>77002</w:t>
            </w:r>
          </w:p>
        </w:tc>
      </w:tr>
      <w:tr>
        <w:trPr>
          <w:trHeight w:val="230"/>
        </w:trPr>
        <w:tc>
          <w:tcPr>
            <w:tcW w:w="6780" w:type="dxa"/>
            <w:vAlign w:val="bottom"/>
            <w:gridSpan w:val="3"/>
          </w:tcPr>
          <w:p>
            <w:pPr>
              <w:jc w:val="center"/>
              <w:ind w:right="104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640" w:type="dxa"/>
            <w:vAlign w:val="bottom"/>
          </w:tcPr>
          <w:p>
            <w:pPr>
              <w:jc w:val="center"/>
              <w:ind w:right="970"/>
              <w:spacing w:after="0"/>
              <w:rPr>
                <w:sz w:val="20"/>
                <w:szCs w:val="20"/>
                <w:color w:val="auto"/>
              </w:rPr>
            </w:pPr>
            <w:r>
              <w:rPr>
                <w:rFonts w:ascii="Arial" w:cs="Arial" w:eastAsia="Arial" w:hAnsi="Arial"/>
                <w:sz w:val="18"/>
                <w:szCs w:val="18"/>
                <w:i w:val="1"/>
                <w:iCs w:val="1"/>
                <w:color w:val="auto"/>
                <w:w w:val="91"/>
              </w:rPr>
              <w:t>(Zip Code)</w:t>
            </w:r>
          </w:p>
        </w:tc>
      </w:tr>
      <w:tr>
        <w:trPr>
          <w:trHeight w:val="648"/>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780" w:type="dxa"/>
            <w:vAlign w:val="bottom"/>
            <w:gridSpan w:val="3"/>
          </w:tcPr>
          <w:p>
            <w:pPr>
              <w:jc w:val="center"/>
              <w:ind w:left="4570"/>
              <w:spacing w:after="0"/>
              <w:rPr>
                <w:sz w:val="20"/>
                <w:szCs w:val="20"/>
                <w:color w:val="auto"/>
              </w:rPr>
            </w:pPr>
            <w:r>
              <w:rPr>
                <w:rFonts w:ascii="Arial" w:cs="Arial" w:eastAsia="Arial" w:hAnsi="Arial"/>
                <w:sz w:val="18"/>
                <w:szCs w:val="18"/>
                <w:b w:val="1"/>
                <w:bCs w:val="1"/>
                <w:color w:val="auto"/>
                <w:w w:val="90"/>
              </w:rPr>
              <w:t>(713) 652-0582</w:t>
            </w:r>
          </w:p>
        </w:tc>
        <w:tc>
          <w:tcPr>
            <w:tcW w:w="4640" w:type="dxa"/>
            <w:vAlign w:val="bottom"/>
          </w:tcPr>
          <w:p>
            <w:pPr>
              <w:spacing w:after="0"/>
              <w:rPr>
                <w:sz w:val="24"/>
                <w:szCs w:val="24"/>
                <w:color w:val="auto"/>
              </w:rPr>
            </w:pP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Securities to be registered pursuant to Section 12(b) of the Act:</w:t>
            </w:r>
          </w:p>
        </w:tc>
      </w:tr>
      <w:tr>
        <w:trPr>
          <w:trHeight w:val="414"/>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4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 to be so Registered</w:t>
            </w: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426"/>
        </w:trPr>
        <w:tc>
          <w:tcPr>
            <w:tcW w:w="678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Common stock, par value $0.01 per share</w:t>
            </w:r>
          </w:p>
        </w:tc>
        <w:tc>
          <w:tcPr>
            <w:tcW w:w="4640" w:type="dxa"/>
            <w:vAlign w:val="bottom"/>
          </w:tcPr>
          <w:p>
            <w:pPr>
              <w:jc w:val="center"/>
              <w:ind w:right="870"/>
              <w:spacing w:after="0"/>
              <w:rPr>
                <w:sz w:val="20"/>
                <w:szCs w:val="20"/>
                <w:color w:val="auto"/>
              </w:rPr>
            </w:pPr>
            <w:r>
              <w:rPr>
                <w:rFonts w:ascii="Arial" w:cs="Arial" w:eastAsia="Arial" w:hAnsi="Arial"/>
                <w:sz w:val="18"/>
                <w:szCs w:val="18"/>
                <w:color w:val="auto"/>
                <w:w w:val="91"/>
              </w:rPr>
              <w:t>The New York Stock Exchange, Inc.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149" w:lineRule="exact"/>
        <w:rPr>
          <w:sz w:val="24"/>
          <w:szCs w:val="24"/>
          <w:color w:val="auto"/>
        </w:rPr>
      </w:pPr>
    </w:p>
    <w:p>
      <w:pPr>
        <w:ind w:left="520"/>
        <w:spacing w:after="0" w:line="207" w:lineRule="exact"/>
        <w:tabs>
          <w:tab w:leader="none" w:pos="3580" w:val="left"/>
          <w:tab w:leader="none" w:pos="6260" w:val="left"/>
          <w:tab w:leader="none" w:pos="8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the following Form 10 Registration Statement items is contained in the Information Statement sections that we identify below, each of which we incorporate in this report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“Risk Factors”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“Security Ownership of Certain Beneficial Owners and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“Management”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“Executive Compensation,” “Summary Compensation Table,” Grants of Plan Based Awards,” “Outstanding Equity Awards at 2013 Fiscal Year End,” “Options Exercised and Stock Vested,” “Nonqualified Deferred Compensation,” and “Potential Payments upon Termination or Change of Control” of the Information Statement. Those sections are incorporated herein by reference.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“Business—Legal Proceedings”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required by this item is contained under the sections “Description of Capital Stock.” That section is incorporated herein by reference.</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Stock—Limitation of Liability and Indemnification Matters” of the Information Statement. That section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“Index to Financial Statements, Supplementary Data and Schedules” beginning on page F-1 of the Information Statement. That section is incorporated herein by reference.</w:t>
      </w:r>
    </w:p>
    <w:p>
      <w:pPr>
        <w:spacing w:after="0" w:line="17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620" w:type="dxa"/>
            <w:vAlign w:val="bottom"/>
            <w:tcBorders>
              <w:bottom w:val="single" w:sz="8" w:color="auto"/>
            </w:tcBorders>
          </w:tcPr>
          <w:p>
            <w:pPr>
              <w:ind w:left="436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9840" w:type="dxa"/>
            <w:vAlign w:val="bottom"/>
            <w:gridSpan w:val="2"/>
          </w:tcPr>
          <w:p>
            <w:pPr>
              <w:ind w:left="220"/>
              <w:spacing w:after="0"/>
              <w:rPr>
                <w:sz w:val="20"/>
                <w:szCs w:val="20"/>
                <w:color w:val="auto"/>
              </w:rPr>
            </w:pPr>
            <w:r>
              <w:rPr>
                <w:rFonts w:ascii="Arial" w:cs="Arial" w:eastAsia="Arial" w:hAnsi="Arial"/>
                <w:sz w:val="18"/>
                <w:szCs w:val="18"/>
                <w:color w:val="auto"/>
              </w:rPr>
              <w:t>Form of Separation and Distribution Agreement between Oil States International, Inc. and Civeo Corporation</w:t>
            </w:r>
          </w:p>
        </w:tc>
        <w:tc>
          <w:tcPr>
            <w:tcW w:w="180" w:type="dxa"/>
            <w:vAlign w:val="bottom"/>
          </w:tcPr>
          <w:p>
            <w:pPr>
              <w:spacing w:after="0"/>
              <w:rPr>
                <w:sz w:val="24"/>
                <w:szCs w:val="24"/>
                <w:color w:val="auto"/>
              </w:rPr>
            </w:pPr>
          </w:p>
        </w:tc>
      </w:tr>
      <w:tr>
        <w:trPr>
          <w:trHeight w:val="834"/>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1"/>
        </w:trPr>
        <w:tc>
          <w:tcPr>
            <w:tcW w:w="3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640" w:type="dxa"/>
            <w:vAlign w:val="bottom"/>
            <w:tcBorders>
              <w:bottom w:val="single" w:sz="8" w:color="auto"/>
            </w:tcBorders>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Amended and Restated Certificate of Incorporation of Civeo Corporation</w:t>
            </w:r>
          </w:p>
        </w:tc>
      </w:tr>
      <w:tr>
        <w:trPr>
          <w:trHeight w:val="432"/>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Amended and Restated Bylaws of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10.1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Transition Services Agreement between Oil States International, Inc. and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10.2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Tax Sharing Agreement between Oil States International, Inc. and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10.3</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Employee Matters Agreement between Oil States International, Inc. and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Indemnification and Release Agreement between Oil States International, Inc. and Civeo Corporation</w:t>
            </w:r>
          </w:p>
        </w:tc>
      </w:tr>
      <w:tr>
        <w:trPr>
          <w:trHeight w:val="432"/>
        </w:trPr>
        <w:tc>
          <w:tcPr>
            <w:tcW w:w="1100" w:type="dxa"/>
            <w:vAlign w:val="bottom"/>
          </w:tcPr>
          <w:p>
            <w:pPr>
              <w:jc w:val="right"/>
              <w:ind w:right="370"/>
              <w:spacing w:after="0"/>
              <w:rPr>
                <w:sz w:val="20"/>
                <w:szCs w:val="20"/>
                <w:color w:val="auto"/>
              </w:rPr>
            </w:pPr>
            <w:r>
              <w:rPr>
                <w:rFonts w:ascii="Arial" w:cs="Arial" w:eastAsia="Arial" w:hAnsi="Arial"/>
                <w:sz w:val="18"/>
                <w:szCs w:val="18"/>
                <w:color w:val="auto"/>
              </w:rPr>
              <w:t>10.5*</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Credit Agreement of Civeo Corporation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2014 Equity Participation Plan of Civeo Corporation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10.7+</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Civeo Corporation Annual Incentive Compensation Plan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10.8+</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Canadian Long-Term Incentive Plan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Employee Non Qualified Stock Option Agreement under the 2014 Equity Participation Plan of Civeo Corporation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10.10+</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Restricted Stock Agreement under the 2014 Equity Participation Plan of Civeo Corporation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Non-Employee Director Restricted Stock Agreement</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10.12+</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Deferred Stock Agreement (Australia)</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10.13+</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Deferred Stock Agreement (Canada)</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10.14+</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Executive Agreement of Bradley J. Dodson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10.15+</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Executive Agreement of Ron R. Green</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10.16+</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Consulting Agreement of Frank Steininger</w:t>
            </w:r>
          </w:p>
        </w:tc>
      </w:tr>
      <w:tr>
        <w:trPr>
          <w:trHeight w:val="432"/>
        </w:trPr>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10.17+</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21.1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List of Subsidiaries of Civeo Corporation</w:t>
            </w:r>
          </w:p>
        </w:tc>
      </w:tr>
      <w:tr>
        <w:trPr>
          <w:trHeight w:val="432"/>
        </w:trPr>
        <w:tc>
          <w:tcPr>
            <w:tcW w:w="11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9860" w:type="dxa"/>
            <w:vAlign w:val="bottom"/>
            <w:gridSpan w:val="2"/>
          </w:tcPr>
          <w:p>
            <w:pPr>
              <w:ind w:left="220"/>
              <w:spacing w:after="0"/>
              <w:rPr>
                <w:sz w:val="20"/>
                <w:szCs w:val="20"/>
                <w:color w:val="auto"/>
              </w:rPr>
            </w:pPr>
            <w:r>
              <w:rPr>
                <w:rFonts w:ascii="Arial" w:cs="Arial" w:eastAsia="Arial" w:hAnsi="Arial"/>
                <w:sz w:val="18"/>
                <w:szCs w:val="18"/>
                <w:color w:val="auto"/>
              </w:rPr>
              <w:t>Information Statement, preliminary and subject to completion, dated April 22,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940" w:firstLine="8"/>
        <w:spacing w:after="0" w:line="291" w:lineRule="auto"/>
        <w:tabs>
          <w:tab w:leader="none" w:pos="3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rPr>
          <w:rFonts w:ascii="Arial" w:cs="Arial" w:eastAsia="Arial" w:hAnsi="Arial"/>
          <w:sz w:val="16"/>
          <w:szCs w:val="16"/>
          <w:color w:val="auto"/>
        </w:rPr>
      </w:pPr>
      <w:r>
        <w:rPr>
          <w:rFonts w:ascii="Arial" w:cs="Arial" w:eastAsia="Arial" w:hAnsi="Arial"/>
          <w:sz w:val="18"/>
          <w:szCs w:val="18"/>
          <w:color w:val="auto"/>
        </w:rPr>
        <w:t>+   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580" w:right="4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Bradley J. Dodson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April 22, 2014</w:t>
      </w:r>
    </w:p>
    <w:p>
      <w:pPr>
        <w:sectPr>
          <w:pgSz w:w="11900" w:h="16838" w:orient="portrait"/>
          <w:cols w:equalWidth="0" w:num="1">
            <w:col w:w="11320"/>
          </w:cols>
          <w:pgMar w:left="240" w:top="58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OIL STATES INTERNATIONAL,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ind w:left="3540"/>
        <w:spacing w:after="0"/>
        <w:tabs>
          <w:tab w:leader="none" w:pos="5020" w:val="left"/>
        </w:tabs>
        <w:rPr>
          <w:sz w:val="20"/>
          <w:szCs w:val="20"/>
          <w:color w:val="auto"/>
        </w:rPr>
      </w:pPr>
      <w:r>
        <w:rPr>
          <w:rFonts w:ascii="Arial" w:cs="Arial" w:eastAsia="Arial" w:hAnsi="Arial"/>
          <w:sz w:val="18"/>
          <w:szCs w:val="18"/>
          <w:b w:val="1"/>
          <w:bCs w:val="1"/>
          <w:color w:val="auto"/>
        </w:rPr>
        <w:t>DATED AS OF</w:t>
      </w:r>
      <w:r>
        <w:rPr>
          <w:sz w:val="20"/>
          <w:szCs w:val="20"/>
          <w:color w:val="auto"/>
        </w:rPr>
        <w:tab/>
      </w:r>
      <w:r>
        <w:rPr>
          <w:rFonts w:ascii="Arial" w:cs="Arial" w:eastAsia="Arial" w:hAnsi="Arial"/>
          <w:sz w:val="15"/>
          <w:szCs w:val="15"/>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1027430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60" w:type="dxa"/>
            <w:vAlign w:val="bottom"/>
          </w:tcPr>
          <w:p>
            <w:pPr>
              <w:jc w:val="center"/>
              <w:ind w:left="97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60" w:type="dxa"/>
            <w:vAlign w:val="bottom"/>
          </w:tcPr>
          <w:p>
            <w:pPr>
              <w:jc w:val="center"/>
              <w:ind w:left="970"/>
              <w:spacing w:after="0"/>
              <w:rPr>
                <w:sz w:val="20"/>
                <w:szCs w:val="20"/>
                <w:color w:val="auto"/>
              </w:rPr>
            </w:pPr>
            <w:r>
              <w:rPr>
                <w:rFonts w:ascii="Arial" w:cs="Arial" w:eastAsia="Arial" w:hAnsi="Arial"/>
                <w:sz w:val="18"/>
                <w:szCs w:val="18"/>
                <w:b w:val="1"/>
                <w:bCs w:val="1"/>
                <w:color w:val="auto"/>
              </w:rPr>
              <w:t>ARTICLE II</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w w:val="99"/>
              </w:rPr>
              <w:t>THE SEPARATION</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 of Assets and Assumption of Liabilities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2.2</w:t>
            </w:r>
          </w:p>
        </w:tc>
        <w:tc>
          <w:tcPr>
            <w:tcW w:w="9060" w:type="dxa"/>
            <w:vAlign w:val="bottom"/>
          </w:tcPr>
          <w:p>
            <w:pPr>
              <w:ind w:left="320"/>
              <w:spacing w:after="0"/>
              <w:rPr>
                <w:sz w:val="20"/>
                <w:szCs w:val="20"/>
                <w:color w:val="auto"/>
              </w:rPr>
            </w:pPr>
            <w:r>
              <w:rPr>
                <w:rFonts w:ascii="Arial" w:cs="Arial" w:eastAsia="Arial" w:hAnsi="Arial"/>
                <w:sz w:val="18"/>
                <w:szCs w:val="18"/>
                <w:color w:val="auto"/>
              </w:rPr>
              <w:t>Civeo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Civeo Liabilities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2.4</w:t>
            </w:r>
          </w:p>
        </w:tc>
        <w:tc>
          <w:tcPr>
            <w:tcW w:w="9060" w:type="dxa"/>
            <w:vAlign w:val="bottom"/>
          </w:tcPr>
          <w:p>
            <w:pPr>
              <w:ind w:left="320"/>
              <w:spacing w:after="0"/>
              <w:rPr>
                <w:sz w:val="20"/>
                <w:szCs w:val="20"/>
                <w:color w:val="auto"/>
              </w:rPr>
            </w:pPr>
            <w:r>
              <w:rPr>
                <w:rFonts w:ascii="Arial" w:cs="Arial" w:eastAsia="Arial" w:hAnsi="Arial"/>
                <w:sz w:val="18"/>
                <w:szCs w:val="18"/>
                <w:color w:val="auto"/>
              </w:rPr>
              <w:t>Transfer of Excluded Assets; Assumption of Excluded Liabilities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Approvals and Notifications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2.6</w:t>
            </w:r>
          </w:p>
        </w:tc>
        <w:tc>
          <w:tcPr>
            <w:tcW w:w="9060" w:type="dxa"/>
            <w:vAlign w:val="bottom"/>
          </w:tcPr>
          <w:p>
            <w:pPr>
              <w:ind w:left="320"/>
              <w:spacing w:after="0"/>
              <w:rPr>
                <w:sz w:val="20"/>
                <w:szCs w:val="20"/>
                <w:color w:val="auto"/>
              </w:rPr>
            </w:pPr>
            <w:r>
              <w:rPr>
                <w:rFonts w:ascii="Arial" w:cs="Arial" w:eastAsia="Arial" w:hAnsi="Arial"/>
                <w:sz w:val="18"/>
                <w:szCs w:val="18"/>
                <w:color w:val="auto"/>
              </w:rPr>
              <w:t>Novation of Civeo Liabilities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Novation of Excluded Liabilities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2.8</w:t>
            </w:r>
          </w:p>
        </w:tc>
        <w:tc>
          <w:tcPr>
            <w:tcW w:w="9060" w:type="dxa"/>
            <w:vAlign w:val="bottom"/>
          </w:tcPr>
          <w:p>
            <w:pPr>
              <w:ind w:left="320"/>
              <w:spacing w:after="0"/>
              <w:rPr>
                <w:sz w:val="20"/>
                <w:szCs w:val="20"/>
                <w:color w:val="auto"/>
              </w:rPr>
            </w:pPr>
            <w:r>
              <w:rPr>
                <w:rFonts w:ascii="Arial" w:cs="Arial" w:eastAsia="Arial" w:hAnsi="Arial"/>
                <w:sz w:val="18"/>
                <w:szCs w:val="18"/>
                <w:color w:val="auto"/>
              </w:rPr>
              <w:t>Termination of Agreements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Treatment of Shared Contracts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2.10</w:t>
            </w:r>
          </w:p>
        </w:tc>
        <w:tc>
          <w:tcPr>
            <w:tcW w:w="9060" w:type="dxa"/>
            <w:vAlign w:val="bottom"/>
          </w:tcPr>
          <w:p>
            <w:pPr>
              <w:ind w:left="320"/>
              <w:spacing w:after="0"/>
              <w:rPr>
                <w:sz w:val="20"/>
                <w:szCs w:val="20"/>
                <w:color w:val="auto"/>
              </w:rPr>
            </w:pPr>
            <w:r>
              <w:rPr>
                <w:rFonts w:ascii="Arial" w:cs="Arial" w:eastAsia="Arial" w:hAnsi="Arial"/>
                <w:sz w:val="18"/>
                <w:szCs w:val="18"/>
                <w:color w:val="auto"/>
              </w:rPr>
              <w:t>Bank Accounts; Cash Balances</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Ancillary Agreements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2.12</w:t>
            </w:r>
          </w:p>
        </w:tc>
        <w:tc>
          <w:tcPr>
            <w:tcW w:w="9060" w:type="dxa"/>
            <w:vAlign w:val="bottom"/>
          </w:tcPr>
          <w:p>
            <w:pPr>
              <w:ind w:left="320"/>
              <w:spacing w:after="0"/>
              <w:rPr>
                <w:sz w:val="20"/>
                <w:szCs w:val="20"/>
                <w:color w:val="auto"/>
              </w:rPr>
            </w:pPr>
            <w:r>
              <w:rPr>
                <w:rFonts w:ascii="Arial" w:cs="Arial" w:eastAsia="Arial" w:hAnsi="Arial"/>
                <w:sz w:val="18"/>
                <w:szCs w:val="18"/>
                <w:color w:val="auto"/>
              </w:rPr>
              <w:t>Disclaimer of Representations and Warranties</w:t>
            </w: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Civeo Financing Arrangements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2.14</w:t>
            </w:r>
          </w:p>
        </w:tc>
        <w:tc>
          <w:tcPr>
            <w:tcW w:w="9060" w:type="dxa"/>
            <w:vAlign w:val="bottom"/>
          </w:tcPr>
          <w:p>
            <w:pPr>
              <w:ind w:left="320"/>
              <w:spacing w:after="0"/>
              <w:rPr>
                <w:sz w:val="20"/>
                <w:szCs w:val="20"/>
                <w:color w:val="auto"/>
              </w:rPr>
            </w:pPr>
            <w:r>
              <w:rPr>
                <w:rFonts w:ascii="Arial" w:cs="Arial" w:eastAsia="Arial" w:hAnsi="Arial"/>
                <w:sz w:val="18"/>
                <w:szCs w:val="18"/>
                <w:color w:val="auto"/>
              </w:rPr>
              <w:t>Financial Information Certifications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rPr>
              <w:t>ARTICLE III</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60" w:type="dxa"/>
            <w:vAlign w:val="bottom"/>
          </w:tcPr>
          <w:p>
            <w:pPr>
              <w:jc w:val="center"/>
              <w:ind w:left="970"/>
              <w:spacing w:after="0"/>
              <w:rPr>
                <w:sz w:val="20"/>
                <w:szCs w:val="20"/>
                <w:color w:val="auto"/>
              </w:rPr>
            </w:pPr>
            <w:r>
              <w:rPr>
                <w:rFonts w:ascii="Arial" w:cs="Arial" w:eastAsia="Arial" w:hAnsi="Arial"/>
                <w:sz w:val="18"/>
                <w:szCs w:val="18"/>
                <w:b w:val="1"/>
                <w:bCs w:val="1"/>
                <w:color w:val="auto"/>
              </w:rPr>
              <w:t>THE DISTRIBUTION</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Distribution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3.2</w:t>
            </w:r>
          </w:p>
        </w:tc>
        <w:tc>
          <w:tcPr>
            <w:tcW w:w="9060" w:type="dxa"/>
            <w:vAlign w:val="bottom"/>
          </w:tcPr>
          <w:p>
            <w:pPr>
              <w:ind w:left="320"/>
              <w:spacing w:after="0"/>
              <w:rPr>
                <w:sz w:val="20"/>
                <w:szCs w:val="20"/>
                <w:color w:val="auto"/>
              </w:rPr>
            </w:pPr>
            <w:r>
              <w:rPr>
                <w:rFonts w:ascii="Arial" w:cs="Arial" w:eastAsia="Arial" w:hAnsi="Arial"/>
                <w:sz w:val="18"/>
                <w:szCs w:val="18"/>
                <w:color w:val="auto"/>
              </w:rPr>
              <w:t>Actions Prior to the Distribution</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Conditions to Distribution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3.4</w:t>
            </w:r>
          </w:p>
        </w:tc>
        <w:tc>
          <w:tcPr>
            <w:tcW w:w="9060" w:type="dxa"/>
            <w:vAlign w:val="bottom"/>
          </w:tcPr>
          <w:p>
            <w:pPr>
              <w:ind w:left="320"/>
              <w:spacing w:after="0"/>
              <w:rPr>
                <w:sz w:val="20"/>
                <w:szCs w:val="20"/>
                <w:color w:val="auto"/>
              </w:rPr>
            </w:pPr>
            <w:r>
              <w:rPr>
                <w:rFonts w:ascii="Arial" w:cs="Arial" w:eastAsia="Arial" w:hAnsi="Arial"/>
                <w:sz w:val="18"/>
                <w:szCs w:val="18"/>
                <w:color w:val="auto"/>
              </w:rPr>
              <w:t>Certain Stockholder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rPr>
              <w:t>ARTICLE IV</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rPr>
              <w:t>DISPUTE RESOLUTION</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Provisions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rPr>
              <w:t>ARTICLE V</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60" w:type="dxa"/>
            <w:vAlign w:val="bottom"/>
          </w:tcPr>
          <w:p>
            <w:pPr>
              <w:jc w:val="center"/>
              <w:ind w:left="950"/>
              <w:spacing w:after="0"/>
              <w:rPr>
                <w:sz w:val="20"/>
                <w:szCs w:val="20"/>
                <w:color w:val="auto"/>
              </w:rPr>
            </w:pPr>
            <w:r>
              <w:rPr>
                <w:rFonts w:ascii="Arial" w:cs="Arial" w:eastAsia="Arial" w:hAnsi="Arial"/>
                <w:sz w:val="18"/>
                <w:szCs w:val="18"/>
                <w:b w:val="1"/>
                <w:bCs w:val="1"/>
                <w:color w:val="auto"/>
                <w:w w:val="99"/>
              </w:rPr>
              <w:t>FURTHER ASSURANCES AND ADDITIONAL COVENANTS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Further Assurances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5.2</w:t>
            </w:r>
          </w:p>
        </w:tc>
        <w:tc>
          <w:tcPr>
            <w:tcW w:w="9060" w:type="dxa"/>
            <w:vAlign w:val="bottom"/>
          </w:tcPr>
          <w:p>
            <w:pPr>
              <w:ind w:left="320"/>
              <w:spacing w:after="0"/>
              <w:rPr>
                <w:sz w:val="20"/>
                <w:szCs w:val="20"/>
                <w:color w:val="auto"/>
              </w:rPr>
            </w:pPr>
            <w:r>
              <w:rPr>
                <w:rFonts w:ascii="Arial" w:cs="Arial" w:eastAsia="Arial" w:hAnsi="Arial"/>
                <w:sz w:val="18"/>
                <w:szCs w:val="18"/>
                <w:color w:val="auto"/>
              </w:rPr>
              <w:t>Performance</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Oil States Guarantees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5.4</w:t>
            </w:r>
          </w:p>
        </w:tc>
        <w:tc>
          <w:tcPr>
            <w:tcW w:w="9060" w:type="dxa"/>
            <w:vAlign w:val="bottom"/>
          </w:tcPr>
          <w:p>
            <w:pPr>
              <w:ind w:left="320"/>
              <w:spacing w:after="0"/>
              <w:rPr>
                <w:sz w:val="20"/>
                <w:szCs w:val="20"/>
                <w:color w:val="auto"/>
              </w:rPr>
            </w:pPr>
            <w:r>
              <w:rPr>
                <w:rFonts w:ascii="Arial" w:cs="Arial" w:eastAsia="Arial" w:hAnsi="Arial"/>
                <w:sz w:val="18"/>
                <w:szCs w:val="18"/>
                <w:color w:val="auto"/>
              </w:rPr>
              <w:t>Third-Party Agreements</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Matters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5.6</w:t>
            </w:r>
          </w:p>
        </w:tc>
        <w:tc>
          <w:tcPr>
            <w:tcW w:w="9060" w:type="dxa"/>
            <w:vAlign w:val="bottom"/>
          </w:tcPr>
          <w:p>
            <w:pPr>
              <w:ind w:left="320"/>
              <w:spacing w:after="0"/>
              <w:rPr>
                <w:sz w:val="20"/>
                <w:szCs w:val="20"/>
                <w:color w:val="auto"/>
              </w:rPr>
            </w:pPr>
            <w:r>
              <w:rPr>
                <w:rFonts w:ascii="Arial" w:cs="Arial" w:eastAsia="Arial" w:hAnsi="Arial"/>
                <w:sz w:val="18"/>
                <w:szCs w:val="18"/>
                <w:color w:val="auto"/>
              </w:rPr>
              <w:t>Indemnification Matters</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9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Matters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68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ARTICLE VI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80" w:type="dxa"/>
            <w:vAlign w:val="bottom"/>
            <w:gridSpan w:val="2"/>
          </w:tcPr>
          <w:p>
            <w:pPr>
              <w:jc w:val="center"/>
              <w:ind w:right="4760"/>
              <w:spacing w:after="0"/>
              <w:rPr>
                <w:sz w:val="20"/>
                <w:szCs w:val="20"/>
                <w:color w:val="auto"/>
              </w:rPr>
            </w:pPr>
            <w:r>
              <w:rPr>
                <w:rFonts w:ascii="Arial" w:cs="Arial" w:eastAsia="Arial" w:hAnsi="Arial"/>
                <w:sz w:val="18"/>
                <w:szCs w:val="18"/>
                <w:b w:val="1"/>
                <w:bCs w:val="1"/>
                <w:color w:val="auto"/>
              </w:rPr>
              <w:t>TERMINATION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ARTICLE VII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68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rPr>
              <w:t>MISCELLANEOUS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Counterparts; Entire Agreement; Corporate Power</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7.2</w:t>
            </w:r>
          </w:p>
        </w:tc>
        <w:tc>
          <w:tcPr>
            <w:tcW w:w="41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66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Assignability</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7.4</w:t>
            </w:r>
          </w:p>
        </w:tc>
        <w:tc>
          <w:tcPr>
            <w:tcW w:w="4100" w:type="dxa"/>
            <w:vAlign w:val="bottom"/>
          </w:tcPr>
          <w:p>
            <w:pPr>
              <w:ind w:left="320"/>
              <w:spacing w:after="0"/>
              <w:rPr>
                <w:sz w:val="20"/>
                <w:szCs w:val="20"/>
                <w:color w:val="auto"/>
              </w:rPr>
            </w:pPr>
            <w:r>
              <w:rPr>
                <w:rFonts w:ascii="Arial" w:cs="Arial" w:eastAsia="Arial" w:hAnsi="Arial"/>
                <w:sz w:val="18"/>
                <w:szCs w:val="18"/>
                <w:color w:val="auto"/>
              </w:rPr>
              <w:t>Third-Party Beneficiaries</w:t>
            </w:r>
          </w:p>
        </w:tc>
        <w:tc>
          <w:tcPr>
            <w:tcW w:w="66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7.6</w:t>
            </w:r>
          </w:p>
        </w:tc>
        <w:tc>
          <w:tcPr>
            <w:tcW w:w="41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Force Majeure</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7.8</w:t>
            </w:r>
          </w:p>
        </w:tc>
        <w:tc>
          <w:tcPr>
            <w:tcW w:w="4100" w:type="dxa"/>
            <w:vAlign w:val="bottom"/>
          </w:tcPr>
          <w:p>
            <w:pPr>
              <w:ind w:left="320"/>
              <w:spacing w:after="0"/>
              <w:rPr>
                <w:sz w:val="20"/>
                <w:szCs w:val="20"/>
                <w:color w:val="auto"/>
              </w:rPr>
            </w:pPr>
            <w:r>
              <w:rPr>
                <w:rFonts w:ascii="Arial" w:cs="Arial" w:eastAsia="Arial" w:hAnsi="Arial"/>
                <w:sz w:val="18"/>
                <w:szCs w:val="18"/>
                <w:color w:val="auto"/>
              </w:rPr>
              <w:t>Publicity</w:t>
            </w:r>
          </w:p>
        </w:tc>
        <w:tc>
          <w:tcPr>
            <w:tcW w:w="6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7.10</w:t>
            </w:r>
          </w:p>
        </w:tc>
        <w:tc>
          <w:tcPr>
            <w:tcW w:w="4100" w:type="dxa"/>
            <w:vAlign w:val="bottom"/>
          </w:tcPr>
          <w:p>
            <w:pPr>
              <w:ind w:left="320"/>
              <w:spacing w:after="0"/>
              <w:rPr>
                <w:sz w:val="20"/>
                <w:szCs w:val="20"/>
                <w:color w:val="auto"/>
              </w:rPr>
            </w:pPr>
            <w:r>
              <w:rPr>
                <w:rFonts w:ascii="Arial" w:cs="Arial" w:eastAsia="Arial" w:hAnsi="Arial"/>
                <w:sz w:val="18"/>
                <w:szCs w:val="18"/>
                <w:color w:val="auto"/>
              </w:rPr>
              <w:t>Late Payments</w:t>
            </w:r>
          </w:p>
        </w:tc>
        <w:tc>
          <w:tcPr>
            <w:tcW w:w="6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7.12</w:t>
            </w:r>
          </w:p>
        </w:tc>
        <w:tc>
          <w:tcPr>
            <w:tcW w:w="4100" w:type="dxa"/>
            <w:vAlign w:val="bottom"/>
          </w:tcPr>
          <w:p>
            <w:pPr>
              <w:ind w:left="320"/>
              <w:spacing w:after="0"/>
              <w:rPr>
                <w:sz w:val="20"/>
                <w:szCs w:val="20"/>
                <w:color w:val="auto"/>
              </w:rPr>
            </w:pPr>
            <w:r>
              <w:rPr>
                <w:rFonts w:ascii="Arial" w:cs="Arial" w:eastAsia="Arial" w:hAnsi="Arial"/>
                <w:sz w:val="18"/>
                <w:szCs w:val="18"/>
                <w:color w:val="auto"/>
              </w:rPr>
              <w:t>Survival of Covenants</w:t>
            </w:r>
          </w:p>
        </w:tc>
        <w:tc>
          <w:tcPr>
            <w:tcW w:w="6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7.13</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Waivers of Default</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7.14</w:t>
            </w:r>
          </w:p>
        </w:tc>
        <w:tc>
          <w:tcPr>
            <w:tcW w:w="410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6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7.15</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7.16</w:t>
            </w:r>
          </w:p>
        </w:tc>
        <w:tc>
          <w:tcPr>
            <w:tcW w:w="410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6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7.17</w:t>
            </w: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Relationship of the Parties</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7.18</w:t>
            </w:r>
          </w:p>
        </w:tc>
        <w:tc>
          <w:tcPr>
            <w:tcW w:w="4100" w:type="dxa"/>
            <w:vAlign w:val="bottom"/>
          </w:tcPr>
          <w:p>
            <w:pPr>
              <w:ind w:left="320"/>
              <w:spacing w:after="0"/>
              <w:rPr>
                <w:sz w:val="20"/>
                <w:szCs w:val="20"/>
                <w:color w:val="auto"/>
              </w:rPr>
            </w:pPr>
            <w:r>
              <w:rPr>
                <w:rFonts w:ascii="Arial" w:cs="Arial" w:eastAsia="Arial" w:hAnsi="Arial"/>
                <w:sz w:val="18"/>
                <w:szCs w:val="18"/>
                <w:color w:val="auto"/>
              </w:rPr>
              <w:t>Limitations of Liability</w:t>
            </w:r>
          </w:p>
        </w:tc>
        <w:tc>
          <w:tcPr>
            <w:tcW w:w="66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A – Restructuring Steps Memorandum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1.1A – Excluded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1.1B – Civeo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1.1C – Registrable 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1.1D – Specified General Marine Leasing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2.2(a)(i) – Civeo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2.2(a)(ii)(B) –Transferred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2.3(a)(ii) – Civeo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2.8(b)(ii) – Retained Intercompany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2.9(a) – Shared Contracts</w:t>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25" w:lineRule="exact"/>
        <w:rPr>
          <w:sz w:val="20"/>
          <w:szCs w:val="20"/>
          <w:color w:val="auto"/>
        </w:rPr>
      </w:pPr>
    </w:p>
    <w:p>
      <w:pPr>
        <w:ind w:left="660"/>
        <w:spacing w:after="0"/>
        <w:tabs>
          <w:tab w:leader="none" w:pos="868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SEPARATION AND DISTRIBUTION AGREEMENT</w:t>
      </w:r>
      <w:r>
        <w:rPr>
          <w:rFonts w:ascii="Arial" w:cs="Arial" w:eastAsia="Arial" w:hAnsi="Arial"/>
          <w:sz w:val="18"/>
          <w:szCs w:val="18"/>
          <w:color w:val="auto"/>
        </w:rPr>
        <w:t>, made and entered into effective as of</w:t>
      </w:r>
      <w:r>
        <w:rPr>
          <w:sz w:val="20"/>
          <w:szCs w:val="20"/>
          <w:color w:val="auto"/>
        </w:rPr>
        <w:tab/>
      </w:r>
      <w:r>
        <w:rPr>
          <w:rFonts w:ascii="Arial" w:cs="Arial" w:eastAsia="Arial" w:hAnsi="Arial"/>
          <w:sz w:val="16"/>
          <w:szCs w:val="16"/>
          <w:color w:val="auto"/>
        </w:rPr>
        <w:t>, 2014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between 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and Civeo Corporation, a Delaware corporation and wholly owned subsidiary of Oil States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xml:space="preserve">”). Capitalized terms used herein and not otherwise defined have the respective meanings assigned to them in </w:t>
      </w:r>
      <w:r>
        <w:rPr>
          <w:rFonts w:ascii="Arial" w:cs="Arial" w:eastAsia="Arial" w:hAnsi="Arial"/>
          <w:sz w:val="17"/>
          <w:szCs w:val="17"/>
          <w:u w:val="single" w:color="auto"/>
          <w:color w:val="auto"/>
        </w:rPr>
        <w:t>Article I</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is in the best interests of Oil States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create a new publicly traded company that shall operate the Civeo Business;</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Civeo has been incorporated for this purpose and has not engaged in activities except in preparation for its corporate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activities with respect to the Civeo Financing Arrangements) and the distribution of all of its issued and outstanding shares of common stock;</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foregoing, the Oil States Board has determined that it is appropriate and desirable for Oil States and its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transfer the Civeo Assets to Civeo and certain entities designated by Civeo that will be Subsidiaries of Civeo as of the Distribution Date (any such entities, the “</w:t>
      </w:r>
      <w:r>
        <w:rPr>
          <w:rFonts w:ascii="Arial" w:cs="Arial" w:eastAsia="Arial" w:hAnsi="Arial"/>
          <w:sz w:val="18"/>
          <w:szCs w:val="18"/>
          <w:b w:val="1"/>
          <w:bCs w:val="1"/>
          <w:i w:val="1"/>
          <w:iCs w:val="1"/>
          <w:color w:val="auto"/>
        </w:rPr>
        <w:t>Civeo Designees</w:t>
      </w:r>
      <w:r>
        <w:rPr>
          <w:rFonts w:ascii="Arial" w:cs="Arial" w:eastAsia="Arial" w:hAnsi="Arial"/>
          <w:sz w:val="18"/>
          <w:szCs w:val="18"/>
          <w:color w:val="auto"/>
        </w:rPr>
        <w:t>”), and for Civeo and the Civeo Designees to assume the Civeo Liabilities, in each case as more fully described in this Agreement and the Ancillary Agreements (the “</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currently intends that, on the Distribution Date, Oil States shall distribute to holders of shares of Oil States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holders of unvested Oil States RSAs), through a spin-off, all of the outstanding shares of Civeo Common Stock, as more fully described in this Agreement and the Ancillary Agreements (the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the Contribution and the Distribution, if effected, taken together, are intended to qualify as a tax-free transaction under Sections 355 and 368(a)(1)(D)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intended to be, and is hereby adopted as, a “plan of reorganization” within the meaning of Treas. Reg. 1.368-2(g);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appropriate and desirable to set forth the principal corporate transactions required to effect the Separation and the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agreements that will govern certain matters relating to the Separation and the Distribution and the relationship of Oil States, Civeo and their respective Subsidiaries, following the Distribution.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provisions and covenants contained in this Agreement, the parties,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Agreement, the following terms have the following meanings: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Accommodations Business</w:t>
      </w:r>
      <w:r>
        <w:rPr>
          <w:rFonts w:ascii="Arial" w:cs="Arial" w:eastAsia="Arial" w:hAnsi="Arial"/>
          <w:sz w:val="17"/>
          <w:szCs w:val="17"/>
          <w:color w:val="auto"/>
        </w:rPr>
        <w:t>” means the accommodations segment of Oil States as described in Oil States’ Annual Report on Form 10-K for the period ended December 31, 2013, which business provides integrated accommodations services for people working in remote locations.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means any demand, action, claim, dispute, suit, countersuit, arbitration, formal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when used with respect to a specified Person,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For the avoidance of doubt, after the Distribution, the members of the Oil States Group and the members of the Civeo Group shall not be deemed to be under common control for purposes hereof due solely to the fact that Oil States and Civeo have common shareholders.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Computershare Trust Company, N.A., the distribution agent appointed by Oil States to distribute to the stockholders of Oil States all of the outstanding shares of Civeo Common Stock pursuant to the Distribution.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 means the Employee Matters Agreement, the Indemnification and Release Agreement, the Transition Services Agreement, the Tax Sharing Agreement and the Transfer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Approvals or Notifications</w:t>
      </w:r>
      <w:r>
        <w:rPr>
          <w:rFonts w:ascii="Arial" w:cs="Arial" w:eastAsia="Arial" w:hAnsi="Arial"/>
          <w:sz w:val="18"/>
          <w:szCs w:val="18"/>
          <w:color w:val="auto"/>
        </w:rPr>
        <w:t>” means any consents, waivers, approvals, permits or authorizations to be obtained from, notices, registrations or reports to be submitted to, or other filings to be made with, any third Person, including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means, with respect to any Person, the assets, properties, claims and rights (including goodwill) of such Person, wherever located (including in the possession of vendors or other third Persons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the following: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ind w:firstLine="1305"/>
        <w:spacing w:after="0" w:line="277" w:lineRule="auto"/>
        <w:tabs>
          <w:tab w:leader="none" w:pos="187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accounting and other books, records and files whether in paper, microfilm, microfiche, computer tape or disc, magnetic tape, electronic or any other form;</w:t>
      </w:r>
    </w:p>
    <w:p>
      <w:pPr>
        <w:spacing w:after="0" w:line="170" w:lineRule="exact"/>
        <w:rPr>
          <w:rFonts w:ascii="Arial" w:cs="Arial" w:eastAsia="Arial" w:hAnsi="Arial"/>
          <w:sz w:val="18"/>
          <w:szCs w:val="18"/>
          <w:color w:val="auto"/>
        </w:rPr>
      </w:pPr>
    </w:p>
    <w:p>
      <w:pPr>
        <w:ind w:firstLine="1305"/>
        <w:spacing w:after="0" w:line="342" w:lineRule="auto"/>
        <w:tabs>
          <w:tab w:leader="none" w:pos="1889"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apparatus, computers and other electronic data processing and communications equipment, fixtures, machinery, equipment, furniture, office equipment, automobiles, trucks, vessels, motor vehicles and other transportation equipment and other tangible personal property;</w:t>
      </w:r>
    </w:p>
    <w:p>
      <w:pPr>
        <w:spacing w:after="0" w:line="123" w:lineRule="exact"/>
        <w:rPr>
          <w:rFonts w:ascii="Arial" w:cs="Arial" w:eastAsia="Arial" w:hAnsi="Arial"/>
          <w:sz w:val="16"/>
          <w:szCs w:val="16"/>
          <w:color w:val="auto"/>
        </w:rPr>
      </w:pPr>
    </w:p>
    <w:p>
      <w:pPr>
        <w:ind w:left="1720" w:hanging="415"/>
        <w:spacing w:after="0"/>
        <w:tabs>
          <w:tab w:leader="none" w:pos="1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inventories of materials, parts, raw materials, components, supplies, works-in-process and finished goods and products;</w:t>
      </w:r>
    </w:p>
    <w:p>
      <w:pPr>
        <w:spacing w:after="0" w:line="236" w:lineRule="exact"/>
        <w:rPr>
          <w:rFonts w:ascii="Arial" w:cs="Arial" w:eastAsia="Arial" w:hAnsi="Arial"/>
          <w:sz w:val="17"/>
          <w:szCs w:val="17"/>
          <w:color w:val="auto"/>
        </w:rPr>
      </w:pPr>
    </w:p>
    <w:p>
      <w:pPr>
        <w:ind w:firstLine="1305"/>
        <w:spacing w:after="0" w:line="277" w:lineRule="auto"/>
        <w:tabs>
          <w:tab w:leader="none" w:pos="17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interests in real property of whatever nature, including easements, whether as owner, mortgagee or holder of a Security Interest in real property, lessor, sublessor, lessee, sublessee or otherwise;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11" w:val="left"/>
        </w:tabs>
        <w:numPr>
          <w:ilvl w:val="0"/>
          <w:numId w:val="4"/>
        </w:numPr>
        <w:rPr>
          <w:rFonts w:ascii="Arial" w:cs="Arial" w:eastAsia="Arial" w:hAnsi="Arial"/>
          <w:sz w:val="18"/>
          <w:szCs w:val="18"/>
          <w:color w:val="auto"/>
        </w:rPr>
      </w:pPr>
      <w:r>
        <w:rPr>
          <w:rFonts w:ascii="Arial" w:cs="Arial" w:eastAsia="Arial" w:hAnsi="Arial"/>
          <w:sz w:val="18"/>
          <w:szCs w:val="18"/>
          <w:color w:val="auto"/>
        </w:rPr>
        <w:t>(i) all interests in any capital stock or other equity interests of any Subsidiary, Affiliate or any other Person, (ii) all bonds, notes, debentures or other securities issued by any Subsidiary, Affiliate or any other Person, (iii) all loans, advances or other extensions of credit or capital contributions to any Subsidiary, Affiliate or any other Person, and (iv) all other investments in securities of any Person;</w:t>
      </w:r>
    </w:p>
    <w:p>
      <w:pPr>
        <w:spacing w:after="0" w:line="181" w:lineRule="exact"/>
        <w:rPr>
          <w:rFonts w:ascii="Arial" w:cs="Arial" w:eastAsia="Arial" w:hAnsi="Arial"/>
          <w:sz w:val="18"/>
          <w:szCs w:val="18"/>
          <w:color w:val="auto"/>
        </w:rPr>
      </w:pPr>
    </w:p>
    <w:p>
      <w:pPr>
        <w:ind w:firstLine="1305"/>
        <w:spacing w:after="0" w:line="277" w:lineRule="auto"/>
        <w:tabs>
          <w:tab w:leader="none" w:pos="18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license agreements, leases of personal property, open purchase orders for raw materials, supplies, parts or services and other contracts, agreements or commitments;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letters of credit;</w:t>
      </w:r>
    </w:p>
    <w:p>
      <w:pPr>
        <w:spacing w:after="0" w:line="225" w:lineRule="exact"/>
        <w:rPr>
          <w:rFonts w:ascii="Arial" w:cs="Arial" w:eastAsia="Arial" w:hAnsi="Arial"/>
          <w:sz w:val="18"/>
          <w:szCs w:val="18"/>
          <w:color w:val="auto"/>
        </w:rPr>
      </w:pPr>
    </w:p>
    <w:p>
      <w:pPr>
        <w:ind w:firstLine="1305"/>
        <w:spacing w:after="0" w:line="342" w:lineRule="auto"/>
        <w:tabs>
          <w:tab w:leader="none" w:pos="1799"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written (including in electronic form) or oral technical information, data, specifications, research and development information, engineering drawings and specifications, operating and maintenance manuals, and materials and analyses prepared by consultants and other third Persons;</w:t>
      </w:r>
    </w:p>
    <w:p>
      <w:pPr>
        <w:spacing w:after="0" w:line="123" w:lineRule="exact"/>
        <w:rPr>
          <w:rFonts w:ascii="Arial" w:cs="Arial" w:eastAsia="Arial" w:hAnsi="Arial"/>
          <w:sz w:val="16"/>
          <w:szCs w:val="16"/>
          <w:color w:val="auto"/>
        </w:rPr>
      </w:pPr>
    </w:p>
    <w:p>
      <w:pPr>
        <w:ind w:left="1700" w:hanging="395"/>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Intellectual Property and Technology;</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Software;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cost information, sales and pricing data, customer prospect lists, supplier records, customer and supplier lists, customer and vendor data, correspondence and lists, product data and literature, artwork, design, formulations and specifications, quality records and reports and other books, records, studies, surveys, reports, plans and documents;</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prepaid expenses, trade accounts and other accounts and notes receivable;</w:t>
      </w:r>
    </w:p>
    <w:p>
      <w:pPr>
        <w:spacing w:after="0" w:line="225" w:lineRule="exact"/>
        <w:rPr>
          <w:rFonts w:ascii="Arial" w:cs="Arial" w:eastAsia="Arial" w:hAnsi="Arial"/>
          <w:sz w:val="18"/>
          <w:szCs w:val="18"/>
          <w:color w:val="auto"/>
        </w:rPr>
      </w:pPr>
    </w:p>
    <w:p>
      <w:pPr>
        <w:ind w:firstLine="1305"/>
        <w:spacing w:after="0" w:line="277" w:lineRule="auto"/>
        <w:tabs>
          <w:tab w:leader="none" w:pos="180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licenses, permits, approvals and authorizations which have been issued by any Governmental Authority;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cash or cash equivalents, bank accounts, lock boxes and other deposit arrangements; and</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interest rate, currency, commodity or other swap, collar, cap or other hedging or similar agreements or arrangements.</w:t>
      </w:r>
    </w:p>
    <w:p>
      <w:pPr>
        <w:spacing w:after="0" w:line="225"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Dividend</w:t>
      </w:r>
      <w:r>
        <w:rPr>
          <w:rFonts w:ascii="Arial" w:cs="Arial" w:eastAsia="Arial" w:hAnsi="Arial"/>
          <w:sz w:val="18"/>
          <w:szCs w:val="18"/>
          <w:color w:val="auto"/>
        </w:rPr>
        <w:t>” means $</w:t>
      </w:r>
      <w:r>
        <w:rPr>
          <w:sz w:val="20"/>
          <w:szCs w:val="20"/>
          <w:color w:val="auto"/>
        </w:rPr>
        <w:tab/>
      </w:r>
      <w:r>
        <w:rPr>
          <w:rFonts w:ascii="Arial" w:cs="Arial" w:eastAsia="Arial" w:hAnsi="Arial"/>
          <w:sz w:val="16"/>
          <w:szCs w:val="16"/>
          <w:color w:val="auto"/>
        </w:rPr>
        <w:t>million in cash to be paid to Oil States by Civeo to facilitate the Contribution by Oil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Accounts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Balance Sheet</w:t>
      </w:r>
      <w:r>
        <w:rPr>
          <w:rFonts w:ascii="Arial" w:cs="Arial" w:eastAsia="Arial" w:hAnsi="Arial"/>
          <w:sz w:val="18"/>
          <w:szCs w:val="18"/>
          <w:color w:val="auto"/>
        </w:rPr>
        <w:t>” means the audited combined balance sheet of the Accommodations Business of Oil States, including the notes thereto, as of December 31, 2013.</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Business</w:t>
      </w:r>
      <w:r>
        <w:rPr>
          <w:rFonts w:ascii="Arial" w:cs="Arial" w:eastAsia="Arial" w:hAnsi="Arial"/>
          <w:sz w:val="16"/>
          <w:szCs w:val="16"/>
          <w:color w:val="auto"/>
        </w:rPr>
        <w:t>” means (a) the business and operations that comprise and are exclusively related to the Accommodations Business, and (b) without limiting the foregoing clause (a) and except as otherwise provided in this Agreement, any other terminated, divested or discontinued businesses, Assets or operations that were of such a nature that they would be part of the Accommodations Business had they not been terminated, divested or discontinued.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Common Stock</w:t>
      </w:r>
      <w:r>
        <w:rPr>
          <w:rFonts w:ascii="Arial" w:cs="Arial" w:eastAsia="Arial" w:hAnsi="Arial"/>
          <w:sz w:val="18"/>
          <w:szCs w:val="18"/>
          <w:color w:val="auto"/>
        </w:rPr>
        <w:t>” means the common stock, par value $0.01 per share, of Civeo.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Contracts</w:t>
      </w:r>
      <w:r>
        <w:rPr>
          <w:rFonts w:ascii="Arial" w:cs="Arial" w:eastAsia="Arial" w:hAnsi="Arial"/>
          <w:sz w:val="18"/>
          <w:szCs w:val="18"/>
          <w:color w:val="auto"/>
        </w:rPr>
        <w:t xml:space="preserve">” means the following contracts and agreements to which Oil States or any of its Affiliates is a party or by which it or any of its Affiliates or any of their respective Assets is bound, whether or not in writing, in each case immediately prior to the Distribution Date, except for any such contract or agreement that is contemplated to be retained by Oil States or any member of the Oil States Group pursuant to any provision of this Agreement or any Ancillary Agreement, including those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(each, an “</w:t>
      </w:r>
      <w:r>
        <w:rPr>
          <w:rFonts w:ascii="Arial" w:cs="Arial" w:eastAsia="Arial" w:hAnsi="Arial"/>
          <w:sz w:val="18"/>
          <w:szCs w:val="18"/>
          <w:b w:val="1"/>
          <w:bCs w:val="1"/>
          <w:i w:val="1"/>
          <w:iCs w:val="1"/>
          <w:color w:val="auto"/>
        </w:rPr>
        <w:t>Excluded Contract</w:t>
      </w:r>
      <w:r>
        <w:rPr>
          <w:rFonts w:ascii="Arial" w:cs="Arial" w:eastAsia="Arial" w:hAnsi="Arial"/>
          <w:sz w:val="18"/>
          <w:szCs w:val="18"/>
          <w:color w:val="auto"/>
        </w:rPr>
        <w:t>”):</w:t>
      </w:r>
    </w:p>
    <w:p>
      <w:pPr>
        <w:spacing w:after="0" w:line="187" w:lineRule="exact"/>
        <w:rPr>
          <w:sz w:val="20"/>
          <w:szCs w:val="20"/>
          <w:color w:val="auto"/>
        </w:rPr>
      </w:pPr>
    </w:p>
    <w:p>
      <w:pPr>
        <w:ind w:firstLine="1305"/>
        <w:spacing w:after="0" w:line="277"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 any customer, distribution, supply or vendor contracts or agreements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(ii) any other customer, distribution, supply or vendor contracts that relate exclusively to the Civeo Business;</w:t>
      </w:r>
    </w:p>
    <w:p>
      <w:pPr>
        <w:spacing w:after="0" w:line="170" w:lineRule="exact"/>
        <w:rPr>
          <w:rFonts w:ascii="Arial" w:cs="Arial" w:eastAsia="Arial" w:hAnsi="Arial"/>
          <w:sz w:val="18"/>
          <w:szCs w:val="18"/>
          <w:color w:val="auto"/>
        </w:rPr>
      </w:pPr>
    </w:p>
    <w:p>
      <w:pPr>
        <w:ind w:firstLine="1305"/>
        <w:spacing w:after="0" w:line="277" w:lineRule="auto"/>
        <w:tabs>
          <w:tab w:leader="none" w:pos="179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 any joint venture or license agreement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(ii) any other joint venture or license agreement that relates exclusively to the Civeo Business;</w:t>
      </w:r>
    </w:p>
    <w:p>
      <w:pPr>
        <w:spacing w:after="0" w:line="170" w:lineRule="exact"/>
        <w:rPr>
          <w:rFonts w:ascii="Arial" w:cs="Arial" w:eastAsia="Arial" w:hAnsi="Arial"/>
          <w:sz w:val="18"/>
          <w:szCs w:val="18"/>
          <w:color w:val="auto"/>
        </w:rPr>
      </w:pPr>
    </w:p>
    <w:p>
      <w:pPr>
        <w:ind w:right="20" w:firstLine="1305"/>
        <w:spacing w:after="0" w:line="342" w:lineRule="auto"/>
        <w:tabs>
          <w:tab w:leader="none" w:pos="1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 any guarantee, indemnity, representation or warranty listed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and (ii) any guarantee, indemnity, representation or warranty of any member of the Civeo Group or the Oil States Group in respect of any other Civeo Contract, any Civeo Liability or the Civeo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firstLine="1305"/>
        <w:spacing w:after="0" w:line="277" w:lineRule="auto"/>
        <w:tabs>
          <w:tab w:leader="none" w:pos="178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employment, change of control, retention, consulting, indemnification, termination, severance or other similar agreements with any Civeo Employee or consultants of the Civeo Group;</w:t>
      </w:r>
    </w:p>
    <w:p>
      <w:pPr>
        <w:spacing w:after="0" w:line="170" w:lineRule="exact"/>
        <w:rPr>
          <w:rFonts w:ascii="Arial" w:cs="Arial" w:eastAsia="Arial" w:hAnsi="Arial"/>
          <w:sz w:val="18"/>
          <w:szCs w:val="18"/>
          <w:color w:val="auto"/>
        </w:rPr>
      </w:pPr>
    </w:p>
    <w:p>
      <w:pPr>
        <w:ind w:firstLine="1305"/>
        <w:spacing w:after="0" w:line="277" w:lineRule="auto"/>
        <w:tabs>
          <w:tab w:leader="none" w:pos="17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contract or agreement that is otherwise expressly contemplated pursuant to this Agreement or any of the Ancillary Agreements to be assigned to Civeo or any member of the Civeo Group; and</w:t>
      </w:r>
    </w:p>
    <w:p>
      <w:pPr>
        <w:spacing w:after="0" w:line="170" w:lineRule="exact"/>
        <w:rPr>
          <w:rFonts w:ascii="Arial" w:cs="Arial" w:eastAsia="Arial" w:hAnsi="Arial"/>
          <w:sz w:val="18"/>
          <w:szCs w:val="18"/>
          <w:color w:val="auto"/>
        </w:rPr>
      </w:pPr>
    </w:p>
    <w:p>
      <w:pPr>
        <w:ind w:firstLine="1305"/>
        <w:spacing w:after="0" w:line="277" w:lineRule="auto"/>
        <w:tabs>
          <w:tab w:leader="none" w:pos="170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other contract, agreement, arrangement, commitment or understanding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any other contract, agreement, commitment or understanding, whether or not in writing, that relates exclusively to the Civeo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Designees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w:t>
      </w:r>
      <w:r>
        <w:rPr>
          <w:rFonts w:ascii="Arial" w:cs="Arial" w:eastAsia="Arial" w:hAnsi="Arial"/>
          <w:sz w:val="18"/>
          <w:szCs w:val="18"/>
          <w:color w:val="auto"/>
        </w:rPr>
        <w:t>” means any individual who, immediately prior to the Distribution, performs services that relate exclusively to the Civeo Business and is either actively employed by, or then on an approved leave of absence from, any Person that will be a member of the Civeo Group immediately after the Distribution.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Financing Arrangements</w:t>
      </w:r>
      <w:r>
        <w:rPr>
          <w:rFonts w:ascii="Arial" w:cs="Arial" w:eastAsia="Arial" w:hAnsi="Arial"/>
          <w:sz w:val="16"/>
          <w:szCs w:val="16"/>
          <w:color w:val="auto"/>
        </w:rPr>
        <w:t>” means the (a) revolving credit facilities in the aggregate amount of $650,000,000 U.S. dollars which is currently expected to be allocated as follows: (i) a $450,000,000 million U.S dollar senior secured revolving credit facility in favor of Civeo, as borrower, (ii) a $100,000,000 U.S. dollar senior secured revolving credit facility in favor of PTI Group Inc. and PTI Premium Camp Services Ltd., as borrowers, and (iii) a $100,000,000 U.S. dollar senior secured revolving credit facility in favor of The MAC Services Group Pty Limited, as borrower, and (b) a U.S. dollar term loan facility in an amount to be determined up to $775,000,000 in favor of Civeo, each on such terms as conditions as approved by Civeo and Oil States.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means Civeo, each Subsidiary of Civeo immediately after the Distribution Date, and each Affiliate of Civeo immediately after the Distribution Date.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Intellectual Property</w:t>
      </w:r>
      <w:r>
        <w:rPr>
          <w:rFonts w:ascii="Arial" w:cs="Arial" w:eastAsia="Arial" w:hAnsi="Arial"/>
          <w:sz w:val="18"/>
          <w:szCs w:val="18"/>
          <w:color w:val="auto"/>
        </w:rPr>
        <w:t xml:space="preserve">” means (a) the patents, patent applications, statutory invention registrations, registered trademarks, registered service marks, registered Internet domain names and copyright registrations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(collectively, “</w:t>
      </w:r>
      <w:r>
        <w:rPr>
          <w:rFonts w:ascii="Arial" w:cs="Arial" w:eastAsia="Arial" w:hAnsi="Arial"/>
          <w:sz w:val="18"/>
          <w:szCs w:val="18"/>
          <w:b w:val="1"/>
          <w:bCs w:val="1"/>
          <w:i w:val="1"/>
          <w:iCs w:val="1"/>
          <w:color w:val="auto"/>
        </w:rPr>
        <w:t>Registrable IP</w:t>
      </w:r>
      <w:r>
        <w:rPr>
          <w:rFonts w:ascii="Arial" w:cs="Arial" w:eastAsia="Arial" w:hAnsi="Arial"/>
          <w:sz w:val="18"/>
          <w:szCs w:val="18"/>
          <w:color w:val="auto"/>
        </w:rPr>
        <w:t>”), (b) all Registrable IP that is owned or licensed exclusively by any member of the Civeo Group at or prior to the Distribution Date, excluding any such Registrable IP that has been assigned by any member of the Civeo Group to any member of the Oil States Group prior to the Distribution Date, and (c) all Intellectual Property, other than Registrable IP, that is owned or licensed by any member of the Oil States Group or Civeo Group and that is used or held for use exclusively in the Civeo Business as of the Distribution Date.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Technology</w:t>
      </w:r>
      <w:r>
        <w:rPr>
          <w:rFonts w:ascii="Arial" w:cs="Arial" w:eastAsia="Arial" w:hAnsi="Arial"/>
          <w:sz w:val="18"/>
          <w:szCs w:val="18"/>
          <w:color w:val="auto"/>
        </w:rPr>
        <w:t>” means all Technology owned or licensed by any member of the Oil States Group or Civeo Group and that is exclusively used or held for use in the Civeo Business as of the Distribution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w:t>
      </w:r>
      <w:r>
        <w:rPr>
          <w:rFonts w:ascii="Arial" w:cs="Arial" w:eastAsia="Arial" w:hAnsi="Arial"/>
          <w:sz w:val="18"/>
          <w:szCs w:val="18"/>
          <w:color w:val="auto"/>
        </w:rPr>
        <w:t>” means the contribution by Oil States to Civeo of (a) all the outstanding stock or other equity interests of PTI Group USA LLC, PTI Mars Holdco 1, LLC, MAC Investments LLC, General Marine Leasing, LLC and PTI Investments Coöperatief U.A, (b) the Hybrid Instruments, and (c) any Civeo Assets held directly by Oil States in exchange for (x) the assumption by Civeo of any Civeo Liabilities from Oil States, (y) a number of shares of Civeo Common Stock equal to the Required Share Number and (z) the Cash Dividend.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has the meaning set forth in the Indemnification and Release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xml:space="preserve">” means the date and time determined in accordance with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at which the Distribution occurs.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Distribution Ratio</w:t>
      </w:r>
      <w:r>
        <w:rPr>
          <w:rFonts w:ascii="Arial" w:cs="Arial" w:eastAsia="Arial" w:hAnsi="Arial"/>
          <w:sz w:val="16"/>
          <w:szCs w:val="16"/>
          <w:color w:val="auto"/>
        </w:rPr>
        <w:t>” means two shares of Civeo Common Stock distributed in the Distribution in respect of one share of Oil States Common Stock.</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means the Employee Matters Agreement, dated as of the date hereof, between Oil States and Civeo.</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Law relating to: (a) pollution; (b) protection or restoration of or prevention of harm to the environment (including ambient air, surface water, groundwater sediments, soils and surface and subsurface strata) or natural resources, including the generation, use, handling, transportation, treatment, storage or Release of, or exposure to, Hazardous Materials; and (c) the protection of or prevention of harm to human health and safety.</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Liabilities</w:t>
      </w:r>
      <w:r>
        <w:rPr>
          <w:rFonts w:ascii="Arial" w:cs="Arial" w:eastAsia="Arial" w:hAnsi="Arial"/>
          <w:sz w:val="16"/>
          <w:szCs w:val="16"/>
          <w:color w:val="auto"/>
        </w:rPr>
        <w:t>” means any and all Liabilities, environmental response costs (including costs of clean-up, remediation, investigation and monitoring with respect to Hazardous Materials), damages (including with respect to natural resources, properties and personal injuries), costs and expenses (including any remedial, removal, response, abatement, clean-up and investigation costs and expenses and rights to contribution under the federal Comprehensive Environmental Response, Compensation and Liability Act, as amended, or analogous laws), breaches of statutory or implied warranties, nuisance or other tort actions, rights to punitive damages, common law rights of contribution and rights under any contracts, agreements, indemnifications, monitoring costs, settlements, consulting fees, expenses, penalties, fines, orphan’s share, prejudgment and post-judgment interest, court costs, attorneys’ fees, and other liabilities arising out of, incurred or imposed (a) pursuant to any order, notice of responsibility, directive (including requirements embodied in Environmental Laws), injunction, judgment or similar act (including settlements) by any Governmental Authority to the extent arising out of non-compliance with or any violation of, or obligation under, any Environmental Laws or (b) pursuant to any demand, action, claim, dispute, suit, countersuit, settlement, arbitration, formal inquiry, subpoena, investigation, proceeding or other legal determination of liability by a Governmental Authority or any other Person with respect to Hazardous Materials (including any exposure to Hazardous Materials) or for damages, personal injury, property damage, damage to natural resources, remediation, investigation, monitoring, response or compliance costs (including any product take back requirements).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together with the rules and regulations promulgated thereunder.</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Contracts</w:t>
      </w:r>
      <w:r>
        <w:rPr>
          <w:rFonts w:ascii="Arial" w:cs="Arial" w:eastAsia="Arial" w:hAnsi="Arial"/>
          <w:sz w:val="18"/>
          <w:szCs w:val="18"/>
          <w:color w:val="auto"/>
        </w:rPr>
        <w:t>” has the meaning set forth in the definition of Civeo Contracts.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10</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Approvals</w:t>
      </w:r>
      <w:r>
        <w:rPr>
          <w:rFonts w:ascii="Arial" w:cs="Arial" w:eastAsia="Arial" w:hAnsi="Arial"/>
          <w:sz w:val="18"/>
          <w:szCs w:val="18"/>
          <w:color w:val="auto"/>
        </w:rPr>
        <w:t>” means any notices, reports or other filings to be made, or any consents, registrations, approvals, permits or authorizations to be obtained from, any Governmental Authority.</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executive official thereof.</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means either the Civeo Group or the Oil States Group, as the context requires.</w:t>
      </w:r>
    </w:p>
    <w:p>
      <w:pPr>
        <w:spacing w:after="0" w:line="2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Hazardous Materials”</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substance that, by its nature or its use, is regulated or as to which liability might arise under any Environmental</w:t>
      </w:r>
      <w:r>
        <w:rPr>
          <w:rFonts w:ascii="Arial" w:cs="Arial" w:eastAsia="Arial" w:hAnsi="Arial"/>
          <w:sz w:val="17"/>
          <w:szCs w:val="17"/>
          <w:i w:val="1"/>
          <w:iCs w:val="1"/>
          <w:color w:val="auto"/>
        </w:rPr>
        <w:t xml:space="preserve"> </w:t>
      </w:r>
      <w:r>
        <w:rPr>
          <w:rFonts w:ascii="Arial" w:cs="Arial" w:eastAsia="Arial" w:hAnsi="Arial"/>
          <w:sz w:val="17"/>
          <w:szCs w:val="17"/>
          <w:color w:val="auto"/>
        </w:rPr>
        <w:t>Law including any: (i) chemical, product, material, substance or waste defined as a “hazardous substance,” “hazardous material,” “hazardous waste,” “restricted hazardous waste,” “extremely hazardous waste,” “solid waste,” “toxic waste,” “toxic substance,” “contaminant,” “pollutant,” or words of similar meaning or import found in any Environmental Law; (ii) petroleum hydrocarbons, petroleum products, petroleum substances, oil and gas exploration and production wastes, natural gas, condensate or crude oil or any components, fractions or derivatives thereof; (c) any natural or artificial substance (whether solid, liquid, or gas, noise, ion, vapor or electromagnetic) that could cause or result in harm or injury to human health, natural resources or the environment; and (d) asbestos and asbestos containing materials, polychlorinated biphenyls, radioactive materials, urea formaldehyde foam insulation, naturally occurring radioactive materials and radon gas.</w:t>
      </w:r>
    </w:p>
    <w:p>
      <w:pPr>
        <w:spacing w:after="0" w:line="2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Hybrid Instruments</w:t>
      </w:r>
      <w:r>
        <w:rPr>
          <w:rFonts w:ascii="Arial" w:cs="Arial" w:eastAsia="Arial" w:hAnsi="Arial"/>
          <w:sz w:val="18"/>
          <w:szCs w:val="18"/>
          <w:color w:val="auto"/>
        </w:rPr>
        <w:t>” means (a) the Loan Agreement by and between Oil States and PTI Premium Camp Services Ltd dated December 9, 2010 and (b) the Loan Agreement by and between Oil States and PTI Premium Camp Services Ltd dated June 27, 2011.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Indemnification and Release Agreement</w:t>
      </w:r>
      <w:r>
        <w:rPr>
          <w:rFonts w:ascii="Arial" w:cs="Arial" w:eastAsia="Arial" w:hAnsi="Arial"/>
          <w:sz w:val="16"/>
          <w:szCs w:val="16"/>
          <w:color w:val="auto"/>
        </w:rPr>
        <w:t>” means the Indemnification and Release Agreement, dated as of the date hereof, between Oil States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Civeo.</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3.3(a)(vii)</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all of the following whether arising under the Laws of the United States or of any other foreign or multinational jurisdiction: (a) patents, patent applications (including patents issued thereon) and statutory invention registrations, including reissues, divisions, continuations, continuations in part, substitutions, renewals, extensions and reexaminations of any of the foregoing, and all rights in any of the foregoing provided by international treaties or conventions, (b) trademarks, service marks, trade names, service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 (c) Internet domain names, (d) copyrightable works, copyrights, moral rights, mask work rights, database rights and design rights, whether or not registered, and all registrations and applications for registration of any of the foregoing, and all rights in and to any of the foregoing provided by international treaties or conventions, (e) confidential and proprietary information, including trade secrets, invention disclosures, processes and know-how, and (f) intellectual property rights arising from or in respect of any Technology.</w:t>
      </w:r>
    </w:p>
    <w:p>
      <w:pPr>
        <w:spacing w:after="0" w:line="23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applicable national, supranational, federal, state, provincial, regional or local law (including common law), statute, code, order, ordinance, rule, regulation, treaty (including any income tax treaty), license, permit, authorization, approval, consent, decree, injunction, binding judicial or administrative interpretation or other legally enforceable requirement, in each case, enacted, promulgated, issued or entered by a Governmental Authority.</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means any and all debts, guarantees, assurances, commitments, liabilities, responsibilities, Losses, remediation, deficiencies, reimbursement obligations in respect of letters of credit, damages, fines, penalties, settlements, sanctions, costs, expenses, interest and obligations,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actual losses (including any diminution in value), costs, damages, penalties and expenses (including legal and accounting fees and expenses and costs of investigation and litigation), whether or not involving a Third-Party Claim.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Preamble.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Accounts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Oil States Business</w:t>
      </w:r>
      <w:r>
        <w:rPr>
          <w:rFonts w:ascii="Arial" w:cs="Arial" w:eastAsia="Arial" w:hAnsi="Arial"/>
          <w:sz w:val="16"/>
          <w:szCs w:val="16"/>
          <w:color w:val="auto"/>
        </w:rPr>
        <w:t>” means each and every business conducted at any time by any member of the Oil States Group, except the Civeo Business.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Common Stock</w:t>
      </w:r>
      <w:r>
        <w:rPr>
          <w:rFonts w:ascii="Arial" w:cs="Arial" w:eastAsia="Arial" w:hAnsi="Arial"/>
          <w:sz w:val="18"/>
          <w:szCs w:val="18"/>
          <w:color w:val="auto"/>
        </w:rPr>
        <w:t>” means the common stock, par value $0.01 per share, of Oil States.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Group</w:t>
      </w:r>
      <w:r>
        <w:rPr>
          <w:rFonts w:ascii="Arial" w:cs="Arial" w:eastAsia="Arial" w:hAnsi="Arial"/>
          <w:sz w:val="18"/>
          <w:szCs w:val="18"/>
          <w:color w:val="auto"/>
        </w:rPr>
        <w:t>” means Oil States, each Subsidiary of Oil States immediately after the Distribution Date, and each Affiliate of Oil States immediately after the Distribution Date (in each case other than any member of the Civeo Group).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Guarantees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Intellectual Property</w:t>
      </w:r>
      <w:r>
        <w:rPr>
          <w:rFonts w:ascii="Arial" w:cs="Arial" w:eastAsia="Arial" w:hAnsi="Arial"/>
          <w:sz w:val="18"/>
          <w:szCs w:val="18"/>
          <w:color w:val="auto"/>
        </w:rPr>
        <w:t>” means (a) the Oil States Name and Oil States Marks, and (b) all other Intellectual Property that, as of the Distribution Date, is owned or licensed by any member of either Group, other than the Civeo Intellectual Property.</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Name and Oil States Marks</w:t>
      </w:r>
      <w:r>
        <w:rPr>
          <w:rFonts w:ascii="Arial" w:cs="Arial" w:eastAsia="Arial" w:hAnsi="Arial"/>
          <w:sz w:val="18"/>
          <w:szCs w:val="18"/>
          <w:color w:val="auto"/>
        </w:rPr>
        <w:t>” means the names, marks, trade dress, logos, monograms, domain names and other source or business identifiers of Oil States or any of its Affiliates using or containing “Oil States” (in block letters or otherwise), “Oil States” either alone or in combination with other words or elements, and all names, marks, trade dress, logos, monograms, domain names and other source or business identifiers confusingly similar to or embodying any of the foregoing either alone or in combination with other words or elements, together with the goodwill associated with any of the foregoing.</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Notes</w:t>
      </w:r>
      <w:r>
        <w:rPr>
          <w:rFonts w:ascii="Arial" w:cs="Arial" w:eastAsia="Arial" w:hAnsi="Arial"/>
          <w:sz w:val="18"/>
          <w:szCs w:val="18"/>
          <w:color w:val="auto"/>
        </w:rPr>
        <w:t>” means Oil States’ (a) 5 1/8% Senior Notes due 2023 and (b) the 6 1/8% Senior Notes due 2019.</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RSAs</w:t>
      </w:r>
      <w:r>
        <w:rPr>
          <w:rFonts w:ascii="Arial" w:cs="Arial" w:eastAsia="Arial" w:hAnsi="Arial"/>
          <w:sz w:val="18"/>
          <w:szCs w:val="18"/>
          <w:color w:val="auto"/>
        </w:rPr>
        <w:t>” means restricted stock awards issued under the Oil States International Inc. 2001 Equity Participation Plan, the Canadian Long Term Incentive Plan, and any other plan or agreement sponsored or maintained by Oil States immediately prior to the Distribution Date pursuant to which equity or equity-based awards are or may be granted (in each case, as amended from time to time).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Software</w:t>
      </w:r>
      <w:r>
        <w:rPr>
          <w:rFonts w:ascii="Arial" w:cs="Arial" w:eastAsia="Arial" w:hAnsi="Arial"/>
          <w:sz w:val="18"/>
          <w:szCs w:val="18"/>
          <w:color w:val="auto"/>
        </w:rPr>
        <w:t>” means all Software that, as of the Distribution Date, is owned or licensed by any member of either Group, other than the Civeo Group Software.</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Technology</w:t>
      </w:r>
      <w:r>
        <w:rPr>
          <w:rFonts w:ascii="Arial" w:cs="Arial" w:eastAsia="Arial" w:hAnsi="Arial"/>
          <w:sz w:val="18"/>
          <w:szCs w:val="18"/>
          <w:color w:val="auto"/>
        </w:rPr>
        <w:t>” means all Technology that, as of the Distribution Date, is owned or licensed by any member of either Group, other than the Civeo Technology.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general or limited partnership, a corporation, a trust, a joint venture, an unincorporated organization, a limited liability entity, any other entity and any Governmental Authority.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means the rate which JPMorgan Chase Bank (or any successor thereto or other major money center commercial bank agreed to by the parties hereto) announces from time to time as its prime lending rate, as in effect from time to time.</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the close of business on the date to be determined by the Oil States Board as the record date for determining stockholders of Oil States entitled to receive shares of Civeo Common Stock in the Distribution.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IP</w:t>
      </w:r>
      <w:r>
        <w:rPr>
          <w:rFonts w:ascii="Arial" w:cs="Arial" w:eastAsia="Arial" w:hAnsi="Arial"/>
          <w:sz w:val="18"/>
          <w:szCs w:val="18"/>
          <w:color w:val="auto"/>
        </w:rPr>
        <w:t>” has the meaning set forth in the definition of Civeo Intellectual Property.</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discharge, leaking, pumping, pouring, dumping, injection, deposit, disposal, dispersal, leaching or migration.</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Share Number</w:t>
      </w:r>
      <w:r>
        <w:rPr>
          <w:rFonts w:ascii="Arial" w:cs="Arial" w:eastAsia="Arial" w:hAnsi="Arial"/>
          <w:sz w:val="18"/>
          <w:szCs w:val="18"/>
          <w:color w:val="auto"/>
        </w:rPr>
        <w:t>” means the number of shares of Civeo Common Stock necessary to effect the Distribution less the number of shares of Civeo Common Stock outstanding immediately prior to the Contribution.</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Restructuring Steps Memorandum</w:t>
      </w:r>
      <w:r>
        <w:rPr>
          <w:rFonts w:ascii="Arial" w:cs="Arial" w:eastAsia="Arial" w:hAnsi="Arial"/>
          <w:sz w:val="18"/>
          <w:szCs w:val="18"/>
          <w:color w:val="auto"/>
        </w:rPr>
        <w:t xml:space="preserve">” means the memorandum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setting forth the restructuring steps to be taken prior to the Distribution Date and the sequence thereof.</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together with the rules and regulations promulgated thereunder.</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Interest</w:t>
      </w:r>
      <w:r>
        <w:rPr>
          <w:rFonts w:ascii="Arial" w:cs="Arial" w:eastAsia="Arial" w:hAnsi="Arial"/>
          <w:sz w:val="18"/>
          <w:szCs w:val="18"/>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has the meaning set forth in the Recitals.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Shared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General Marine Leasing Assets</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screens, user interfaces, report formats, firmware, development tools, templates, menus, buttons and icons, and (d) documentation, including user manuals and other training documentation, relating to any of the foregoing.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or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joint venture or partnership of which such Person (a) beneficially owns, either directly or indirectly, more than fifty percent (50%) of (i) the total combined voting power of all classes of voting securities of such Person,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has the meaning set forth in the Tax Sharing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Sharing Agreement</w:t>
      </w:r>
      <w:r>
        <w:rPr>
          <w:rFonts w:ascii="Arial" w:cs="Arial" w:eastAsia="Arial" w:hAnsi="Arial"/>
          <w:sz w:val="18"/>
          <w:szCs w:val="18"/>
          <w:color w:val="auto"/>
        </w:rPr>
        <w:t>” means the Tax Sharing Agreement, dated as of the date hereof, between Oil States and Civeo.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has the meaning set forth in the Tax Sharing Agreement.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Technology</w:t>
      </w:r>
      <w:r>
        <w:rPr>
          <w:rFonts w:ascii="Arial" w:cs="Arial" w:eastAsia="Arial" w:hAnsi="Arial"/>
          <w:sz w:val="18"/>
          <w:szCs w:val="18"/>
          <w:color w:val="auto"/>
        </w:rPr>
        <w:t>” means all technology, designs, formulae, algorithms, procedures, methods, discoveries, processes, techniques, ideas, know-how, research and development, technical data, tools, materials, specifications, processes, inventions (whether patentable or unpatentable and whether or not reduced to practice), apparatus, creations, improvements, works of authorship in any media, confidential, proprietary or non-public information and other similar materials, and all recordings, graphs, drawings, reports, analyses and other writings, and other tangible embodiments of the foregoing in any form whether or not listed herein.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Tender Offers</w:t>
      </w:r>
      <w:r>
        <w:rPr>
          <w:rFonts w:ascii="Arial" w:cs="Arial" w:eastAsia="Arial" w:hAnsi="Arial"/>
          <w:sz w:val="16"/>
          <w:szCs w:val="16"/>
          <w:color w:val="auto"/>
        </w:rPr>
        <w:t>” means the tender offers by Oil States to purchase any and all of the Oil States Notes as set forth in the Offer to Purchase dated May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has the meaning set forth in the Indemnification and Release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Entities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Transition Services Agreement</w:t>
      </w:r>
      <w:r>
        <w:rPr>
          <w:rFonts w:ascii="Arial" w:cs="Arial" w:eastAsia="Arial" w:hAnsi="Arial"/>
          <w:sz w:val="17"/>
          <w:szCs w:val="17"/>
          <w:color w:val="auto"/>
        </w:rPr>
        <w:t>” means the Transition Services Agreement, dated as of the date hereof, between Oil States and Civeo.</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Unreleased Excluded 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Unreleased Civeo 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SEPARATION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Transfer of Assets and Assumption of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54"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provided in this Agreement or in any Ancillary Agreement, on or prior to the Distribution Date in accordance with the Restructuring Steps Memorandum and to the extent not previously effected prior to the date hereof pursuant to the steps of the Restructuring Steps Memorandum: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left="-540" w:firstLine="1293"/>
        <w:spacing w:after="0" w:line="276" w:lineRule="auto"/>
        <w:tabs>
          <w:tab w:leader="none" w:pos="1174" w:val="left"/>
        </w:tabs>
        <w:numPr>
          <w:ilvl w:val="0"/>
          <w:numId w:val="9"/>
        </w:numPr>
        <w:rPr>
          <w:rFonts w:ascii="Arial" w:cs="Arial" w:eastAsia="Arial" w:hAnsi="Arial"/>
          <w:sz w:val="17"/>
          <w:szCs w:val="17"/>
          <w:color w:val="auto"/>
        </w:rPr>
      </w:pPr>
      <w:r>
        <w:rPr>
          <w:rFonts w:ascii="Arial" w:cs="Arial" w:eastAsia="Arial" w:hAnsi="Arial"/>
          <w:sz w:val="17"/>
          <w:szCs w:val="17"/>
          <w:color w:val="auto"/>
        </w:rPr>
        <w:t>Oil States shall, and shall cause its applicable Subsidiaries to, assign, transfer, convey and deliver to Civeo, or the applicable Civeo Designees, and Civeo or such Civeo Designees shall accept from Oil States and its applicable Subsidiaries, all of Oil States’ and such Subsidiaries’ respective direct or indirect right, title and interest in and to all of the Civeo Assets (it being understood that if any Civeo Asset shall be held by a Transferred Entity or a wholly owned Subsidiary of a Transferred Entity, such Civeo Asset may be assigned, transferred, conveyed and delivered as a result of the transfer of all or substantially all of the equity interests in such Transferred Entity);</w:t>
      </w:r>
    </w:p>
    <w:p>
      <w:pPr>
        <w:spacing w:after="0" w:line="172" w:lineRule="exact"/>
        <w:rPr>
          <w:rFonts w:ascii="Arial" w:cs="Arial" w:eastAsia="Arial" w:hAnsi="Arial"/>
          <w:sz w:val="17"/>
          <w:szCs w:val="17"/>
          <w:color w:val="auto"/>
        </w:rPr>
      </w:pPr>
    </w:p>
    <w:p>
      <w:pPr>
        <w:jc w:val="both"/>
        <w:ind w:left="-540" w:firstLine="1293"/>
        <w:spacing w:after="0" w:line="271"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Civeo and the applicable Civeo Designees shall accept, assume and agree faithfully to perform, discharge and fulfill all the Civeo Liabilities in accordance with their respective terms. Civeo and such Civeo Designees shall be responsible for all Civeo Liabilities, regardless of when or where such Civeo Liabilities arose or arise, or whether the facts on which they are based occurred prior to or subsequent to the Distribution Date, regardless of where or against whom such Civeo Liabilities are asserted or determined (including any Civeo Liabilities arising out of claims made by the respective directors, officers, employees, agents, stockholders, Subsidiaries or Affiliates of either Group against any member of either Group) or whether asserted or determined prior to the date hereof, and regardless of whether arising from or alleged to arise from negligence, recklessness, violation of Law, fraud, misrepresentation or any other cause by any member of either Group, or any of their respective directors, officers, employees or agents;</w:t>
      </w:r>
    </w:p>
    <w:p>
      <w:pPr>
        <w:spacing w:after="0" w:line="178" w:lineRule="exact"/>
        <w:rPr>
          <w:rFonts w:ascii="Arial" w:cs="Arial" w:eastAsia="Arial" w:hAnsi="Arial"/>
          <w:sz w:val="17"/>
          <w:szCs w:val="17"/>
          <w:color w:val="auto"/>
        </w:rPr>
      </w:pPr>
    </w:p>
    <w:p>
      <w:pPr>
        <w:jc w:val="both"/>
        <w:ind w:left="-540" w:firstLine="1293"/>
        <w:spacing w:after="0" w:line="264" w:lineRule="auto"/>
        <w:tabs>
          <w:tab w:leader="none" w:pos="1298"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States shall cause its applicable Subsidiaries to assign, transfer, convey and deliver to certain of its other Subsidiaries, which shall accept, such applicable Subsidiaries’ respective right, title and interest in and to any Excluded Assets specified by Oil States to be so assigned, transferred, conveyed and delivered; and</w:t>
      </w:r>
    </w:p>
    <w:p>
      <w:pPr>
        <w:spacing w:after="0" w:line="181" w:lineRule="exact"/>
        <w:rPr>
          <w:rFonts w:ascii="Arial" w:cs="Arial" w:eastAsia="Arial" w:hAnsi="Arial"/>
          <w:sz w:val="18"/>
          <w:szCs w:val="18"/>
          <w:color w:val="auto"/>
        </w:rPr>
      </w:pPr>
    </w:p>
    <w:p>
      <w:pPr>
        <w:jc w:val="both"/>
        <w:ind w:left="-540" w:firstLine="1293"/>
        <w:spacing w:after="0" w:line="271" w:lineRule="auto"/>
        <w:tabs>
          <w:tab w:leader="none" w:pos="1244" w:val="left"/>
        </w:tabs>
        <w:numPr>
          <w:ilvl w:val="0"/>
          <w:numId w:val="9"/>
        </w:numPr>
        <w:rPr>
          <w:rFonts w:ascii="Arial" w:cs="Arial" w:eastAsia="Arial" w:hAnsi="Arial"/>
          <w:sz w:val="17"/>
          <w:szCs w:val="17"/>
          <w:color w:val="auto"/>
        </w:rPr>
      </w:pPr>
      <w:r>
        <w:rPr>
          <w:rFonts w:ascii="Arial" w:cs="Arial" w:eastAsia="Arial" w:hAnsi="Arial"/>
          <w:sz w:val="17"/>
          <w:szCs w:val="17"/>
          <w:color w:val="auto"/>
        </w:rPr>
        <w:t>Oil States and certain of its Subsidiaries shall accept and assume from certain of its other Subsidiaries and agree faithfully to perform, discharge and fulfill certain Excluded Liabilities of such other Subsidiaries, and Oil States and its applicable Subsidiaries shall be responsible for all Excluded Liabilities, regardless of when or where such Excluded Liabilities arose or arise, or whether the facts on which they are based occurred prior to or subsequent to the Distribution Date, regardless of where or against whom such Excluded Liabilities are asserted or determined (including any such Excluded Liabilities arising out of claims made by the respective directors, officers, employees, agents, stockholders, Subsidiaries or Affiliates of either Group against any member of either Group) or whether asserted or determined prior to the date hereof, and regardless of whether arising from or alleged to arise from negligence, recklessness, violation of Law, fraud, misrepresentation or any other cause by any member of either Group, or any of their respective directors, officers, employees or agents.</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0" w:name="page21"/>
    <w:bookmarkEnd w:id="20"/>
    <w:p>
      <w:pPr>
        <w:jc w:val="both"/>
        <w:ind w:firstLine="1305"/>
        <w:spacing w:after="0" w:line="270" w:lineRule="auto"/>
        <w:tabs>
          <w:tab w:leader="none" w:pos="17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 furtherance of the assignment, transfer, conveyance and delivery of the Civeo Assets and the assumption of the Civeo Liabilities in accordance with </w:t>
      </w:r>
      <w:r>
        <w:rPr>
          <w:rFonts w:ascii="Arial" w:cs="Arial" w:eastAsia="Arial" w:hAnsi="Arial"/>
          <w:sz w:val="17"/>
          <w:szCs w:val="17"/>
          <w:u w:val="single" w:color="auto"/>
          <w:color w:val="auto"/>
        </w:rPr>
        <w:t>Sections 2.1(a)(i)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2.1(a)(ii)</w:t>
      </w:r>
      <w:r>
        <w:rPr>
          <w:rFonts w:ascii="Arial" w:cs="Arial" w:eastAsia="Arial" w:hAnsi="Arial"/>
          <w:sz w:val="17"/>
          <w:szCs w:val="17"/>
          <w:color w:val="auto"/>
        </w:rPr>
        <w:t xml:space="preserve">, on, before and/or as of the date that such Civeo Assets are assigned, transferred, conveyed or delivered or such Civeo Liabilities are assumed (i) Oil States shall execute and deliver, and shall cause its Subsidiaries to execute and deliver, such bills of sale, deeds, stock powers, certificates of title, assignments of contracts and other instruments of transfer, conveyance and assignment as and to the extent necessary to evidence the transfer, conveyance and assignment of all of Oil States’ and its Subsidiaries’ (other than Civeo and its Subsidiaries) right, title and interest in and to the Civeo Assets to Civeo and the Civeo Designees, and (ii) Civeo shall execute and deliver, and shall cause the Civeo Designees to execute and deliver, such assumptions of contracts and other instruments of assumption as and to the extent necessary to evidence the valid and effective assumption of the Civeo Liabilities by Civeo and the Civeo Designees. All of the foregoing documents contemplated by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shall be referred to collectively herein as the “</w:t>
      </w:r>
      <w:r>
        <w:rPr>
          <w:rFonts w:ascii="Arial" w:cs="Arial" w:eastAsia="Arial" w:hAnsi="Arial"/>
          <w:sz w:val="17"/>
          <w:szCs w:val="17"/>
          <w:b w:val="1"/>
          <w:bCs w:val="1"/>
          <w:i w:val="1"/>
          <w:iCs w:val="1"/>
          <w:color w:val="auto"/>
        </w:rPr>
        <w:t>Oil States Transfer Documents.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To the extent any Civeo Asset is not transferred or assigned to, or any Civeo Liability is not assumed by, a member of the Civeo Group at the Distribution Date or is owned or held by a member of the Oil States Group after the Distribution Date, from and after the Distribution Date, any such Civeo Asset or Civeo Liability shall be held by such member of the Oil States Group for the use and benefit of the member of the Civeo Group entitled thereto (at the expense of the member of the Civeo Group entitled thereto) in accordance with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2.5(b)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firstLine="1293"/>
        <w:spacing w:after="0" w:line="286" w:lineRule="auto"/>
        <w:tabs>
          <w:tab w:leader="none" w:pos="2378" w:val="left"/>
        </w:tabs>
        <w:numPr>
          <w:ilvl w:val="1"/>
          <w:numId w:val="10"/>
        </w:numPr>
        <w:rPr>
          <w:rFonts w:ascii="Arial" w:cs="Arial" w:eastAsia="Arial" w:hAnsi="Arial"/>
          <w:sz w:val="17"/>
          <w:szCs w:val="17"/>
          <w:color w:val="auto"/>
        </w:rPr>
      </w:pPr>
      <w:r>
        <w:rPr>
          <w:rFonts w:ascii="Arial" w:cs="Arial" w:eastAsia="Arial" w:hAnsi="Arial"/>
          <w:sz w:val="17"/>
          <w:szCs w:val="17"/>
          <w:color w:val="auto"/>
        </w:rPr>
        <w:t>Oil States shall, and shall cause its applicable Subsidiaries to, as soon as reasonably practicable, assign, transfer, convey and deliver to Civeo or certain of its Subsidiaries designated by Civeo, and Civeo or such Subsidiaries shall accept from Oil States and its applicable Subsidiaries, all of Oil States’ and such Subsidiaries’ respective right, title and interest in and to such Civeo Assets; and</w:t>
      </w:r>
    </w:p>
    <w:p>
      <w:pPr>
        <w:spacing w:after="0" w:line="165" w:lineRule="exact"/>
        <w:rPr>
          <w:rFonts w:ascii="Arial" w:cs="Arial" w:eastAsia="Arial" w:hAnsi="Arial"/>
          <w:sz w:val="17"/>
          <w:szCs w:val="17"/>
          <w:color w:val="auto"/>
        </w:rPr>
      </w:pPr>
    </w:p>
    <w:p>
      <w:pPr>
        <w:ind w:left="660" w:firstLine="1293"/>
        <w:spacing w:after="0" w:line="277" w:lineRule="auto"/>
        <w:tabs>
          <w:tab w:leader="none" w:pos="24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Civeo and certain of its Subsidiaries designated by Civeo shall, as soon as reasonably practicable, accept, assume and agree faithfully to perform, discharge and fulfill all such Civeo Liabilities in accordance with their respective terms.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Civeo hereby waives compliance by each and every member of the Oil States Group with the requirements and provisions of any “bulk-sale” or “bulk-transfer” Laws of any jurisdiction that may otherwise be applicable with respect to the transfer or sale of any or all of the Civeo Assets to any member of the Civeo Group.</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States hereby waives compliance by each and every member of the Civeo Group with the requirements and provisions of any “bulk-sale” or “bulk-transfer” Laws of any jurisdiction that may otherwise be applicable with respect to the transfer or sale of any or all of the Excluded Assets to any member of the Oil States Group.</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u w:val="single" w:color="auto"/>
          <w:color w:val="auto"/>
        </w:rPr>
        <w:t>Civeo Assets</w:t>
      </w:r>
      <w:r>
        <w:rPr>
          <w:rFonts w:ascii="Arial" w:cs="Arial" w:eastAsia="Arial" w:hAnsi="Arial"/>
          <w:sz w:val="15"/>
          <w:szCs w:val="15"/>
          <w:color w:val="auto"/>
        </w:rPr>
        <w:t>.</w:t>
      </w:r>
    </w:p>
    <w:p>
      <w:pPr>
        <w:spacing w:after="0" w:line="229" w:lineRule="exact"/>
        <w:rPr>
          <w:sz w:val="20"/>
          <w:szCs w:val="20"/>
          <w:color w:val="auto"/>
        </w:rPr>
      </w:pPr>
    </w:p>
    <w:p>
      <w:pPr>
        <w:ind w:left="1720" w:hanging="41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Civeo Assets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660" w:firstLine="1293"/>
        <w:spacing w:after="0" w:line="277" w:lineRule="auto"/>
        <w:tabs>
          <w:tab w:leader="none" w:pos="23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all Assets that are expressly provided by this Agreement or any Ancillary Agreement as Assets to be transferred to Civeo or any other member of the Civeo Group, including the Assets listed on </w:t>
      </w:r>
      <w:r>
        <w:rPr>
          <w:rFonts w:ascii="Arial" w:cs="Arial" w:eastAsia="Arial" w:hAnsi="Arial"/>
          <w:sz w:val="18"/>
          <w:szCs w:val="18"/>
          <w:u w:val="single" w:color="auto"/>
          <w:color w:val="auto"/>
        </w:rPr>
        <w:t>Schedule 2.2(a)(i)</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left="660" w:right="20" w:firstLine="1293"/>
        <w:spacing w:after="0" w:line="259" w:lineRule="auto"/>
        <w:tabs>
          <w:tab w:leader="none" w:pos="24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all Civeo Contracts and (B) all issued and outstanding equity interests held by Oil States or its Subsidiaries in the wholly owned Subsidiaries and Affiliates of Oil States that have been or shall be contributed to, or otherwise transferred, conveyed, or assigned to, the Civeo Group or entities that shall be members of the Civeo Group as of the Distribution Date, as listed on </w:t>
      </w:r>
      <w:r>
        <w:rPr>
          <w:rFonts w:ascii="Arial" w:cs="Arial" w:eastAsia="Arial" w:hAnsi="Arial"/>
          <w:sz w:val="18"/>
          <w:szCs w:val="18"/>
          <w:u w:val="single" w:color="auto"/>
          <w:color w:val="auto"/>
        </w:rPr>
        <w:t>Schedule 2.2(a)(ii)(B)</w:t>
      </w:r>
      <w:r>
        <w:rPr>
          <w:rFonts w:ascii="Arial" w:cs="Arial" w:eastAsia="Arial" w:hAnsi="Arial"/>
          <w:sz w:val="18"/>
          <w:szCs w:val="18"/>
          <w:color w:val="auto"/>
        </w:rPr>
        <w:t xml:space="preserve"> (such Subsidiaries and entities, the “</w:t>
      </w:r>
      <w:r>
        <w:rPr>
          <w:rFonts w:ascii="Arial" w:cs="Arial" w:eastAsia="Arial" w:hAnsi="Arial"/>
          <w:sz w:val="18"/>
          <w:szCs w:val="18"/>
          <w:b w:val="1"/>
          <w:bCs w:val="1"/>
          <w:i w:val="1"/>
          <w:iCs w:val="1"/>
          <w:color w:val="auto"/>
        </w:rPr>
        <w:t>Transferred Entities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1293"/>
        <w:spacing w:after="0" w:line="277" w:lineRule="auto"/>
        <w:tabs>
          <w:tab w:leader="none" w:pos="25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Assets reflected as assets of Civeo or its Subsidiaries on the Civeo Balance Sheet, subject to any dispositions of such Assets subsequent to the date of the Civeo Balance Sheet;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Civeo Intellectual Property; and</w:t>
      </w:r>
    </w:p>
    <w:p>
      <w:pPr>
        <w:spacing w:after="0" w:line="225" w:lineRule="exact"/>
        <w:rPr>
          <w:rFonts w:ascii="Arial" w:cs="Arial" w:eastAsia="Arial" w:hAnsi="Arial"/>
          <w:sz w:val="18"/>
          <w:szCs w:val="18"/>
          <w:color w:val="auto"/>
        </w:rPr>
      </w:pPr>
    </w:p>
    <w:p>
      <w:pPr>
        <w:ind w:left="660" w:firstLine="1293"/>
        <w:spacing w:after="0" w:line="277" w:lineRule="auto"/>
        <w:tabs>
          <w:tab w:leader="none" w:pos="24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and all Assets owned and used or held for use immediately prior to the Distribution Date by Oil States or any of its Subsidiaries exclusively in the Civeo Business.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the Civeo Assets shall not, in any event, include the Excluded Assets referred to in </w:t>
      </w:r>
      <w:r>
        <w:rPr>
          <w:rFonts w:ascii="Arial" w:cs="Arial" w:eastAsia="Arial" w:hAnsi="Arial"/>
          <w:sz w:val="18"/>
          <w:szCs w:val="18"/>
          <w:u w:val="single" w:color="auto"/>
          <w:color w:val="auto"/>
        </w:rPr>
        <w:t>Section 2.2(b)</w:t>
      </w:r>
      <w:r>
        <w:rPr>
          <w:rFonts w:ascii="Arial" w:cs="Arial" w:eastAsia="Arial" w:hAnsi="Arial"/>
          <w:sz w:val="18"/>
          <w:szCs w:val="18"/>
          <w:color w:val="auto"/>
        </w:rPr>
        <w:t>. All rights of the Civeo Group in respect of Oil States insurance policies are set forth in the Indemnification and Release Agreement and shall not otherwise be included in the Civeo Assets.</w:t>
      </w:r>
    </w:p>
    <w:p>
      <w:pPr>
        <w:spacing w:after="0" w:line="181" w:lineRule="exact"/>
        <w:rPr>
          <w:sz w:val="20"/>
          <w:szCs w:val="20"/>
          <w:color w:val="auto"/>
        </w:rPr>
      </w:pPr>
    </w:p>
    <w:p>
      <w:pPr>
        <w:ind w:left="1740" w:hanging="435"/>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660" w:firstLine="1293"/>
        <w:spacing w:after="0" w:line="277" w:lineRule="auto"/>
        <w:tabs>
          <w:tab w:leader="none" w:pos="24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Assets that are expressly contemplated by this Agreement or any Ancillary Agreement as Assets to be retained by Oil States or any other member of the Oil States Group;</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any cash or cash equivalents withdrawn from Civeo Accounts in accordance with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Oil States Intellectual Property, Oil States Software and the Oil States Technology;</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Shared Contracts (other than Civeo Assets arising under any Shared Contracts); and</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any and all Assets of any members of the Oil States Group that are not Civeo Assets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Civeo Liabilities</w:t>
      </w:r>
      <w:r>
        <w:rPr>
          <w:rFonts w:ascii="Arial" w:cs="Arial" w:eastAsia="Arial" w:hAnsi="Arial"/>
          <w:sz w:val="16"/>
          <w:szCs w:val="16"/>
          <w:color w:val="auto"/>
        </w:rPr>
        <w:t>.</w:t>
      </w:r>
    </w:p>
    <w:p>
      <w:pPr>
        <w:spacing w:after="0" w:line="229" w:lineRule="exact"/>
        <w:rPr>
          <w:sz w:val="20"/>
          <w:szCs w:val="20"/>
          <w:color w:val="auto"/>
        </w:rPr>
      </w:pPr>
    </w:p>
    <w:p>
      <w:pPr>
        <w:ind w:left="1720" w:hanging="415"/>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Civeo Liabilities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Liabilities, including any Environmental Liabilities, relating to, arising out of or resulting from: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ind w:left="640" w:right="20" w:firstLine="1301"/>
        <w:spacing w:after="0" w:line="264" w:lineRule="auto"/>
        <w:tabs>
          <w:tab w:leader="none" w:pos="24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 or ownership of the Civeo Business, as conducted at any time prior to, on or after the Distribution Date (including any Liability relating to, arising out of or resulting from any act or failure to act by any Person (whether or not such act or failure to act is or was within such Person’s authority));</w:t>
      </w:r>
    </w:p>
    <w:p>
      <w:pPr>
        <w:spacing w:after="0" w:line="181" w:lineRule="exact"/>
        <w:rPr>
          <w:rFonts w:ascii="Arial" w:cs="Arial" w:eastAsia="Arial" w:hAnsi="Arial"/>
          <w:sz w:val="18"/>
          <w:szCs w:val="18"/>
          <w:color w:val="auto"/>
        </w:rPr>
      </w:pPr>
    </w:p>
    <w:p>
      <w:pPr>
        <w:jc w:val="both"/>
        <w:ind w:left="640" w:firstLine="1301"/>
        <w:spacing w:after="0" w:line="302" w:lineRule="auto"/>
        <w:tabs>
          <w:tab w:leader="none" w:pos="2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operation or ownership of any other business conducted by any member of the Civeo Group, any entity that shall be a member of the Civeo Group as of the Distribution Date or their predecessors in interest at any time prior to, on or after the Distribution Date (including any Liability relating to, arising out of or resulting from any act or failure to act by any Person (whether or not such act or failure to act is or was within such Person’s authority)) and to the extent that such Liabilities relate to the Civeo Business; or</w:t>
      </w:r>
    </w:p>
    <w:p>
      <w:pPr>
        <w:spacing w:after="0" w:line="154" w:lineRule="exact"/>
        <w:rPr>
          <w:rFonts w:ascii="Arial" w:cs="Arial" w:eastAsia="Arial" w:hAnsi="Arial"/>
          <w:sz w:val="16"/>
          <w:szCs w:val="16"/>
          <w:color w:val="auto"/>
        </w:rPr>
      </w:pPr>
    </w:p>
    <w:p>
      <w:pPr>
        <w:ind w:left="640" w:right="20" w:firstLine="1301"/>
        <w:spacing w:after="0" w:line="277" w:lineRule="auto"/>
        <w:tabs>
          <w:tab w:leader="none" w:pos="24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Civeo Assets, including any Civeo Contracts, Shared Contracts (to the extent related to the Civeo Business) and any real property and leasehold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any such case, whether arising before, on or after the Distribution Date;</w:t>
      </w:r>
    </w:p>
    <w:p>
      <w:pPr>
        <w:spacing w:after="0" w:line="225" w:lineRule="exact"/>
        <w:rPr>
          <w:sz w:val="20"/>
          <w:szCs w:val="20"/>
          <w:color w:val="auto"/>
        </w:rPr>
      </w:pPr>
    </w:p>
    <w:p>
      <w:pPr>
        <w:jc w:val="both"/>
        <w:ind w:firstLine="1293"/>
        <w:spacing w:after="0" w:line="264" w:lineRule="auto"/>
        <w:tabs>
          <w:tab w:leader="none" w:pos="17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Liabilities listed on </w:t>
      </w:r>
      <w:r>
        <w:rPr>
          <w:rFonts w:ascii="Arial" w:cs="Arial" w:eastAsia="Arial" w:hAnsi="Arial"/>
          <w:sz w:val="18"/>
          <w:szCs w:val="18"/>
          <w:u w:val="single" w:color="auto"/>
          <w:color w:val="auto"/>
        </w:rPr>
        <w:t>Schedule 2.3(a)(ii)</w:t>
      </w:r>
      <w:r>
        <w:rPr>
          <w:rFonts w:ascii="Arial" w:cs="Arial" w:eastAsia="Arial" w:hAnsi="Arial"/>
          <w:sz w:val="18"/>
          <w:szCs w:val="18"/>
          <w:color w:val="auto"/>
        </w:rPr>
        <w:t xml:space="preserve"> and any and all other Liabilities that are expressly provided by this Agreement or any Ancillary Agreement as Liabilities to be assumed by Civeo or any member of the Civeo Group, and all agreements, obligations and Liabilities of any member of the Civeo Group under this Agreement or any of the Ancillary Agreements;</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relating to, arising out of or resulting from the Civeo Financing Arrangements;</w:t>
      </w:r>
    </w:p>
    <w:p>
      <w:pPr>
        <w:spacing w:after="0" w:line="225" w:lineRule="exact"/>
        <w:rPr>
          <w:rFonts w:ascii="Arial" w:cs="Arial" w:eastAsia="Arial" w:hAnsi="Arial"/>
          <w:sz w:val="18"/>
          <w:szCs w:val="18"/>
          <w:color w:val="auto"/>
        </w:rPr>
      </w:pPr>
    </w:p>
    <w:p>
      <w:pPr>
        <w:ind w:firstLine="1293"/>
        <w:spacing w:after="0" w:line="277" w:lineRule="auto"/>
        <w:tabs>
          <w:tab w:leader="none" w:pos="18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reflected as liabilities or obligations of Civeo or its Subsidiaries on the Civeo Balance Sheet, subject to any discharge of such Liabilities subsequent to the date of the Civeo Balance Sheet; and</w:t>
      </w:r>
    </w:p>
    <w:p>
      <w:pPr>
        <w:spacing w:after="0" w:line="170" w:lineRule="exact"/>
        <w:rPr>
          <w:rFonts w:ascii="Arial" w:cs="Arial" w:eastAsia="Arial" w:hAnsi="Arial"/>
          <w:sz w:val="18"/>
          <w:szCs w:val="18"/>
          <w:color w:val="auto"/>
        </w:rPr>
      </w:pPr>
    </w:p>
    <w:p>
      <w:pPr>
        <w:jc w:val="both"/>
        <w:ind w:firstLine="1293"/>
        <w:spacing w:after="0" w:line="264" w:lineRule="auto"/>
        <w:tabs>
          <w:tab w:leader="none" w:pos="17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Liabilities arising out of claims made by the respective directors, officers, stockholders, employees, agents, Subsidiaries or Affiliates of either Group against any member of either Group to the extent relating to, arising out of or resulting from the Civeo Business or the other businesses, operations, activities or Liabilities referred to in clauses (i) through (iv) above, inclusive.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the Civeo Liabilities shall not include the Excluded Liabilities referred to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1080" w:hanging="435"/>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b w:val="1"/>
          <w:bCs w:val="1"/>
          <w:i w:val="1"/>
          <w:iCs w:val="1"/>
          <w:color w:val="auto"/>
        </w:rPr>
        <w:t>Excluded Liabilities</w:t>
      </w:r>
      <w:r>
        <w:rPr>
          <w:rFonts w:ascii="Arial" w:cs="Arial" w:eastAsia="Arial" w:hAnsi="Arial"/>
          <w:sz w:val="18"/>
          <w:szCs w:val="18"/>
          <w:color w:val="auto"/>
        </w:rPr>
        <w:t>” means (without duplication):</w:t>
      </w:r>
    </w:p>
    <w:p>
      <w:pPr>
        <w:spacing w:after="0" w:line="225" w:lineRule="exact"/>
        <w:rPr>
          <w:rFonts w:ascii="Arial" w:cs="Arial" w:eastAsia="Arial" w:hAnsi="Arial"/>
          <w:sz w:val="18"/>
          <w:szCs w:val="18"/>
          <w:color w:val="auto"/>
        </w:rPr>
      </w:pPr>
    </w:p>
    <w:p>
      <w:pPr>
        <w:jc w:val="both"/>
        <w:ind w:firstLine="1293"/>
        <w:spacing w:after="0" w:line="264" w:lineRule="auto"/>
        <w:tabs>
          <w:tab w:leader="none" w:pos="17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Liabilities that are expressly contemplated by this Agreement or any Ancillary Agreement as Liabilities to be retained or assumed by Oil States or any other member of the Oil States Group, and all agreements and obligations of any member of the Oil States Group under this Agreement or any of the Ancillary Agreements;</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3" w:name="page24"/>
    <w:bookmarkEnd w:id="23"/>
    <w:p>
      <w:pPr>
        <w:ind w:left="660" w:firstLine="1293"/>
        <w:spacing w:after="0" w:line="308" w:lineRule="auto"/>
        <w:tabs>
          <w:tab w:leader="none" w:pos="24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and all Liabilities of a member of the Oil States Group to the extent relating to, arising out of or resulting from any Excluded Assets (other than Liabilities arising under any Shared Contracts to the extent such Liabilities relate to the Civeo Business); and</w:t>
      </w:r>
    </w:p>
    <w:p>
      <w:pPr>
        <w:spacing w:after="0" w:line="146" w:lineRule="exact"/>
        <w:rPr>
          <w:rFonts w:ascii="Arial" w:cs="Arial" w:eastAsia="Arial" w:hAnsi="Arial"/>
          <w:sz w:val="17"/>
          <w:szCs w:val="17"/>
          <w:color w:val="auto"/>
        </w:rPr>
      </w:pPr>
    </w:p>
    <w:p>
      <w:pPr>
        <w:jc w:val="both"/>
        <w:ind w:left="660" w:firstLine="1293"/>
        <w:spacing w:after="0" w:line="264" w:lineRule="auto"/>
        <w:tabs>
          <w:tab w:leader="none" w:pos="24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Liabilities arising out of claims made by the respective directors, officers, stockholders, employees, agents, Subsidiaries or Affiliates of either Group against any member of either Group to the extent relating to, arising out of or resulting from the Oil States Business or the other businesses, operations, activities or Liabilities referred to in clauses (i) and (ii) above.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Transfer of Excluded Assets; Assumption of Excluded Liabilities</w:t>
      </w:r>
      <w:r>
        <w:rPr>
          <w:rFonts w:ascii="Arial" w:cs="Arial" w:eastAsia="Arial" w:hAnsi="Arial"/>
          <w:sz w:val="16"/>
          <w:szCs w:val="16"/>
          <w:color w:val="auto"/>
        </w:rPr>
        <w:t>.</w:t>
      </w:r>
    </w:p>
    <w:p>
      <w:pPr>
        <w:spacing w:after="0" w:line="229" w:lineRule="exact"/>
        <w:rPr>
          <w:sz w:val="20"/>
          <w:szCs w:val="20"/>
          <w:color w:val="auto"/>
        </w:rPr>
      </w:pPr>
    </w:p>
    <w:p>
      <w:pPr>
        <w:jc w:val="both"/>
        <w:ind w:right="20" w:firstLine="1305"/>
        <w:spacing w:after="0" w:line="279" w:lineRule="auto"/>
        <w:tabs>
          <w:tab w:leader="none" w:pos="1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To the extent any Excluded Asset is transferred or assigned to, or any Excluded Liability is assumed by, a member of the Civeo Group at the Distribution Date or is owned or held by a member of the Civeo Group after the Distribution Date, from and after the Distribution Date, any such Excluded Asset or Excluded Liability shall be held by such member of the Civeo Group for the use and benefit of the member of the Oil States Group entitled thereto (at the expense of the member of the Oil States Group entitled thereto) in accordance with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and:</w:t>
      </w:r>
    </w:p>
    <w:p>
      <w:pPr>
        <w:spacing w:after="0" w:line="171" w:lineRule="exact"/>
        <w:rPr>
          <w:rFonts w:ascii="Arial" w:cs="Arial" w:eastAsia="Arial" w:hAnsi="Arial"/>
          <w:sz w:val="17"/>
          <w:szCs w:val="17"/>
          <w:color w:val="auto"/>
        </w:rPr>
      </w:pPr>
    </w:p>
    <w:p>
      <w:pPr>
        <w:jc w:val="both"/>
        <w:ind w:left="660" w:firstLine="1293"/>
        <w:spacing w:after="0" w:line="286" w:lineRule="auto"/>
        <w:tabs>
          <w:tab w:leader="none" w:pos="24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Civeo shall, and shall cause its applicable Subsidiaries to, as soon as reasonably practicable, assign, transfer, convey and deliver to Oil States or certain of its Subsidiaries designated by Oil States, and Oil States or such Subsidiaries shall accept from Civeo and its applicable Subsidiaries, all of Civeo’s and such Subsidiaries’ respective right, title and interest in and to such Excluded Assets; and</w:t>
      </w:r>
    </w:p>
    <w:p>
      <w:pPr>
        <w:spacing w:after="0" w:line="165" w:lineRule="exact"/>
        <w:rPr>
          <w:rFonts w:ascii="Arial" w:cs="Arial" w:eastAsia="Arial" w:hAnsi="Arial"/>
          <w:sz w:val="17"/>
          <w:szCs w:val="17"/>
          <w:color w:val="auto"/>
        </w:rPr>
      </w:pPr>
    </w:p>
    <w:p>
      <w:pPr>
        <w:ind w:left="660" w:firstLine="1293"/>
        <w:spacing w:after="0" w:line="308" w:lineRule="auto"/>
        <w:tabs>
          <w:tab w:leader="none" w:pos="2404" w:val="left"/>
        </w:tabs>
        <w:numPr>
          <w:ilvl w:val="1"/>
          <w:numId w:val="19"/>
        </w:numPr>
        <w:rPr>
          <w:rFonts w:ascii="Arial" w:cs="Arial" w:eastAsia="Arial" w:hAnsi="Arial"/>
          <w:sz w:val="17"/>
          <w:szCs w:val="17"/>
          <w:color w:val="auto"/>
        </w:rPr>
      </w:pPr>
      <w:r>
        <w:rPr>
          <w:rFonts w:ascii="Arial" w:cs="Arial" w:eastAsia="Arial" w:hAnsi="Arial"/>
          <w:sz w:val="17"/>
          <w:szCs w:val="17"/>
          <w:color w:val="auto"/>
        </w:rPr>
        <w:t>Oil States and certain of its Subsidiaries designated by Oil States shall, as soon as reasonably practicable, accept, assume and agree faithfully to perform, discharge and fulfill all such Excluded Liabilities in accordance with their respective terms.</w:t>
      </w:r>
    </w:p>
    <w:p>
      <w:pPr>
        <w:spacing w:after="0" w:line="146" w:lineRule="exact"/>
        <w:rPr>
          <w:rFonts w:ascii="Arial" w:cs="Arial" w:eastAsia="Arial" w:hAnsi="Arial"/>
          <w:sz w:val="17"/>
          <w:szCs w:val="17"/>
          <w:color w:val="auto"/>
        </w:rPr>
      </w:pPr>
    </w:p>
    <w:p>
      <w:pPr>
        <w:jc w:val="both"/>
        <w:ind w:firstLine="1305"/>
        <w:spacing w:after="0" w:line="290" w:lineRule="auto"/>
        <w:tabs>
          <w:tab w:leader="none" w:pos="17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furtherance of the assignment, transfer, conveyance and delivery of Excluded Assets and the assumption of Excluded Liabilities set forth in </w:t>
      </w:r>
      <w:r>
        <w:rPr>
          <w:rFonts w:ascii="Arial" w:cs="Arial" w:eastAsia="Arial" w:hAnsi="Arial"/>
          <w:sz w:val="16"/>
          <w:szCs w:val="16"/>
          <w:u w:val="single" w:color="auto"/>
          <w:color w:val="auto"/>
        </w:rPr>
        <w:t>Sections 2.4(a)(i)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2.4(a)(ii)</w:t>
      </w:r>
      <w:r>
        <w:rPr>
          <w:rFonts w:ascii="Arial" w:cs="Arial" w:eastAsia="Arial" w:hAnsi="Arial"/>
          <w:sz w:val="16"/>
          <w:szCs w:val="16"/>
          <w:color w:val="auto"/>
        </w:rPr>
        <w:t xml:space="preserve">, and without any additional consideration therefor: (i) Civeo shall execute and deliver, and shall cause its Subsidiaries to execute and deliver, such bills of sale, quitclaim deeds, stock powers, certificates of title, assignments of contracts and other instruments of transfer, conveyance and assignment as and to the extent necessary to evidence the transfer, conveyance and assignment of all of Civeo’s and its Subsidiaries’ right, title and interest in and to the Excluded Assets to Oil States and its Subsidiaries, and (ii) Oil States shall execute and deliver, and shall cause its Subsidiaries to execute and deliver, such assumptions of contracts and other instruments of assumption as and to the extent necessary to evidence the valid and effective assumption of the Excluded Liabilities. All of the foregoing documents contemplated by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by </w:t>
      </w:r>
      <w:r>
        <w:rPr>
          <w:rFonts w:ascii="Arial" w:cs="Arial" w:eastAsia="Arial" w:hAnsi="Arial"/>
          <w:sz w:val="16"/>
          <w:szCs w:val="16"/>
          <w:u w:val="single" w:color="auto"/>
          <w:color w:val="auto"/>
        </w:rPr>
        <w:t>Sections 2.1(a)(iii)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2.1(a)(iv)</w:t>
      </w:r>
      <w:r>
        <w:rPr>
          <w:rFonts w:ascii="Arial" w:cs="Arial" w:eastAsia="Arial" w:hAnsi="Arial"/>
          <w:sz w:val="16"/>
          <w:szCs w:val="16"/>
          <w:color w:val="auto"/>
        </w:rPr>
        <w:t xml:space="preserve"> shall be referred to collectively herein as the “</w:t>
      </w:r>
      <w:r>
        <w:rPr>
          <w:rFonts w:ascii="Arial" w:cs="Arial" w:eastAsia="Arial" w:hAnsi="Arial"/>
          <w:sz w:val="16"/>
          <w:szCs w:val="16"/>
          <w:b w:val="1"/>
          <w:bCs w:val="1"/>
          <w:i w:val="1"/>
          <w:iCs w:val="1"/>
          <w:color w:val="auto"/>
        </w:rPr>
        <w:t>Civeo Transfer Documents</w:t>
      </w:r>
      <w:r>
        <w:rPr>
          <w:rFonts w:ascii="Arial" w:cs="Arial" w:eastAsia="Arial" w:hAnsi="Arial"/>
          <w:sz w:val="16"/>
          <w:szCs w:val="16"/>
          <w:color w:val="auto"/>
        </w:rPr>
        <w:t>” and, together with the Oil States Transfer Documents, the “</w:t>
      </w:r>
      <w:r>
        <w:rPr>
          <w:rFonts w:ascii="Arial" w:cs="Arial" w:eastAsia="Arial" w:hAnsi="Arial"/>
          <w:sz w:val="16"/>
          <w:szCs w:val="16"/>
          <w:b w:val="1"/>
          <w:bCs w:val="1"/>
          <w:i w:val="1"/>
          <w:iCs w:val="1"/>
          <w:color w:val="auto"/>
        </w:rPr>
        <w:t>Transfer Documents.</w:t>
      </w:r>
      <w:r>
        <w:rPr>
          <w:rFonts w:ascii="Arial" w:cs="Arial" w:eastAsia="Arial" w:hAnsi="Arial"/>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u w:val="single" w:color="auto"/>
          <w:color w:val="auto"/>
        </w:rPr>
        <w:t>Approvals and Notifications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8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To the extent that the transfer or assignment of any Civeo Asset, the assumption of any Civeo Liability, the Separation or the Distribution requires any Approvals or Notifications, the parties will endeavor to obtain or make such Approvals or Notifications as soon as reasonably practicable;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expressly provided in this Agreement or any of the Ancillary Agreements or as otherwise agreed between Oil States and Civeo, neither Oil States nor Civeo shall be obligated to contribute capital or pay any consideration in any form (including providing any letter of credit, guaranty or other financial accommodation) to any Person in order to obtain or make such Approvals or Notifications.</w:t>
      </w:r>
    </w:p>
    <w:p>
      <w:pPr>
        <w:spacing w:after="0" w:line="158" w:lineRule="exact"/>
        <w:rPr>
          <w:rFonts w:ascii="Arial" w:cs="Arial" w:eastAsia="Arial" w:hAnsi="Arial"/>
          <w:sz w:val="16"/>
          <w:szCs w:val="16"/>
          <w:color w:val="auto"/>
        </w:rPr>
      </w:pPr>
    </w:p>
    <w:p>
      <w:pPr>
        <w:jc w:val="both"/>
        <w:ind w:firstLine="1305"/>
        <w:spacing w:after="0" w:line="272" w:lineRule="auto"/>
        <w:tabs>
          <w:tab w:leader="none" w:pos="1879"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to the extent that the valid, complete and perfected transfer or assignment to the Civeo Group of any Civeo Assets or assumption by the Civeo Group of any Civeo Liabilities would be a violation of applicable Law, or require any Approvals or Notifications in connection with the Separation or the Distribution that have not been obtained or made by the Distribution Date, then, unless the parties hereto shall otherwise mutually determine, the transfer or assignment to the Civeo Group of such Civeo Assets or the assumption by the Civeo Group of such Civeo Liabilities, as the case may be, shall be automatically deemed deferred and any such purported transfer, assignment or assumption shall be null and void until such time as all legal impediments are removed or such Approvals or Notifications have been obtained or made. Notwithstanding the foregoing, any such Civeo Assets or Civeo Liabilities shall continue to constitute Civeo Assets and Civeo Liabilities for all other purposes of this Agreement.</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7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If any transfer or assignment of any Civeo Asset or any assumption of any Civeo Liability intended to be transferred, assigned or assumed hereunder, as the case may be, is not consummated on or prior to the Distribution Date, whether as a result of the provisions of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for any other reason, then, insofar as reasonably possible, the member of the Oil States Group retaining such Civeo Asset or such Civeo Liability, as the case may be, shall thereafter hold such Civeo Asset or Civeo Liability, as the case may be, for the use and benefit of the member of the Civeo Group entitled thereto (at the expense of the member of the Civeo Group entitled thereto). In addition, the member of the Oil States Group retaining such Civeo Asset or such Civeo Liability shall, insofar as reasonably possible and to the extent permitted by applicable Law, treat such Civeo Asset or Civeo Liability in the ordinary course of business in accordance with past practice and take such other actions as may be reasonably requested by the member of the Civeo Group to whom such Civeo Asset is to be transferred or assigned, or which will assume such Civeo Liability, as the case may be, in order to place such member of the Civeo Group in a substantially similar position as if such Civeo Asset or Civeo Liability had been transferred, assigned or assumed as contemplated hereby and so that all the benefits and burdens relating to such Civeo Asset or Civeo Liability, as the case may be, including use, risk of loss, potential for gain, and dominion, control and command over such Civeo Asset or Civeo Liability, as the case may be, and all costs and expenses related thereto, shall inure from and after the Distribution Date to the Civeo Group. Notwithstanding anything to the contrary in this Agreement, the transfer and assignment of the Specified General Marine Leasing Assets shall be made in accordance with </w:t>
      </w:r>
      <w:r>
        <w:rPr>
          <w:rFonts w:ascii="Arial" w:cs="Arial" w:eastAsia="Arial" w:hAnsi="Arial"/>
          <w:sz w:val="16"/>
          <w:szCs w:val="16"/>
          <w:u w:val="single" w:color="auto"/>
          <w:color w:val="auto"/>
        </w:rPr>
        <w:t>Schedule 1.1D</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ind w:firstLine="1305"/>
        <w:spacing w:after="0" w:line="269" w:lineRule="auto"/>
        <w:tabs>
          <w:tab w:leader="none" w:pos="18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If any transfer or assignment of any Excluded Asset or any assumption of any Excluded Liability not intended to be transferred, assigned or assumed hereunder, as the case may be, is consummated on or prior to the Distribution Date (as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then, insofar as reasonably possible, the member of the Civeo Group holding or owning such Excluded Asset or such Excluded Liability, as the case may be, shall thereafter hold such Excluded Asset or Excluded Liability, as the case may be, for the use and benefit of the member of the Oil States Group entitled thereto (at the expense of the member of the Oil States Group entitled thereto). In addition, the member of the Civeo Group retaining such Excluded Asset or such Excluded Liability shall, insofar as reasonably possible and to the extent permitted by applicable Law, treat such Excluded Asset or Excluded Liability in the ordinary course of business in accordance with past practice and take such other actions as may be reasonably requested by the member of the Oil States Group to whom such Excluded Asset is to be transferred or assigned, or which will assume such Excluded Liability, as the case may be, in order to place such member of the Oil States Group in a substantially similar position as if such Excluded Asset or Excluded Liability had not been so transferred, assigned or assumed and so that all the benefits and burdens relating to such Excluded Asset or Excluded Liability, as the case may be, including use, risk of loss, potential for gain, and dominion, control and command over such Excluded Asset or Excluded Liability, as the case may be, and all costs and expenses related thereto, shall inure from and after the Distribution Date to the Oil States Group.</w:t>
      </w:r>
    </w:p>
    <w:p>
      <w:pPr>
        <w:spacing w:after="0" w:line="179" w:lineRule="exact"/>
        <w:rPr>
          <w:rFonts w:ascii="Arial" w:cs="Arial" w:eastAsia="Arial" w:hAnsi="Arial"/>
          <w:sz w:val="17"/>
          <w:szCs w:val="17"/>
          <w:color w:val="auto"/>
        </w:rPr>
      </w:pPr>
    </w:p>
    <w:p>
      <w:pPr>
        <w:jc w:val="both"/>
        <w:ind w:firstLine="1305"/>
        <w:spacing w:after="0" w:line="257" w:lineRule="auto"/>
        <w:tabs>
          <w:tab w:leader="none" w:pos="17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If and when the Approvals or Notifications, the absence of which caused the deferral of transfer or assignment of any Civeo Asset or the deferral of assumption of any Civeo Liability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are obtained or made, and, if and when any other legal impediments for the transfer or assignment of any Civeo Asset or the assumption of any Civeo Liability have been removed, the transfer or assignment of the applicable Civeo Asset or the assumption of the applicable Civeo Liability, as the case may be, shall be effected in accordance with the terms of this Agreement and/or the applicable Ancillary Agreement.</w:t>
      </w:r>
    </w:p>
    <w:p>
      <w:pPr>
        <w:spacing w:after="0" w:line="188" w:lineRule="exact"/>
        <w:rPr>
          <w:rFonts w:ascii="Arial" w:cs="Arial" w:eastAsia="Arial" w:hAnsi="Arial"/>
          <w:sz w:val="18"/>
          <w:szCs w:val="18"/>
          <w:color w:val="auto"/>
        </w:rPr>
      </w:pPr>
    </w:p>
    <w:p>
      <w:pPr>
        <w:jc w:val="both"/>
        <w:ind w:firstLine="1305"/>
        <w:spacing w:after="0" w:line="293" w:lineRule="auto"/>
        <w:tabs>
          <w:tab w:leader="none" w:pos="17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Except as otherwise agreed between Oil States and Civeo, (i) any member of the Oil States Group retaining a Civeo Asset or Civeo Liability (whether as a result of the provisions of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or for any other reason), and (ii) any member of the Civeo Group holding or owning an Excluded Asset or Excluded Liability due to a transfer or assignment to, or assumption by, such member of the Civeo Group (as described in </w:t>
      </w:r>
      <w:r>
        <w:rPr>
          <w:rFonts w:ascii="Arial" w:cs="Arial" w:eastAsia="Arial" w:hAnsi="Arial"/>
          <w:sz w:val="16"/>
          <w:szCs w:val="16"/>
          <w:u w:val="single" w:color="auto"/>
          <w:color w:val="auto"/>
        </w:rPr>
        <w:t>Section 2.4(a)</w:t>
      </w:r>
      <w:r>
        <w:rPr>
          <w:rFonts w:ascii="Arial" w:cs="Arial" w:eastAsia="Arial" w:hAnsi="Arial"/>
          <w:sz w:val="16"/>
          <w:szCs w:val="16"/>
          <w:color w:val="auto"/>
        </w:rPr>
        <w:t>), shall not be obligated, in order to effect the transfer of such Asset or Liability to the Group member entitled thereto, to expend any money unless the necessary funds are advanced (or otherwise made available) by the Group member entitled thereto, other than reasonable out-of-pocket expenses, attorneys’ fees and recording or similar fees, all of which shall be promptly reimbursed by the Group member entitled to such Asset or Liability.</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Novation of Civeo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Oil States and Civeo, at the request of the other, shall endeavor, if reasonably practicable, to obtain, or to cause to be obtained, if reasonably practicable, any consent, substitution, approval or amendment required to novate or assign all obligations under agreements, leases, licenses and other obligations or Liabilities of any nature whatsoever that constitute Civeo Liabilities, or to obtain in writing the unconditional release of all parties to such arrangements other than any member of the Civeo Group, so that, in any such case, the members of the Civeo Group will be solely responsible for the Civeo Liabilities; provided, however, that Oil States shall not be obligated to contribute any capital or pay any consideration in any form (including providing any letter of credit, guaranty or other financial accommodation) to any third Person from whom any such consent, substitution, approval, amendment or release is requested.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1305"/>
        <w:spacing w:after="0" w:line="270" w:lineRule="auto"/>
        <w:tabs>
          <w:tab w:leader="none" w:pos="17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Oil States or Civeo is unable to obtain, or to cause to be obtained, any such required consent, substitution, approval, amendment or release and the applicable member of the Oil States Group continues to be bound by such agreement, lease, license or other obligation or Liability (each, an “</w:t>
      </w:r>
      <w:r>
        <w:rPr>
          <w:rFonts w:ascii="Arial" w:cs="Arial" w:eastAsia="Arial" w:hAnsi="Arial"/>
          <w:sz w:val="17"/>
          <w:szCs w:val="17"/>
          <w:b w:val="1"/>
          <w:bCs w:val="1"/>
          <w:i w:val="1"/>
          <w:iCs w:val="1"/>
          <w:color w:val="auto"/>
        </w:rPr>
        <w:t>Unreleased Civeo Liability</w:t>
      </w:r>
      <w:r>
        <w:rPr>
          <w:rFonts w:ascii="Arial" w:cs="Arial" w:eastAsia="Arial" w:hAnsi="Arial"/>
          <w:sz w:val="17"/>
          <w:szCs w:val="17"/>
          <w:color w:val="auto"/>
        </w:rPr>
        <w:t>”), Civeo shall, to the extent not prohibited by Law, as indemnitor, guarantor, agent or subcontractor for such member of the Oil States Group, as the case may be, (i) pay, perform and discharge fully all the obligations or other Liabilities of such member of the Oil States Group that constitute Unreleased Civeo Liabilities from and after the Distribution Date and (ii) use its commercially reasonable efforts to effect such payment, performance, or discharge prior to any demand for such payment, performance, or discharge is permitted to be made by the obligee thereunder on any member of the Oil States Group. If and when any such consent, substitution, approval, amendment or release shall be obtained or the Unreleased Civeo Liabilities shall otherwise become assignable or able to be novated, Oil States shall promptly assign, or cause to be assigned, and Civeo or the applicable Civeo Group member shall assume, such Unreleased Civeo Liabilities without exchange of further consideration.</w:t>
      </w:r>
    </w:p>
    <w:p>
      <w:pPr>
        <w:spacing w:after="0" w:line="1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u w:val="single" w:color="auto"/>
          <w:color w:val="auto"/>
        </w:rPr>
        <w:t>Novation of Excluded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Oil States and Civeo, at the request of the other, shall endeavor, if reasonably practicable, to obtain, or to cause to be obtained, if reasonably practicable, any consent, substitution, approval or amendment required to novate or assign all obligations under agreements, leases, licenses and other obligations or Liabilities of any nature whatsoever that constitute Excluded Liabilities, or to obtain in writing the unconditional release of all parties to such arrangements other than any member of the Oil States Group, so that, in any such case, the members of the Oil States Group will be solely responsible for such Excluded Liabilities; provided, however, that neither Oil States nor Civeo shall be obligated to contribute any capital or pay any consideration in any form (including providing any letter of credit, guaranty or other financial accommodation) to any third Person from whom any such consent, substitution, approval, amendment or release is requested.</w:t>
      </w:r>
    </w:p>
    <w:p>
      <w:pPr>
        <w:spacing w:after="0" w:line="189" w:lineRule="exact"/>
        <w:rPr>
          <w:rFonts w:ascii="Arial" w:cs="Arial" w:eastAsia="Arial" w:hAnsi="Arial"/>
          <w:sz w:val="18"/>
          <w:szCs w:val="18"/>
          <w:color w:val="auto"/>
        </w:rPr>
      </w:pPr>
    </w:p>
    <w:p>
      <w:pPr>
        <w:jc w:val="both"/>
        <w:ind w:firstLine="1305"/>
        <w:spacing w:after="0" w:line="289" w:lineRule="auto"/>
        <w:tabs>
          <w:tab w:leader="none" w:pos="17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Oil States or Civeo is unable to obtain, or to cause to be obtained, any such required consent, substitution, approval, amendment or release and the applicable member of the Civeo Group continues to be bound by such agreement, lease, license or other obligation or Liability (each, an “</w:t>
      </w:r>
      <w:r>
        <w:rPr>
          <w:rFonts w:ascii="Arial" w:cs="Arial" w:eastAsia="Arial" w:hAnsi="Arial"/>
          <w:sz w:val="16"/>
          <w:szCs w:val="16"/>
          <w:b w:val="1"/>
          <w:bCs w:val="1"/>
          <w:i w:val="1"/>
          <w:iCs w:val="1"/>
          <w:color w:val="auto"/>
        </w:rPr>
        <w:t>Unreleased Excluded Liability</w:t>
      </w:r>
      <w:r>
        <w:rPr>
          <w:rFonts w:ascii="Arial" w:cs="Arial" w:eastAsia="Arial" w:hAnsi="Arial"/>
          <w:sz w:val="16"/>
          <w:szCs w:val="16"/>
          <w:color w:val="auto"/>
        </w:rPr>
        <w:t>”), Oil States shall, to the extent not prohibited by Law, as indemnitor, guarantor, agent or subcontractor for such member of the Civeo Group, as the case may be, (i) pay, perform and discharge fully all the obligations or other Liabilities of such member of the Civeo Group that constitute Unreleased Excluded Liabilities from and after the Distribution Date and (ii) use its commercially reasonable efforts to effect such payment, performance, or discharge prior to any demand for such payment, performance, or discharge is permitted to be made by the obligee thereunder on any member of the Civeo Group. If and when any such consent, substitution, approval, amendment or release shall be obtained or the Unreleased Excluded Liabilities shall otherwise become assignable or able to be novated, Civeo shall promptly assign, or cause to be assigned, and Oil States or the applicable Oil States Group member shall assume, such Unreleased Excluded Liabilities without exchange of further consideration.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u w:val="single" w:color="auto"/>
          <w:color w:val="auto"/>
        </w:rPr>
        <w:t>Termination of Agreements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1" w:lineRule="auto"/>
        <w:tabs>
          <w:tab w:leader="none" w:pos="1897"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2.8(b)</w:t>
      </w:r>
      <w:r>
        <w:rPr>
          <w:rFonts w:ascii="Arial" w:cs="Arial" w:eastAsia="Arial" w:hAnsi="Arial"/>
          <w:sz w:val="17"/>
          <w:szCs w:val="17"/>
          <w:color w:val="auto"/>
        </w:rPr>
        <w:t>, in furtherance of the releases and other provisions of the Indemnification and Release Agreement, Civeo and each member of the Civeo Group, on the one hand, and Oil States and each member of the Oil States Group, on the other hand, hereby terminate any and all agreements, arrangements, commitments or understandings, whether or not in writing, between or among Civeo and/or any member of the Civeo Group and/or any entity that shall be a member of the Civeo Group as of the Distribution Date, on the one hand, and Oil States and/or any member of the Oil States Group (other than entities that shall be members of the Civeo Group as of the Distribution Date), on the other hand, effective as of the Distribution Date. No such terminated agreement, arrangement, commitment or understanding (including any provision thereof which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178" w:lineRule="exact"/>
        <w:rPr>
          <w:rFonts w:ascii="Arial" w:cs="Arial" w:eastAsia="Arial" w:hAnsi="Arial"/>
          <w:sz w:val="17"/>
          <w:szCs w:val="17"/>
          <w:color w:val="auto"/>
        </w:rPr>
      </w:pPr>
    </w:p>
    <w:p>
      <w:pPr>
        <w:jc w:val="both"/>
        <w:ind w:firstLine="1305"/>
        <w:spacing w:after="0" w:line="287" w:lineRule="auto"/>
        <w:tabs>
          <w:tab w:leader="none" w:pos="177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hereto or any of the members of their respective Groups); (ii) any agreements, arrangements, commitments or understandings listed or described on </w:t>
      </w:r>
      <w:r>
        <w:rPr>
          <w:rFonts w:ascii="Arial" w:cs="Arial" w:eastAsia="Arial" w:hAnsi="Arial"/>
          <w:sz w:val="16"/>
          <w:szCs w:val="16"/>
          <w:u w:val="single" w:color="auto"/>
          <w:color w:val="auto"/>
        </w:rPr>
        <w:t>Schedule 2.8(b)(ii)</w:t>
      </w:r>
      <w:r>
        <w:rPr>
          <w:rFonts w:ascii="Arial" w:cs="Arial" w:eastAsia="Arial" w:hAnsi="Arial"/>
          <w:sz w:val="16"/>
          <w:szCs w:val="16"/>
          <w:color w:val="auto"/>
        </w:rPr>
        <w:t xml:space="preserve">; (iii) any agreements, arrangements, commitments or understandings to which any Person other than the parties hereto and the members of their respective Groups is a party (it being understood that to the extent that the rights and obligations of the parties and the members of their respective Groups under any such agreements, arrangements, commitments or understandings constitute Civeo Assets or Civeo Liabilities, they shall be assigned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(iv) any agreements, arrangements, commitments or understandings to which any member of the Oil States Group or Civeo Group, other than a wholly owned Subsidiary of Oil States or Civeo, as the case may be, is a party (it being understood that directors’ qualifying shares or similar interests will be disregarded for purposes of determining whether a Subsidiary is wholly owned); (v) any Shared Contracts; and (vi) any other agreements, arrangements, commitments or understandings that this Agreement or any Ancillary Agreement expressly contemplates will survive the Distribution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u w:val="single" w:color="auto"/>
          <w:color w:val="auto"/>
        </w:rPr>
        <w:t>Treatment of Shared Contracts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3" w:lineRule="auto"/>
        <w:tabs>
          <w:tab w:leader="none" w:pos="17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obligations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unless the parties otherwise agree or the benefits of any contract, agreement, arrangement, commitment or understanding described in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are expressly conveyed to the applicable party pursuant to an Ancillary Agreement, (i) any contract, agreement, arrangement, commitment or understanding that is listed on </w:t>
      </w:r>
      <w:r>
        <w:rPr>
          <w:rFonts w:ascii="Arial" w:cs="Arial" w:eastAsia="Arial" w:hAnsi="Arial"/>
          <w:sz w:val="16"/>
          <w:szCs w:val="16"/>
          <w:u w:val="single" w:color="auto"/>
          <w:color w:val="auto"/>
        </w:rPr>
        <w:t>Schedule 2.9(a)</w:t>
      </w:r>
      <w:r>
        <w:rPr>
          <w:rFonts w:ascii="Arial" w:cs="Arial" w:eastAsia="Arial" w:hAnsi="Arial"/>
          <w:sz w:val="16"/>
          <w:szCs w:val="16"/>
          <w:color w:val="auto"/>
        </w:rPr>
        <w:t xml:space="preserve"> shall be assigned in part to the applicable member(s) of the applicable Group, if so assignable, or appropriately amended prior to, on or after the Distribution Date, so that each party or the members of its respective Group shall, as of the Distribution Date, be entitled to the rights and benefits, and shall assume the related portion of any Liabilities, inuring to its respective businesses, in each case, in accordance with the allocation of benefits and burdens set forth on </w:t>
      </w:r>
      <w:r>
        <w:rPr>
          <w:rFonts w:ascii="Arial" w:cs="Arial" w:eastAsia="Arial" w:hAnsi="Arial"/>
          <w:sz w:val="16"/>
          <w:szCs w:val="16"/>
          <w:u w:val="single" w:color="auto"/>
          <w:color w:val="auto"/>
        </w:rPr>
        <w:t>Schedule 2.9(a)</w:t>
      </w:r>
      <w:r>
        <w:rPr>
          <w:rFonts w:ascii="Arial" w:cs="Arial" w:eastAsia="Arial" w:hAnsi="Arial"/>
          <w:sz w:val="16"/>
          <w:szCs w:val="16"/>
          <w:color w:val="auto"/>
        </w:rPr>
        <w:t>, and (ii) (A) any contract, agreement, arrangement, commitment or understanding that is an Excluded Asset or Excluded Liability but, prior to the Distribution Date, inured in part to the benefit or burden of any member of the Civeo Group (other than any such contract, agreement, arrangement, commitment or understanding covering substantially the same services or arrangements that are covered by a contract, agreement, arrangement, commitment or understanding entered into by a member of the Civeo Group in connection with the Separation), and (B) any contract, agreement, arrangement, commitment or understanding that is a Civeo Asset or a Civeo Liability but, prior to the Distribution Date, inured in part to the benefit or burden of any member of the Oil States Group (other than any such contract, agreement, arrangement, commitment or understanding covering substantially the same services or arrangements that are covered by a contract, agreement, arrangement, commitment or understanding entered into by a member of the Oil States Group in connection with the Separation), shall be assigned in part to the applicable member(s) of the applicable Group, if so assignable, or appropriately amended prior to, on or after the Distribution Date, so that each party or the members of its respective Group shall, as of the Distribution Date, be entitled to the rights and benefits, and shall assume the related portion of any Liabilities, inuring to its respective businesses (any contract, agreement, arrangement, commitment or understanding referred to in clause (i) or</w:t>
      </w:r>
    </w:p>
    <w:p>
      <w:pPr>
        <w:jc w:val="both"/>
        <w:ind w:firstLine="8"/>
        <w:spacing w:after="0" w:line="267"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above, a “</w:t>
      </w:r>
      <w:r>
        <w:rPr>
          <w:rFonts w:ascii="Arial" w:cs="Arial" w:eastAsia="Arial" w:hAnsi="Arial"/>
          <w:sz w:val="17"/>
          <w:szCs w:val="17"/>
          <w:b w:val="1"/>
          <w:bCs w:val="1"/>
          <w:i w:val="1"/>
          <w:iCs w:val="1"/>
          <w:color w:val="auto"/>
        </w:rPr>
        <w:t>Shared Contract</w:t>
      </w:r>
      <w:r>
        <w:rPr>
          <w:rFonts w:ascii="Arial" w:cs="Arial" w:eastAsia="Arial" w:hAnsi="Arial"/>
          <w:sz w:val="17"/>
          <w:szCs w:val="17"/>
          <w:color w:val="auto"/>
        </w:rPr>
        <w:t xml:space="preserve">”); provided, however, that, in the case of each of clause (i) and (ii), (1)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(2) if any Shared Contract cannot be so partially assigned by its terms or otherwise, or cannot be amended or if such assignment or amendment would impair the benefit the parties thereto derive from such Shared Contract, then the parties shall, and shall cause each of their respective Subsidiaries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Civeo Group or the Oil States Group, as the case may be, to receive the rights and benefits of that portion of each Shared Contract that relates to the Civeo Business or the businesses retained by Oil States, as the case may be (in each case, to the extent so related), as if such Shared Contract had been assigned to (or amended to allow) a member of the applicable Group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both"/>
        <w:ind w:firstLine="1305"/>
        <w:spacing w:after="0" w:line="259" w:lineRule="auto"/>
        <w:tabs>
          <w:tab w:leader="none" w:pos="1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Oil States and Civeo shall, and shall cause the members of its Group to, (i) treat for all Tax purposes the portion of each Shared Contract inuring to its respective businesses as Assets owned by, and/or Liabilities of, as applicable, such party, or its subsidiaries, as applicable, not later than the Distribution Date, and (ii) neither report nor take any Tax position (on a Tax Return or otherwise) inconsistent with such treatment (unless required by applicable Law).</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require any member of any Group to make any material payment (except to the extent advanced, assumed or agreed in advance to be reimbursed by any member of the other Group), incur any material obligation or grant any material concession for the benefit of any member of any other Group in order to effect any transaction contemplated by this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b w:val="1"/>
          <w:bCs w:val="1"/>
          <w:u w:val="single" w:color="auto"/>
          <w:color w:val="auto"/>
        </w:rPr>
        <w:t>Bank Accounts; Cash Balances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7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Oil States and Civeo each agrees to take, or cause the respective members of their respective Groups to take, at the Distribution Date (or such earlier time as Oil States and Civeo may agree), all actions necessary to amend all contracts or agreements governing each bank and brokerage account owned by Civeo or any other member of the Civeo Group (collectively, the “</w:t>
      </w:r>
      <w:r>
        <w:rPr>
          <w:rFonts w:ascii="Arial" w:cs="Arial" w:eastAsia="Arial" w:hAnsi="Arial"/>
          <w:sz w:val="18"/>
          <w:szCs w:val="18"/>
          <w:b w:val="1"/>
          <w:bCs w:val="1"/>
          <w:i w:val="1"/>
          <w:iCs w:val="1"/>
          <w:color w:val="auto"/>
        </w:rPr>
        <w:t>Civeo Accounts</w:t>
      </w:r>
      <w:r>
        <w:rPr>
          <w:rFonts w:ascii="Arial" w:cs="Arial" w:eastAsia="Arial" w:hAnsi="Arial"/>
          <w:sz w:val="18"/>
          <w:szCs w:val="18"/>
          <w:color w:val="auto"/>
        </w:rPr>
        <w:t>”) so that such Civeo Accounts, if currently linked (whether by automatic withdrawal, automatic deposit or any other authorization to transfer funds from or to, hereinafter “</w:t>
      </w:r>
      <w:r>
        <w:rPr>
          <w:rFonts w:ascii="Arial" w:cs="Arial" w:eastAsia="Arial" w:hAnsi="Arial"/>
          <w:sz w:val="18"/>
          <w:szCs w:val="18"/>
          <w:b w:val="1"/>
          <w:bCs w:val="1"/>
          <w:i w:val="1"/>
          <w:iCs w:val="1"/>
          <w:color w:val="auto"/>
        </w:rPr>
        <w:t>linked</w:t>
      </w:r>
      <w:r>
        <w:rPr>
          <w:rFonts w:ascii="Arial" w:cs="Arial" w:eastAsia="Arial" w:hAnsi="Arial"/>
          <w:sz w:val="18"/>
          <w:szCs w:val="18"/>
          <w:color w:val="auto"/>
        </w:rPr>
        <w:t>”) to any bank or brokerage account owned by Oil States or any other member of the Oil States Group (collectively, the “</w:t>
      </w:r>
      <w:r>
        <w:rPr>
          <w:rFonts w:ascii="Arial" w:cs="Arial" w:eastAsia="Arial" w:hAnsi="Arial"/>
          <w:sz w:val="18"/>
          <w:szCs w:val="18"/>
          <w:b w:val="1"/>
          <w:bCs w:val="1"/>
          <w:i w:val="1"/>
          <w:iCs w:val="1"/>
          <w:color w:val="auto"/>
        </w:rPr>
        <w:t>Oil States Accounts</w:t>
      </w:r>
      <w:r>
        <w:rPr>
          <w:rFonts w:ascii="Arial" w:cs="Arial" w:eastAsia="Arial" w:hAnsi="Arial"/>
          <w:sz w:val="18"/>
          <w:szCs w:val="18"/>
          <w:color w:val="auto"/>
        </w:rPr>
        <w:t>”), are de-linked from the Oil States Accounts.</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Oil States and Civeo each agrees to take, or cause the respective members of their respective Groups to take, at the Distribution Date (or such earlier time as Oil States and Civeo may agree), all actions necessary to amend all agreements governing the Oil States Accounts so that such Oil States Accounts, if currently linked to a Civeo Account, are de-linked from the Civeo Accounts.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Sections 2.10(a)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2.10(b)</w:t>
      </w:r>
      <w:r>
        <w:rPr>
          <w:rFonts w:ascii="Arial" w:cs="Arial" w:eastAsia="Arial" w:hAnsi="Arial"/>
          <w:sz w:val="18"/>
          <w:szCs w:val="18"/>
          <w:color w:val="auto"/>
        </w:rPr>
        <w:t>, there will be in place a centralized cash management process pursuant to which the Civeo Accounts will be managed centrally and funds collected will be transferred into one or more centralized accounts maintained by Civeo.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Sections 2.10(a)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2.10(b)</w:t>
      </w:r>
      <w:r>
        <w:rPr>
          <w:rFonts w:ascii="Arial" w:cs="Arial" w:eastAsia="Arial" w:hAnsi="Arial"/>
          <w:sz w:val="18"/>
          <w:szCs w:val="18"/>
          <w:color w:val="auto"/>
        </w:rPr>
        <w:t>, there will continue to be in place a centralized cash management process pursuant to which the Oil States Accounts will be managed centrally and funds collected will be transferred into one or more centralized accounts maintained by Oil States.</w:t>
      </w:r>
    </w:p>
    <w:p>
      <w:pPr>
        <w:spacing w:after="0" w:line="181" w:lineRule="exact"/>
        <w:rPr>
          <w:rFonts w:ascii="Arial" w:cs="Arial" w:eastAsia="Arial" w:hAnsi="Arial"/>
          <w:sz w:val="18"/>
          <w:szCs w:val="18"/>
          <w:color w:val="auto"/>
        </w:rPr>
      </w:pPr>
    </w:p>
    <w:p>
      <w:pPr>
        <w:ind w:firstLine="1305"/>
        <w:spacing w:after="0" w:line="342" w:lineRule="auto"/>
        <w:tabs>
          <w:tab w:leader="none" w:pos="1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any outstanding payments initiated by Oil States, Civeo, or any of their respective Subsidiaries prior to the Separation, such outstanding payments shall be honored following the Separation by the Person or Group owning the account from which the payment was initiated.</w:t>
      </w:r>
    </w:p>
    <w:p>
      <w:pPr>
        <w:spacing w:after="0" w:line="123" w:lineRule="exact"/>
        <w:rPr>
          <w:rFonts w:ascii="Arial" w:cs="Arial" w:eastAsia="Arial" w:hAnsi="Arial"/>
          <w:sz w:val="16"/>
          <w:szCs w:val="16"/>
          <w:color w:val="auto"/>
        </w:rPr>
      </w:pPr>
    </w:p>
    <w:p>
      <w:pPr>
        <w:jc w:val="both"/>
        <w:ind w:firstLine="1305"/>
        <w:spacing w:after="0" w:line="290" w:lineRule="auto"/>
        <w:tabs>
          <w:tab w:leader="none" w:pos="17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between Oil States and Civeo (and the members of their respective Groups) all payments made and reimbursements received after the Separation by either party (or member of its Group) that relate to a business, Asset or Liability of the other party (or member of its Group), shall be held by such party for the use and benefit of the party entitled thereto (at the expense of the party entitled thereto). Each party shall maintain an accounting of any such payments and reimbursements, and the parties shall have a monthly reconciliation, whereby all such payments made and reimbursements received by each party are calculated and the net amount owed to Oil States or Civeo shall be paid over with right of set-off. If at any time the net amount owed to either party exceeds $1,000,000, an interim payment of such net amount owed shall be made to the party entitled thereto within five (5) business days of such amount exceeding $1,000,000. Notwithstanding the foregoing, neither Oil States nor Civeo shall act as collection agent for the other party, nor shall either party act as surety or endorser with respect to non-sufficient funds checks, or funds to be returned in a bankruptcy or fraudulent conveyance 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Other Ancillary Agreements</w:t>
      </w:r>
      <w:r>
        <w:rPr>
          <w:rFonts w:ascii="Arial" w:cs="Arial" w:eastAsia="Arial" w:hAnsi="Arial"/>
          <w:sz w:val="18"/>
          <w:szCs w:val="18"/>
          <w:color w:val="auto"/>
        </w:rPr>
        <w:t>. Effective as of the date hereof, each of Oil States and Civeo will execute and deliver all Ancillary Agreements to which it is a party (other than the Transfer Documents, which will be executed on or prior to the Distribution Date).</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u w:val="single" w:color="auto"/>
          <w:color w:val="auto"/>
        </w:rPr>
        <w:t>Disclaimer of Representations and Warranties</w:t>
      </w:r>
      <w:r>
        <w:rPr>
          <w:rFonts w:ascii="Arial" w:cs="Arial" w:eastAsia="Arial" w:hAnsi="Arial"/>
          <w:sz w:val="17"/>
          <w:szCs w:val="17"/>
          <w:color w:val="auto"/>
        </w:rPr>
        <w:t>. EACH OF OIL STATES (ON BEHALF OF ITSELF AND EACH MEMBER OF THE OIL STATES GROUP) AND CIVEO (ON BEHALF OF ITSELF AND EACH MEMBER OF THE CIVEO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OR ASSUMED AS CONTEMPLATED HEREBY OR THEREBY, AS TO ANY CONSENTS OR APPROVALS REQUIRED IN CONNECTION THEREWITH, AS TO THE VALUE OR FREEDOM FROM ANY SECURITY INTERESTS OF, OR ANY OTHER MATTER CONCERNING, ANY ASSETS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EXCEPT AS OTHERWISE AGREED BY OIL STATES, BY MEANS OF A QUITCLAIM OR SIMILAR FORM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THAT ANY REQUIREMENTS OF LAWS OR JUDGMENTS ARE NOT COMPLIED WITH. NOTWITHSTANDING ANYTHING TO THE CONTRARY HEREIN THIS AGREEMENT, NEITHER OIL STATES NOR CIVEO MAKES ANY REPRESENTATION OR WARRANTY REGARDING ANY MATTER OR CIRCUMSTANCE RELATING TO ENVIRONMENTAL LAWS, THE RELEASE OF HAZARDOUS MATERIALS INTO THE ENVIRONMENT OR THE PROTECTION OF HUMAN HEALTH, SAFETY, NATURAL RESOURCES OR THE ENVIRONMENT, OR ANY OTHER ENVIRONMENTAL CONDITION OF THE ASSETS, AND EACH PARTY SHALL BE DEEMED TO BE TAKING ANY ASSETS “AS IS” AND “WHERE IS” WITH ALL FAULTS FOR PURPOSES OF THEIR ENVIRONMENTAL CONDITION AND THAT EACH PARTY HAS MADE OR CAUSED TO BE MADE SUCH ENVIRONMENTAL INSPECTIONS AS SUCH PARTY DEEMS APPROPRIATE.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ind w:firstLine="648"/>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u w:val="single" w:color="auto"/>
          <w:color w:val="auto"/>
        </w:rPr>
        <w:t>Civeo Financing Arrangements</w:t>
      </w:r>
      <w:r>
        <w:rPr>
          <w:rFonts w:ascii="Arial" w:cs="Arial" w:eastAsia="Arial" w:hAnsi="Arial"/>
          <w:sz w:val="17"/>
          <w:szCs w:val="17"/>
          <w:color w:val="auto"/>
        </w:rPr>
        <w:t>. Prior to the Distribution Date, Civeo shall enter into the Civeo Financing Arrangements, on such terms and conditions as agreed by Oil States (including the amount that shall be borrowed pursuant to the Financing Arrangements and the interest rates for such borrowings). Oil States and Civeo shall participate in the preparation of all materials and presentations as may be reasonably necessary to secure funding pursuant to the Civeo Financing Arrangements, including, if necessary to obtain funds thereunder, rating agency presentations necessary to obtain the requisite ratings needed to secure the financing under any of the Civeo Financing Arrangements. The parties agree that Civeo, and not Oil States, shall be ultimately responsible for all costs and expenses incurred by, and for reimbursement of such costs and expenses to, any member of the Oil States Group or Civeo Group associated with the Civeo Financing Arrangements.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Financial Information Certifications</w:t>
      </w:r>
      <w:r>
        <w:rPr>
          <w:rFonts w:ascii="Arial" w:cs="Arial" w:eastAsia="Arial" w:hAnsi="Arial"/>
          <w:sz w:val="18"/>
          <w:szCs w:val="18"/>
          <w:color w:val="auto"/>
        </w:rPr>
        <w:t>. Oil States’ disclosure controls and procedures and internal control over financial reporting (as each is contemplated by the Exchange Act) are currently applicable to Civeo as its Subsidiary. In order to enable the principal executive officer and principal financial officer of Civeo to make the certifications required of them under Section 302 of the Sarbanes-Oxley Act of 2002, Oil States, within thirty-five (35) days of the end of any fiscal quarter during which Civeo remains its Subsidiary, shall provide Civeo with one or more certifications with respect to such disclosure controls and procedures, its internal control over financial reporting and the effectiveness thereof. Such certification(s) shall be provided by Oil States (and not by any officer or employee in their individual capacity).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DISTRIBUTION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The Distribution</w:t>
      </w:r>
      <w:r>
        <w:rPr>
          <w:rFonts w:ascii="Arial" w:cs="Arial" w:eastAsia="Arial" w:hAnsi="Arial"/>
          <w:sz w:val="16"/>
          <w:szCs w:val="16"/>
          <w:color w:val="auto"/>
        </w:rPr>
        <w:t>.</w:t>
      </w:r>
    </w:p>
    <w:p>
      <w:pPr>
        <w:spacing w:after="0" w:line="229" w:lineRule="exact"/>
        <w:rPr>
          <w:sz w:val="20"/>
          <w:szCs w:val="20"/>
          <w:color w:val="auto"/>
        </w:rPr>
      </w:pPr>
    </w:p>
    <w:p>
      <w:pPr>
        <w:ind w:left="1300"/>
        <w:spacing w:after="0"/>
        <w:tabs>
          <w:tab w:leader="none" w:pos="1740" w:val="left"/>
          <w:tab w:leader="none" w:pos="7220" w:val="left"/>
        </w:tabs>
        <w:rPr>
          <w:sz w:val="20"/>
          <w:szCs w:val="20"/>
          <w:color w:val="auto"/>
        </w:rPr>
      </w:pPr>
      <w:r>
        <w:rPr>
          <w:rFonts w:ascii="Arial" w:cs="Arial" w:eastAsia="Arial" w:hAnsi="Arial"/>
          <w:sz w:val="18"/>
          <w:szCs w:val="18"/>
          <w:color w:val="auto"/>
        </w:rPr>
        <w:t>(a)</w:t>
        <w:tab/>
        <w:t>Oil States intends to consummate the Distribution on or before</w:t>
      </w:r>
      <w:r>
        <w:rPr>
          <w:sz w:val="20"/>
          <w:szCs w:val="20"/>
          <w:color w:val="auto"/>
        </w:rPr>
        <w:tab/>
      </w:r>
      <w:r>
        <w:rPr>
          <w:rFonts w:ascii="Arial" w:cs="Arial" w:eastAsia="Arial" w:hAnsi="Arial"/>
          <w:sz w:val="16"/>
          <w:szCs w:val="16"/>
          <w:color w:val="auto"/>
        </w:rPr>
        <w:t>, 2014. Oil States will, in its sole and absolute discretion,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determine the Distribution Date and all terms of the Distribution, including, without limitation, the form, structure and terms of any transaction(s) and/or offering(s) to effect the Distribution and the timing and conditions to the consummation of the Distribution. In addition, Oil States may, at any time and from time to time until the consummation of the Distribution, modify or change the terms of the Distribution, including, without limitation, by accelerating or delaying the timing of the consummation of all or part of the Distribution. For the avoidance of doubt, nothing in the foregoing shall in any way limit Oil States’ right to terminate this Agreement or the Distribution as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alter the consequences of any such termination from those specified in such Article.</w:t>
      </w:r>
    </w:p>
    <w:p>
      <w:pPr>
        <w:spacing w:after="0" w:line="194" w:lineRule="exact"/>
        <w:rPr>
          <w:sz w:val="20"/>
          <w:szCs w:val="20"/>
          <w:color w:val="auto"/>
        </w:rPr>
      </w:pPr>
    </w:p>
    <w:p>
      <w:pPr>
        <w:jc w:val="both"/>
        <w:ind w:firstLine="1305"/>
        <w:spacing w:after="0" w:line="255" w:lineRule="auto"/>
        <w:tabs>
          <w:tab w:leader="none" w:pos="18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Civeo shall cooperate with Oil States to accomplish the Distribution and shall, at Oil States’ direction, promptly take any and all actions necessary or desirable to effect the Distribution, including, without limitation, the registration under the Securities Act and the Exchange Act of Civeo Common Stock on an appropriate registration form or forms to be designated by Oil States. Oil States shall select any investment bank or manager in connection with the Distribution, as well as any financial printer, solicitation and/or exchange agent and financial, legal, accounting and other advisors for Oil States. Civeo and Oil States, as the case may be, will provide to the Agent all share certificates and any information required in order to complete the Distribution.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Actions Prior to the Distribution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869" w:val="left"/>
        </w:tabs>
        <w:numPr>
          <w:ilvl w:val="1"/>
          <w:numId w:val="31"/>
        </w:numPr>
        <w:rPr>
          <w:rFonts w:ascii="Arial" w:cs="Arial" w:eastAsia="Arial" w:hAnsi="Arial"/>
          <w:sz w:val="16"/>
          <w:szCs w:val="16"/>
          <w:color w:val="auto"/>
        </w:rPr>
      </w:pPr>
      <w:r>
        <w:rPr>
          <w:rFonts w:ascii="Arial" w:cs="Arial" w:eastAsia="Arial" w:hAnsi="Arial"/>
          <w:sz w:val="16"/>
          <w:szCs w:val="16"/>
          <w:color w:val="auto"/>
        </w:rPr>
        <w:t>Oil States and Civeo shall prepare and mail, prior to the Distribution Date, to the holders of Oil States Common Stock, such information concerning Civeo, its business, operations and management, the Distribution and such other matters as Oil States shall reasonably determine and as may be required by Law. Oil States and Civeo will prepare, and Civeo will, to the extent required under applicable Law, file with the SEC any such documentation and any requisite no-action letters which Oil States determines are necessary or desirable to effectuate the Distribution, and Oil States and Civeo shall each use its commercially reasonable efforts to obtain all necessary approvals from the SEC with respect thereto as soon as practicable.</w:t>
      </w:r>
    </w:p>
    <w:p>
      <w:pPr>
        <w:spacing w:after="0" w:line="158" w:lineRule="exact"/>
        <w:rPr>
          <w:rFonts w:ascii="Arial" w:cs="Arial" w:eastAsia="Arial" w:hAnsi="Arial"/>
          <w:sz w:val="16"/>
          <w:szCs w:val="16"/>
          <w:color w:val="auto"/>
        </w:rPr>
      </w:pPr>
    </w:p>
    <w:p>
      <w:pPr>
        <w:ind w:firstLine="1305"/>
        <w:spacing w:after="0" w:line="277" w:lineRule="auto"/>
        <w:tabs>
          <w:tab w:leader="none" w:pos="17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Oil States and Civeo shall take all such action as may be necessary or appropriate under the securities or blue sky laws of the United States (and any comparable Laws under any foreign jurisdiction) in connection with the Distribution.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765" w:val="left"/>
        </w:tabs>
        <w:numPr>
          <w:ilvl w:val="1"/>
          <w:numId w:val="31"/>
        </w:numPr>
        <w:rPr>
          <w:rFonts w:ascii="Arial" w:cs="Arial" w:eastAsia="Arial" w:hAnsi="Arial"/>
          <w:sz w:val="18"/>
          <w:szCs w:val="18"/>
          <w:color w:val="auto"/>
        </w:rPr>
      </w:pPr>
      <w:r>
        <w:rPr>
          <w:rFonts w:ascii="Arial" w:cs="Arial" w:eastAsia="Arial" w:hAnsi="Arial"/>
          <w:sz w:val="18"/>
          <w:szCs w:val="18"/>
          <w:color w:val="auto"/>
        </w:rPr>
        <w:t>Civeo shall prepare and file, and shall use its commercially reasonable efforts to have approved, an application for the listing of the Civeo Common Stock to be distributed in the Distribution on the NYSE, subject to official notice of distribution.</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Oil States and Civeo shall take all actions as may be necessary to approve (i) the stock-based employee incentive plans of Civeo and</w:t>
      </w:r>
    </w:p>
    <w:p>
      <w:pPr>
        <w:spacing w:after="0" w:line="46" w:lineRule="exact"/>
        <w:rPr>
          <w:rFonts w:ascii="Arial" w:cs="Arial" w:eastAsia="Arial" w:hAnsi="Arial"/>
          <w:sz w:val="16"/>
          <w:szCs w:val="16"/>
          <w:color w:val="auto"/>
        </w:rPr>
      </w:pPr>
    </w:p>
    <w:p>
      <w:pPr>
        <w:ind w:firstLine="8"/>
        <w:spacing w:after="0" w:line="261" w:lineRule="auto"/>
        <w:tabs>
          <w:tab w:leader="none" w:pos="2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grants of adjusted awards with respect to Oil States stock by Oil States and the grants of awards with respect to Civeo stock by Civeo in order to satisfy the requirement of Rule 16b-3 under the Exchange Act and the applicable rules and regulations of the NYSE.</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Conditions to Distribution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consummation of the Distribution will be subject to the satisfaction, or waiver by Oil States in its sole and absolute discretion, of the conditions set forth in this </w:t>
      </w:r>
      <w:r>
        <w:rPr>
          <w:rFonts w:ascii="Arial" w:cs="Arial" w:eastAsia="Arial" w:hAnsi="Arial"/>
          <w:sz w:val="18"/>
          <w:szCs w:val="18"/>
          <w:u w:val="single" w:color="auto"/>
          <w:color w:val="auto"/>
        </w:rPr>
        <w:t>Section 3.3(a)</w:t>
      </w:r>
      <w:r>
        <w:rPr>
          <w:rFonts w:ascii="Arial" w:cs="Arial" w:eastAsia="Arial" w:hAnsi="Arial"/>
          <w:sz w:val="18"/>
          <w:szCs w:val="18"/>
          <w:color w:val="auto"/>
        </w:rPr>
        <w:t>. Any determination by Oil States regarding the satisfaction or waiver of any of such conditions will be conclusive.</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Separation shall have been completed in accordance with the Restructuring Steps Memorandum.</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4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ind w:left="660" w:right="20" w:firstLine="1293"/>
        <w:spacing w:after="0" w:line="342" w:lineRule="auto"/>
        <w:tabs>
          <w:tab w:leader="none" w:pos="2483" w:val="left"/>
        </w:tabs>
        <w:numPr>
          <w:ilvl w:val="1"/>
          <w:numId w:val="34"/>
        </w:numPr>
        <w:rPr>
          <w:rFonts w:ascii="Arial" w:cs="Arial" w:eastAsia="Arial" w:hAnsi="Arial"/>
          <w:sz w:val="16"/>
          <w:szCs w:val="16"/>
          <w:color w:val="auto"/>
        </w:rPr>
      </w:pPr>
      <w:r>
        <w:rPr>
          <w:rFonts w:ascii="Arial" w:cs="Arial" w:eastAsia="Arial" w:hAnsi="Arial"/>
          <w:sz w:val="16"/>
          <w:szCs w:val="16"/>
          <w:color w:val="auto"/>
        </w:rPr>
        <w:t>Oil States shall have received an opinion of its tax counsel, in form and substance acceptable to Oil States and which shall remain in full force and effect, as to certain matters affecting the tax treatment of the Separation on which the Internal Revenue Service will not rule.</w:t>
      </w:r>
    </w:p>
    <w:p>
      <w:pPr>
        <w:spacing w:after="0" w:line="123" w:lineRule="exact"/>
        <w:rPr>
          <w:rFonts w:ascii="Arial" w:cs="Arial" w:eastAsia="Arial" w:hAnsi="Arial"/>
          <w:sz w:val="16"/>
          <w:szCs w:val="16"/>
          <w:color w:val="auto"/>
        </w:rPr>
      </w:pPr>
    </w:p>
    <w:p>
      <w:pPr>
        <w:ind w:left="2500" w:hanging="547"/>
        <w:spacing w:after="0"/>
        <w:tabs>
          <w:tab w:leader="none" w:pos="2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Governmental Approvals necessary to consummate the Distribution shall have been obtained and be in full force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left="660" w:firstLine="1293"/>
        <w:spacing w:after="0" w:line="308" w:lineRule="auto"/>
        <w:tabs>
          <w:tab w:leader="none" w:pos="247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actions and filings necessary or appropriate under applicable securities laws in connection with the Distribution will have been taken or made, and, where applicable, have become effective or been accepted by the applicable Governmental Authority.</w:t>
      </w:r>
    </w:p>
    <w:p>
      <w:pPr>
        <w:spacing w:after="0" w:line="146" w:lineRule="exact"/>
        <w:rPr>
          <w:rFonts w:ascii="Arial" w:cs="Arial" w:eastAsia="Arial" w:hAnsi="Arial"/>
          <w:sz w:val="17"/>
          <w:szCs w:val="17"/>
          <w:color w:val="auto"/>
        </w:rPr>
      </w:pPr>
    </w:p>
    <w:p>
      <w:pPr>
        <w:jc w:val="both"/>
        <w:ind w:left="660" w:right="20" w:firstLine="1293"/>
        <w:spacing w:after="0" w:line="286" w:lineRule="auto"/>
        <w:tabs>
          <w:tab w:leader="none" w:pos="2458"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order, injunction or decree issued by any court or agency of competent jurisdiction or other legal restraint or prohibition preventing the consummation of the Distribution or any of the related transactions shall be in effect, and no other event outside the control of Oil States shall have occurred or failed to occur that prevents the consummation of the Distribution or any of the related transactions.</w:t>
      </w:r>
    </w:p>
    <w:p>
      <w:pPr>
        <w:spacing w:after="0" w:line="165" w:lineRule="exact"/>
        <w:rPr>
          <w:rFonts w:ascii="Arial" w:cs="Arial" w:eastAsia="Arial" w:hAnsi="Arial"/>
          <w:sz w:val="17"/>
          <w:szCs w:val="17"/>
          <w:color w:val="auto"/>
        </w:rPr>
      </w:pPr>
    </w:p>
    <w:p>
      <w:pPr>
        <w:jc w:val="both"/>
        <w:ind w:left="660" w:firstLine="1293"/>
        <w:spacing w:after="0" w:line="264" w:lineRule="auto"/>
        <w:tabs>
          <w:tab w:leader="none" w:pos="25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Registration Statement on Form 10 registering the Civeo Common Stock (the “</w:t>
      </w:r>
      <w:r>
        <w:rPr>
          <w:rFonts w:ascii="Arial" w:cs="Arial" w:eastAsia="Arial" w:hAnsi="Arial"/>
          <w:sz w:val="18"/>
          <w:szCs w:val="18"/>
          <w:b w:val="1"/>
          <w:bCs w:val="1"/>
          <w:i w:val="1"/>
          <w:iCs w:val="1"/>
          <w:color w:val="auto"/>
        </w:rPr>
        <w:t>Form 10</w:t>
      </w:r>
      <w:r>
        <w:rPr>
          <w:rFonts w:ascii="Arial" w:cs="Arial" w:eastAsia="Arial" w:hAnsi="Arial"/>
          <w:sz w:val="18"/>
          <w:szCs w:val="18"/>
          <w:color w:val="auto"/>
        </w:rPr>
        <w:t>”) shall be effective under the Exchange Act, with no stop order in effect with respect thereto, and the Information Statement included therein (the “</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shall have been mailed to Oil States’ stockholders as of the Record Date.</w:t>
      </w:r>
    </w:p>
    <w:p>
      <w:pPr>
        <w:spacing w:after="0" w:line="181" w:lineRule="exact"/>
        <w:rPr>
          <w:rFonts w:ascii="Arial" w:cs="Arial" w:eastAsia="Arial" w:hAnsi="Arial"/>
          <w:sz w:val="18"/>
          <w:szCs w:val="18"/>
          <w:color w:val="auto"/>
        </w:rPr>
      </w:pPr>
    </w:p>
    <w:p>
      <w:pPr>
        <w:ind w:left="660" w:firstLine="1293"/>
        <w:spacing w:after="0" w:line="277" w:lineRule="auto"/>
        <w:tabs>
          <w:tab w:leader="none" w:pos="256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Civeo Common Stock to be distributed to the Oil States stockholders in the Distribution shall have been accepted for listing on the NYSE, subject to official notice of distribution.</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the Ancillary Agreements shall have been duly executed and delivered by the parties thereto.</w:t>
      </w:r>
    </w:p>
    <w:p>
      <w:pPr>
        <w:spacing w:after="0" w:line="225" w:lineRule="exact"/>
        <w:rPr>
          <w:rFonts w:ascii="Arial" w:cs="Arial" w:eastAsia="Arial" w:hAnsi="Arial"/>
          <w:sz w:val="18"/>
          <w:szCs w:val="18"/>
          <w:color w:val="auto"/>
        </w:rPr>
      </w:pPr>
    </w:p>
    <w:p>
      <w:pPr>
        <w:jc w:val="both"/>
        <w:ind w:left="660" w:firstLine="1293"/>
        <w:spacing w:after="0" w:line="264" w:lineRule="auto"/>
        <w:tabs>
          <w:tab w:leader="none" w:pos="24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events or developments shall have occurred or exist that, in the judgment of the Oil States Board, in its sole and absolute discretion, make it inadvisable to effect the Distribution or the other transactions contemplated hereby, or would result in the Distribution or the other transactions contemplated hereby not being in the best interest of Oil States or its stockholders.</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Oil States shall have received the Cash Dividend.</w:t>
      </w:r>
    </w:p>
    <w:p>
      <w:pPr>
        <w:spacing w:after="0" w:line="225" w:lineRule="exact"/>
        <w:rPr>
          <w:rFonts w:ascii="Arial" w:cs="Arial" w:eastAsia="Arial" w:hAnsi="Arial"/>
          <w:sz w:val="18"/>
          <w:szCs w:val="18"/>
          <w:color w:val="auto"/>
        </w:rPr>
      </w:pPr>
    </w:p>
    <w:p>
      <w:pPr>
        <w:ind w:left="660" w:firstLine="1293"/>
        <w:spacing w:after="0" w:line="277" w:lineRule="auto"/>
        <w:tabs>
          <w:tab w:leader="none" w:pos="24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the Oil States Notes shall have been accepted for payment pursuant to the Tender Offers.</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7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The foregoing conditions are for the sole benefit of Oil States and shall not give rise to or create any duty on the part of Oil States or the Oil States Board to waive or not waive such conditions or in any way limit Oil States’ right to terminate this Agreement as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alter the consequences of any such termination from those specified in such Article. Any determination made by the Oil States Board prior to the Distribution concerning the satisfaction or waiver of any or all of the conditions set forth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be conclusive.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u w:val="single" w:color="auto"/>
          <w:color w:val="auto"/>
        </w:rPr>
        <w:t>Certain Stockholder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3" w:lineRule="auto"/>
        <w:tabs>
          <w:tab w:leader="none" w:pos="17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on or prior to the Distribution Date, Oil States will deliver to the Agent for the benefit of holders of record of Oil States Common Stock on the Record Date all of the outstanding shares of Civeo Common Stock (including, if such shares are represented by one or more stock certificates, such stock certificates, endorsed by Oil States in blank), and shall cause the transfer agent for the shares of Oil States Common Stock to instruct the Agent to distribute on the Distribution Date the appropriate number of such shares of Civeo Common Stock to each such holder or designated transferee or transferees of such holder by way of direct registration in book-entry form. Civeo will not issue paper stock certificates. The Distribution shall be effective at 11:59 p.m. Eastern Time on the Distribution Date or at such other time as Oil States may determine.</w:t>
      </w:r>
    </w:p>
    <w:p>
      <w:pPr>
        <w:spacing w:after="0" w:line="178" w:lineRule="exact"/>
        <w:rPr>
          <w:rFonts w:ascii="Arial" w:cs="Arial" w:eastAsia="Arial" w:hAnsi="Arial"/>
          <w:sz w:val="17"/>
          <w:szCs w:val="17"/>
          <w:color w:val="auto"/>
        </w:rPr>
      </w:pPr>
    </w:p>
    <w:p>
      <w:pPr>
        <w:jc w:val="both"/>
        <w:ind w:firstLine="1305"/>
        <w:spacing w:after="0" w:line="302" w:lineRule="auto"/>
        <w:tabs>
          <w:tab w:leader="none" w:pos="1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3.4(c)</w:t>
      </w:r>
      <w:r>
        <w:rPr>
          <w:rFonts w:ascii="Arial" w:cs="Arial" w:eastAsia="Arial" w:hAnsi="Arial"/>
          <w:sz w:val="16"/>
          <w:szCs w:val="16"/>
          <w:color w:val="auto"/>
        </w:rPr>
        <w:t>, each holder of Oil States Common Stock (other than holders of unvested Oil States RSAs) on the Record Date will be entitled to receive in the Distribution a number of whole shares of Civeo Common Stock equal to the number of shares of Oil States Common Stock held by such holder on the Record Date multiplied by the Distribution Ratio. Each holder of any unvested Oil States RSAs will be entitled to receive either additional Oil States RSAs or be converted into restricted shares of Civeo Common Stock, as set forth in the Employee Matters Agreement.</w:t>
      </w:r>
    </w:p>
    <w:p>
      <w:pPr>
        <w:spacing w:after="0" w:line="154" w:lineRule="exact"/>
        <w:rPr>
          <w:rFonts w:ascii="Arial" w:cs="Arial" w:eastAsia="Arial" w:hAnsi="Arial"/>
          <w:sz w:val="16"/>
          <w:szCs w:val="16"/>
          <w:color w:val="auto"/>
        </w:rPr>
      </w:pPr>
    </w:p>
    <w:p>
      <w:pPr>
        <w:jc w:val="both"/>
        <w:ind w:firstLine="1305"/>
        <w:spacing w:after="0" w:line="289" w:lineRule="auto"/>
        <w:tabs>
          <w:tab w:leader="none" w:pos="17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fractional shares will be distributed or credited to book-entry accounts in connection with the Distribution. As soon as practicable after the Distribution Date, Oil States shall direct the Agent to determine the number of whole shares and fractional shares of Civeo Common Stock allocable to each holder of record or beneficial owner of Oil States Common Stock (other than to the holders of record or beneficial owners of unvested Oil States RSAs) as of the Record Date, to aggregate all such fractional shares and to sell the whole shares obtained thereby in open market transactions (with the Agent, in its sole and absolute discretion, determining when, how and through which broker-dealer and at what price to make such sales),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Oil States nor Civeo will be required to guarantee any minimum sale price for the fractional shares of Civeo Common Stock. Neither Oil States nor Civeo will be required to pay any interest on the proceeds from the sale of fractional shares.</w:t>
      </w:r>
    </w:p>
    <w:p>
      <w:pPr>
        <w:spacing w:after="0" w:line="166" w:lineRule="exact"/>
        <w:rPr>
          <w:rFonts w:ascii="Arial" w:cs="Arial" w:eastAsia="Arial" w:hAnsi="Arial"/>
          <w:sz w:val="16"/>
          <w:szCs w:val="16"/>
          <w:color w:val="auto"/>
        </w:rPr>
      </w:pPr>
    </w:p>
    <w:p>
      <w:pPr>
        <w:jc w:val="both"/>
        <w:ind w:firstLine="1305"/>
        <w:spacing w:after="0" w:line="293" w:lineRule="auto"/>
        <w:tabs>
          <w:tab w:leader="none" w:pos="18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Until the Civeo Common Stock is duly transferred in accordance with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applicable Law, from and after the effective time of the Distribution, Civeo will regard the Persons entitled to receive such Civeo Common Stock as record holders of Civeo Common Stock in accordance with the terms of the Distribution without requiring any action on the part of such Persons. Civeo agrees that, subject to any transfers of such stock, from and after the effective time of the Distribution (i) each such holder will be entitled to receive all dividends payable on, and exercise voting rights and all other rights and privileges with respect to, the shares of Civeo Common Stock then held by such holder, and (ii) each such holder will be entitled, without any action on the part of such holder, to receive evidence of ownership of the shares of Civeo Common Stock then held by such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 Any Dispute shall be resolved in accordance with the procedures set forth in Article IV of the Indemnification and Release Agreement, which shall be the sole and exclusive procedures for the resolution of any such Dispute unless otherwise specified in the applicable Ancillary Agreement or in Article IV of the Indemnification and Release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ASSURANCES AND ADDITIONAL COVENANTS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hereto shall use its commercially reasonable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779"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Without limiting the foregoing, prior to, on and after the Distribution Date, each party hereto shall cooperate with the other parties,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third-party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Civeo Assets and the assignment and assumption of the Civeo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free and clear of any Security Interest, if and to the extent it is practicable to do so.</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7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or prior to the Distribution Date, Oil States and Civeo in their respective capacities as direct and indirect stockholders of their respective Subsidiaries, shall each ratify any actions which are reasonably necessary or desirable to be taken by Oil States, Civeo or any other Subsidiary of Oil States, as the case may be, to effectuate the transactions contemplated by this Agreement and the Ancillary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both"/>
        <w:ind w:firstLine="1305"/>
        <w:spacing w:after="0" w:line="290" w:lineRule="auto"/>
        <w:tabs>
          <w:tab w:leader="none" w:pos="17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Oil States and Civeo, and each of the members of their respective Groups, waive (and agree not to assert against any of the others) any claim or demand that any of them may have against any of the others for any Liabilities or other claims relating to or arising out of: (i) the failure of Civeo or any member of the Civeo Group, on the one hand, or of Oil States or any member of the Oil States Group, on the other hand, to provide any notification or disclosure required under any state Environmental Law in connection with the Separation or the other transactions contemplated by this Agreement or the Ancillary Agreements,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Person arises out of any action or inaction described in clause (i) or (ii) above, the transferee of the applicable Asset hereby assumes and agrees to pay any such Liability.</w:t>
      </w:r>
    </w:p>
    <w:p>
      <w:pPr>
        <w:spacing w:after="0" w:line="166" w:lineRule="exact"/>
        <w:rPr>
          <w:rFonts w:ascii="Arial" w:cs="Arial" w:eastAsia="Arial" w:hAnsi="Arial"/>
          <w:sz w:val="16"/>
          <w:szCs w:val="16"/>
          <w:color w:val="auto"/>
        </w:rPr>
      </w:pPr>
    </w:p>
    <w:p>
      <w:pPr>
        <w:jc w:val="both"/>
        <w:ind w:firstLine="1305"/>
        <w:spacing w:after="0" w:line="255" w:lineRule="auto"/>
        <w:tabs>
          <w:tab w:leader="none" w:pos="17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Prior to the nine-month anniversary of the Distribution Date, if one or more of the parties identifies any commercial or other service that is needed to assure a smooth and orderly transition of the businesses in connection with the consummation of the transactions contemplated hereby, and that is not otherwise governed by the provisions of this Agreement or any Ancillary Agreement, the parties will cooperate in determining whether there is a mutually acceptable basis on which the other party will provide such service;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service is to extend beyond the nine-month anniversary of the Distribution Date, the terms and conditions upon which the services are to be provided beyond the nine-month anniversary of the Distribution Date shall be market and arm’s-length terms and conditions.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Performance</w:t>
      </w:r>
      <w:r>
        <w:rPr>
          <w:rFonts w:ascii="Arial" w:cs="Arial" w:eastAsia="Arial" w:hAnsi="Arial"/>
          <w:sz w:val="18"/>
          <w:szCs w:val="18"/>
          <w:color w:val="auto"/>
        </w:rPr>
        <w:t xml:space="preserve">. Oil States will cause to be performed, and hereby guarantees the performance of, all actions, agreements and obligations set forth in this Agreement or in any Ancillary Agreement to be performed by any member of the Oil States Group. Civeo will cause to be performed, and hereby guarantees the performance of, all actions, agreements and obligations set forth in this Agreement or in any Ancillary Agreement to be performed by any member of the Civeo Group. Each party (including its permitted successors and assigns) further agrees that it will (a) give timely notice of the terms, conditions and continuing obligations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Oil States Guarantees</w:t>
      </w:r>
      <w:r>
        <w:rPr>
          <w:rFonts w:ascii="Arial" w:cs="Arial" w:eastAsia="Arial" w:hAnsi="Arial"/>
          <w:sz w:val="17"/>
          <w:szCs w:val="17"/>
          <w:color w:val="auto"/>
        </w:rPr>
        <w:t>. Civeo acknowledges that in the course of conduct of the Civeo Business, Oil States and members of the Oil States Group may have entered into various arrangements in which guarantees, bonds, letters of credit or similar arrangements were issued or arranged by Oil States or members of the Oil States Group to support or facilitate the Civeo Business. Any such arrangements entered into by Oil States and its Affiliates are, to the extent related to the Civeo Business, hereinafter referred to as the “</w:t>
      </w:r>
      <w:r>
        <w:rPr>
          <w:rFonts w:ascii="Arial" w:cs="Arial" w:eastAsia="Arial" w:hAnsi="Arial"/>
          <w:sz w:val="17"/>
          <w:szCs w:val="17"/>
          <w:b w:val="1"/>
          <w:bCs w:val="1"/>
          <w:i w:val="1"/>
          <w:iCs w:val="1"/>
          <w:color w:val="auto"/>
        </w:rPr>
        <w:t>Oil States Guarantees.</w:t>
      </w:r>
      <w:r>
        <w:rPr>
          <w:rFonts w:ascii="Arial" w:cs="Arial" w:eastAsia="Arial" w:hAnsi="Arial"/>
          <w:sz w:val="17"/>
          <w:szCs w:val="17"/>
          <w:color w:val="auto"/>
        </w:rPr>
        <w:t>” Except as otherwise agreed by Oil States and Civeo, Civeo agrees that it will use its commercially reasonable efforts to obtain or provide replacement guarantees, bonds, letters of credit or similar arrangements, which will be in effect at the Distribution Date, and obtain the release of Oil States and members of the Oil States Group from any Oil States Guarantees in accordance with Section 2.9 of the Indemnification and Release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648"/>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Third-Party Agreements</w:t>
      </w:r>
      <w:r>
        <w:rPr>
          <w:rFonts w:ascii="Arial" w:cs="Arial" w:eastAsia="Arial" w:hAnsi="Arial"/>
          <w:sz w:val="18"/>
          <w:szCs w:val="18"/>
          <w:color w:val="auto"/>
        </w:rPr>
        <w:t>. Civeo agrees that it will use its commercially reasonable efforts to obtain or provide replacement agreements with third parties for agreements between such third parties and Oil States or any member of the Oil States Group that are Civeo Contracts and cannot be assigned to Civeo.</w:t>
      </w:r>
    </w:p>
    <w:p>
      <w:pPr>
        <w:spacing w:after="0" w:line="23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Tax Sharing Agreement) and the Tax Sharing Agreement in relation to any matters addressed by the Tax Sharing Agreement, the Tax Sharing Agreement shall prevail.</w:t>
      </w:r>
    </w:p>
    <w:p>
      <w:pPr>
        <w:spacing w:after="0" w:line="2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Indemnification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Indemnification and Release Agreement) and the Indemnification and Release Agreement in relation to any matters addressed by the Indemnification and Release Agreement, the Indemnification and Release Agreement shall prevail; provided, however, that in relation to any matters concerning Taxes, the Tax Sharing Agreement shall prevail over the Indemnification and Release Agreement, and in relation to any matters governed by the Employee Matters Agreement, the Employee Matters Agreement shall prevail over the Indemnification and Release Agreement.</w:t>
      </w:r>
    </w:p>
    <w:p>
      <w:pPr>
        <w:spacing w:after="0" w:line="2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 Notwithstanding anything to the contrary in this Agreement or any Ancillary Agreement, in the case of any conflict between this Agreement or any Ancillary Agreement (other than the Employee Matters Agreement) and the Employee Matters Agreement in relation to any matters addressed by the Employee Matters Agreement, the Employee Matters Agreement shall prevail; provided, however, that in relation to any matters concerning Taxes, the Tax Sharing Agreement shall prevail over the Employee Matters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This Agreement and any Ancillary Agreement may be terminated and the terms and conditions of the Distribution may be amended, modified or abandoned at any time prior to the Distribution Date by and in the sole and absolute discretion of the Oil States Board without the approval of any Person, including Civeo, in which case no party will have any liability of any kind to any other party by reason of this Agreement. After the Distribution, this Agreement may not be terminated except by an agreement in writing signed by each of the parties to this Agreement.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Counterparts; Entire Agreement; Corporate Power</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42" w:lineRule="auto"/>
        <w:tabs>
          <w:tab w:leader="none" w:pos="171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Agreement and each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23" w:lineRule="exact"/>
        <w:rPr>
          <w:rFonts w:ascii="Arial" w:cs="Arial" w:eastAsia="Arial" w:hAnsi="Arial"/>
          <w:sz w:val="16"/>
          <w:szCs w:val="16"/>
          <w:color w:val="auto"/>
        </w:rPr>
      </w:pPr>
    </w:p>
    <w:p>
      <w:pPr>
        <w:jc w:val="both"/>
        <w:ind w:firstLine="1305"/>
        <w:spacing w:after="0" w:line="286" w:lineRule="auto"/>
        <w:tabs>
          <w:tab w:leader="none" w:pos="18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and the Ancillary Agreements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65" w:lineRule="exact"/>
        <w:rPr>
          <w:rFonts w:ascii="Arial" w:cs="Arial" w:eastAsia="Arial" w:hAnsi="Arial"/>
          <w:sz w:val="17"/>
          <w:szCs w:val="17"/>
          <w:color w:val="auto"/>
        </w:rPr>
      </w:pPr>
    </w:p>
    <w:p>
      <w:pPr>
        <w:ind w:firstLine="1305"/>
        <w:spacing w:after="0" w:line="277" w:lineRule="auto"/>
        <w:tabs>
          <w:tab w:leader="none" w:pos="1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Oil States represents on behalf of itself and each other member of the Oil States Group, and Civeo represents on behalf of itself and each other member of the Civeo Group, as follows:</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50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such Person has the requisite corporate or other power and authority and has taken all corporate or other action necessary in order to execute, deliver and perform each of this Agreement and each Ancillary Agreement to which it is a party and to consummate the transactions contemplated hereby and thereby; and</w:t>
      </w:r>
    </w:p>
    <w:p>
      <w:pPr>
        <w:spacing w:after="0" w:line="181" w:lineRule="exact"/>
        <w:rPr>
          <w:rFonts w:ascii="Arial" w:cs="Arial" w:eastAsia="Arial" w:hAnsi="Arial"/>
          <w:sz w:val="18"/>
          <w:szCs w:val="18"/>
          <w:color w:val="auto"/>
        </w:rPr>
      </w:pPr>
    </w:p>
    <w:p>
      <w:pPr>
        <w:ind w:left="660" w:firstLine="1293"/>
        <w:spacing w:after="0" w:line="277" w:lineRule="auto"/>
        <w:tabs>
          <w:tab w:leader="none" w:pos="25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79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party hereto acknowledges that it and each other party hereto may execute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 provision of this Agreement or any Ancillary Agreement, neither Oil States nor Civeo shall be required to take or omit to take any act that would violate its fiduciary duties to any minority stockholders of any non-wholly owned Subsidiary of Oil States or Civeo, as the case may be (it being understood that directors’ qualifying shares or similar interests will be disregarded for purposes of determining whether a Subsidiary is wholly owned).</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as of the date of this Agreement, including all matters of validity, construction, effect, enforceability, performance and remedies.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648"/>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Assignability</w:t>
      </w:r>
      <w:r>
        <w:rPr>
          <w:rFonts w:ascii="Arial" w:cs="Arial" w:eastAsia="Arial" w:hAnsi="Arial"/>
          <w:sz w:val="18"/>
          <w:szCs w:val="18"/>
          <w:color w:val="auto"/>
        </w:rPr>
        <w:t>. Except as set forth in any Ancillary Agreement, this Agreement and each Ancillary Agreement shall be binding upon and inure to the benefit of the parties hereto and thereto, respectively, and their respective successors and permitted assigns; provided, however, that no party hereto or thereto may assign its respective rights or delegate its respective obligations under this Agreement or any Ancillary Agreement without the express prior written consent of the other parties hereto or thereto.</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Third-Party Beneficiaries</w:t>
      </w:r>
      <w:r>
        <w:rPr>
          <w:rFonts w:ascii="Arial" w:cs="Arial" w:eastAsia="Arial" w:hAnsi="Arial"/>
          <w:sz w:val="16"/>
          <w:szCs w:val="16"/>
          <w:color w:val="auto"/>
        </w:rPr>
        <w:t>. Except for the indemnification rights under this Agreement or any Ancillary Agreement of any Oil States Indemnitee or Civeo Indemnitee (as those capitalized terms are defined in the Indemnification and Release Agreement) in their respective capacities as such,</w:t>
      </w:r>
    </w:p>
    <w:p>
      <w:pPr>
        <w:spacing w:after="0" w:line="1" w:lineRule="exact"/>
        <w:rPr>
          <w:sz w:val="20"/>
          <w:szCs w:val="20"/>
          <w:color w:val="auto"/>
        </w:rPr>
      </w:pPr>
    </w:p>
    <w:p>
      <w:pPr>
        <w:jc w:val="both"/>
        <w:ind w:firstLine="8"/>
        <w:spacing w:after="0" w:line="273" w:lineRule="auto"/>
        <w:tabs>
          <w:tab w:leader="none" w:pos="25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provisions of this Agreement and each Ancillary Agreement are solely for the benefit of the parties and are not intended to confer upon any Person except the parties any rights or remedies hereunder or thereunder, and (b) there are no third-party beneficiaries of this Agreement or any Ancillary Agreement and neither this Agreement nor any Ancillary Agreement shall provide any third person with any remedy, claim, liability, reimbursement, claim of action or other right in excess of those existing without reference to this Agreement or any Ancillary Agreement.</w:t>
      </w:r>
    </w:p>
    <w:p>
      <w:pPr>
        <w:spacing w:after="0" w:line="17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xml:space="preserve">. All notices, requests, claims, demands or other communications under this Agreement and, to the extent, applicable and unless otherwise provided therein, under each of the Ancillary Agreements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Oil States,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713-652-0499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If to Civeo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Civeo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No party shall be deemed in default of this Agreement or any Ancillary Agreement to the extent that any delay or failure in the performance of its obligations under this Agreement or any Ancillary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Publicity</w:t>
      </w:r>
      <w:r>
        <w:rPr>
          <w:rFonts w:ascii="Arial" w:cs="Arial" w:eastAsia="Arial" w:hAnsi="Arial"/>
          <w:sz w:val="18"/>
          <w:szCs w:val="18"/>
          <w:color w:val="auto"/>
        </w:rPr>
        <w:t>. Prior to the Distribution, each of Civeo and Oil States shall consult with each other prior to issuing any press releases or otherwise making public statements with respect to the Separation, the Distribution or any of the other transactions contemplated hereby and prior to making any filings with any Governmental Authority with respect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xml:space="preserve">. Except as expressly set forth in this Agreement (including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5.1(b)</w:t>
      </w:r>
      <w:r>
        <w:rPr>
          <w:rFonts w:ascii="Arial" w:cs="Arial" w:eastAsia="Arial" w:hAnsi="Arial"/>
          <w:sz w:val="18"/>
          <w:szCs w:val="18"/>
          <w:color w:val="auto"/>
        </w:rPr>
        <w:t xml:space="preserve">) or in any Ancillary Agreement, all fees, costs and expenses incurred in connection with the preparation, execution, delivery and implementation of this Agreement and any Ancillary Agreement, and with the consummation of the transactions contemplated hereby and thereby, will be borne by Oil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expressly provided in this Agreement or in any Ancillary Agreement, from and after the Distribution, each Party shall bear its own direct and indirect costs and expenses related to its performance of this Agreement or any Ancillary Agreement .</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b w:val="1"/>
          <w:bCs w:val="1"/>
          <w:u w:val="single" w:color="auto"/>
          <w:color w:val="auto"/>
        </w:rPr>
        <w:t>Late Payments</w:t>
      </w:r>
      <w:r>
        <w:rPr>
          <w:rFonts w:ascii="Arial" w:cs="Arial" w:eastAsia="Arial" w:hAnsi="Arial"/>
          <w:sz w:val="17"/>
          <w:szCs w:val="17"/>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30 days of such bill, invoice or other demand) shall accrue interest at a rate per annum equal to the Prime Rate plus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648"/>
        <w:spacing w:after="0" w:line="28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Survival of Covenants</w:t>
      </w:r>
      <w:r>
        <w:rPr>
          <w:rFonts w:ascii="Arial" w:cs="Arial" w:eastAsia="Arial" w:hAnsi="Arial"/>
          <w:sz w:val="18"/>
          <w:szCs w:val="18"/>
          <w:color w:val="auto"/>
        </w:rPr>
        <w:t>. Except as expressly set forth in any Ancillary Agreement, the covenants, representations and warranties contained in this Agreement and each Ancillary Agreement, and liability for the breach of any obligations contained herein or therein, shall survive the Separation and the Distribution and shall remain in full force and effect.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b w:val="1"/>
          <w:bCs w:val="1"/>
          <w:u w:val="single" w:color="auto"/>
          <w:color w:val="auto"/>
        </w:rPr>
        <w:t>Waivers of Default</w:t>
      </w:r>
      <w:r>
        <w:rPr>
          <w:rFonts w:ascii="Arial" w:cs="Arial" w:eastAsia="Arial" w:hAnsi="Arial"/>
          <w:sz w:val="17"/>
          <w:szCs w:val="17"/>
          <w:color w:val="auto"/>
        </w:rPr>
        <w:t>. Waiver by any party of any default by the other party of any provision of this Agreement or any Ancillary Agreement shall not be deemed a waiver by the waiving party of any subsequent or other default, nor shall it prejudice the rights of such party. No failure or delay by any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provisions of this Agreement or any Ancillary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In this Agreement and any Ancillary Agreement, (a) words in the singular shall be held to include the plural and vice versa and words of one gender shall be held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means “including, without limitation”; (e) the word “or” shall not be exclusive; and (f) unless expressly stated to the contrary in this Agreement or in any Ancillary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ind w:firstLine="648"/>
        <w:spacing w:after="0" w:line="266"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color w:val="auto"/>
        </w:rPr>
        <w:t>. It is expressly agreed that, from and after the Distribution Date and for purposes of this Agreement and the Ancillary Agreements, (a) no member of the Civeo Group shall be deemed to be an Affiliate of any member of the Oil States Group and (b) no member of the Oil States Group shall be deemed to be an Affiliate of any member of the Civeo Group.</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color w:val="auto"/>
        </w:rPr>
        <w:t xml:space="preserve">. </w:t>
      </w:r>
      <w:r>
        <w:rPr>
          <w:rFonts w:ascii="Arial" w:cs="Arial" w:eastAsia="Arial" w:hAnsi="Arial"/>
          <w:sz w:val="18"/>
          <w:szCs w:val="18"/>
          <w:b w:val="1"/>
          <w:bCs w:val="1"/>
          <w:color w:val="auto"/>
        </w:rPr>
        <w:t>NOTWITHSTANDING ANYTHING IN THIS AGREEMENT TO THE CONTRARY, NEITHER CIVEO</w:t>
      </w:r>
      <w:r>
        <w:rPr>
          <w:rFonts w:ascii="Arial" w:cs="Arial" w:eastAsia="Arial" w:hAnsi="Arial"/>
          <w:sz w:val="18"/>
          <w:szCs w:val="18"/>
          <w:color w:val="auto"/>
        </w:rPr>
        <w:t xml:space="preserve"> </w:t>
      </w:r>
      <w:r>
        <w:rPr>
          <w:rFonts w:ascii="Arial" w:cs="Arial" w:eastAsia="Arial" w:hAnsi="Arial"/>
          <w:sz w:val="18"/>
          <w:szCs w:val="18"/>
          <w:b w:val="1"/>
          <w:bCs w:val="1"/>
          <w:color w:val="auto"/>
        </w:rPr>
        <w:t>OR ITS AFFILIATES, ON THE ONE HAND, NOR OIL STATES OR ITS AFFILIATES, ON THE OTHER HAND, SHALL BE LIABLE UNDER THIS AGREEMENT TO THE OTHER FOR ANY (I) DAMAGES THAT ARE NOT PROBABLE AND REASONABLY FORESEEABLE OR (II) PUNITIVE OR SIMILAR DAMAGES, IN EACH CASE IN EXCESS OF COMPENSATORY DAMAGES OF THE OTHER ARISING IN CONNECTION WITH THE TRANSACTIONS CONTEMPLATED HEREBY (OTHER THAN ANY SUCH LIABILITY WITH RESPECT TO A THIRD-PARTY CLAIM).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SIGNATURE PAGE</w:t>
      </w:r>
    </w:p>
    <w:p>
      <w:pPr>
        <w:spacing w:after="0" w:line="8"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354330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44" w:name="page45"/>
    <w:bookmarkEnd w:id="44"/>
    <w:p>
      <w:pPr>
        <w:jc w:val="center"/>
        <w:ind w:right="312"/>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Restructuring Steps Memorandum</w:t>
      </w:r>
    </w:p>
    <w:p>
      <w:pPr>
        <w:spacing w:after="0" w:line="229" w:lineRule="exact"/>
        <w:rPr>
          <w:sz w:val="20"/>
          <w:szCs w:val="20"/>
          <w:color w:val="auto"/>
        </w:rPr>
      </w:pPr>
    </w:p>
    <w:p>
      <w:pPr>
        <w:jc w:val="both"/>
        <w:ind w:left="328" w:right="60" w:hanging="328"/>
        <w:spacing w:after="0" w:line="342" w:lineRule="auto"/>
        <w:tabs>
          <w:tab w:leader="none" w:pos="3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PTI Mars Holdco 1, LLC (“</w:t>
      </w:r>
      <w:r>
        <w:rPr>
          <w:rFonts w:ascii="Arial" w:cs="Arial" w:eastAsia="Arial" w:hAnsi="Arial"/>
          <w:sz w:val="16"/>
          <w:szCs w:val="16"/>
          <w:b w:val="1"/>
          <w:bCs w:val="1"/>
          <w:i w:val="1"/>
          <w:iCs w:val="1"/>
          <w:color w:val="auto"/>
        </w:rPr>
        <w:t>PTI Mars</w:t>
      </w:r>
      <w:r>
        <w:rPr>
          <w:rFonts w:ascii="Arial" w:cs="Arial" w:eastAsia="Arial" w:hAnsi="Arial"/>
          <w:sz w:val="16"/>
          <w:szCs w:val="16"/>
          <w:color w:val="auto"/>
        </w:rPr>
        <w:t>”) will contribute to PTI Investments Coöperatief U.A (“</w:t>
      </w:r>
      <w:r>
        <w:rPr>
          <w:rFonts w:ascii="Arial" w:cs="Arial" w:eastAsia="Arial" w:hAnsi="Arial"/>
          <w:sz w:val="16"/>
          <w:szCs w:val="16"/>
          <w:b w:val="1"/>
          <w:bCs w:val="1"/>
          <w:i w:val="1"/>
          <w:iCs w:val="1"/>
          <w:color w:val="auto"/>
        </w:rPr>
        <w:t>Dutch Newco</w:t>
      </w:r>
      <w:r>
        <w:rPr>
          <w:rFonts w:ascii="Arial" w:cs="Arial" w:eastAsia="Arial" w:hAnsi="Arial"/>
          <w:sz w:val="16"/>
          <w:szCs w:val="16"/>
          <w:color w:val="auto"/>
        </w:rPr>
        <w:t>”) all the outstanding shares of 3045843 Nova Scotia Company, and Oil States will contribute cash, in exchange for approximately 99.9% and 0.1%, respectively, of equity of Dutch Newco.</w:t>
      </w:r>
    </w:p>
    <w:p>
      <w:pPr>
        <w:spacing w:after="0" w:line="123" w:lineRule="exact"/>
        <w:rPr>
          <w:rFonts w:ascii="Arial" w:cs="Arial" w:eastAsia="Arial" w:hAnsi="Arial"/>
          <w:sz w:val="16"/>
          <w:szCs w:val="16"/>
          <w:color w:val="auto"/>
        </w:rPr>
      </w:pPr>
    </w:p>
    <w:p>
      <w:pPr>
        <w:ind w:left="328" w:right="60" w:hanging="328"/>
        <w:spacing w:after="0" w:line="264"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Oil States will contribute: (i) its ownership interests in the Transferred Entities, (ii) the Hybrid Instruments and (iii) the PTI Mars Receivable to Civeo in exchange for (i) shares of Civeo Common Stock, (ii) the assumption of certain liabilities of Oil States associated with the Accommodations Business set forth in this Agreement and (iii) the Cash Dividend incurred.</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Civeo will pay the Cash Dividend to Oil States.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Oil States will distribute all of the outstanding Civeo Common Stock to the shareholders of Oil States as of the Record Date.</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0" w:right="239" w:bottom="1440" w:gutter="0" w:footer="0" w:header="0"/>
        </w:sectPr>
      </w:pPr>
    </w:p>
    <w:bookmarkStart w:id="45" w:name="page46"/>
    <w:bookmarkEnd w:id="45"/>
    <w:p>
      <w:pPr>
        <w:ind w:left="3960"/>
        <w:spacing w:after="0"/>
        <w:rPr>
          <w:sz w:val="20"/>
          <w:szCs w:val="20"/>
          <w:color w:val="auto"/>
        </w:rPr>
      </w:pPr>
      <w:r>
        <w:rPr>
          <w:rFonts w:ascii="Arial" w:cs="Arial" w:eastAsia="Arial" w:hAnsi="Arial"/>
          <w:sz w:val="18"/>
          <w:szCs w:val="18"/>
          <w:b w:val="1"/>
          <w:bCs w:val="1"/>
          <w:color w:val="auto"/>
        </w:rPr>
        <w:t>Schedule 1.1A</w:t>
      </w:r>
    </w:p>
    <w:p>
      <w:pPr>
        <w:spacing w:after="0" w:line="27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Excluded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1.1A</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6" w:name="page47"/>
    <w:bookmarkEnd w:id="46"/>
    <w:p>
      <w:pPr>
        <w:jc w:val="center"/>
        <w:ind w:right="1180"/>
        <w:spacing w:after="0"/>
        <w:rPr>
          <w:sz w:val="20"/>
          <w:szCs w:val="20"/>
          <w:color w:val="auto"/>
        </w:rPr>
      </w:pPr>
      <w:r>
        <w:rPr>
          <w:rFonts w:ascii="Arial" w:cs="Arial" w:eastAsia="Arial" w:hAnsi="Arial"/>
          <w:sz w:val="18"/>
          <w:szCs w:val="18"/>
          <w:b w:val="1"/>
          <w:bCs w:val="1"/>
          <w:color w:val="auto"/>
        </w:rPr>
        <w:t>Schedule 1.1B</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Civeo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1.1B</w:t>
      </w:r>
    </w:p>
    <w:p>
      <w:pPr>
        <w:spacing w:after="0" w:line="200" w:lineRule="exact"/>
        <w:rPr>
          <w:sz w:val="20"/>
          <w:szCs w:val="20"/>
          <w:color w:val="auto"/>
        </w:rPr>
      </w:pPr>
    </w:p>
    <w:p>
      <w:pPr>
        <w:spacing w:after="0" w:line="27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7" w:name="page48"/>
    <w:bookmarkEnd w:id="47"/>
    <w:p>
      <w:pPr>
        <w:ind w:left="3960"/>
        <w:spacing w:after="0"/>
        <w:rPr>
          <w:sz w:val="20"/>
          <w:szCs w:val="20"/>
          <w:color w:val="auto"/>
        </w:rPr>
      </w:pPr>
      <w:r>
        <w:rPr>
          <w:rFonts w:ascii="Arial" w:cs="Arial" w:eastAsia="Arial" w:hAnsi="Arial"/>
          <w:sz w:val="18"/>
          <w:szCs w:val="18"/>
          <w:b w:val="1"/>
          <w:bCs w:val="1"/>
          <w:color w:val="auto"/>
        </w:rPr>
        <w:t>Schedule 1.1C</w:t>
      </w: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Registrable IP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1.1C</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8" w:name="page49"/>
    <w:bookmarkEnd w:id="48"/>
    <w:p>
      <w:pPr>
        <w:jc w:val="center"/>
        <w:ind w:right="1200"/>
        <w:spacing w:after="0"/>
        <w:rPr>
          <w:sz w:val="20"/>
          <w:szCs w:val="20"/>
          <w:color w:val="auto"/>
        </w:rPr>
      </w:pPr>
      <w:r>
        <w:rPr>
          <w:rFonts w:ascii="Arial" w:cs="Arial" w:eastAsia="Arial" w:hAnsi="Arial"/>
          <w:sz w:val="18"/>
          <w:szCs w:val="18"/>
          <w:b w:val="1"/>
          <w:bCs w:val="1"/>
          <w:color w:val="auto"/>
        </w:rPr>
        <w:t>Schedule 1.1D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Specified General Marine Leasing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1.1D</w:t>
      </w:r>
    </w:p>
    <w:p>
      <w:pPr>
        <w:spacing w:after="0" w:line="200" w:lineRule="exact"/>
        <w:rPr>
          <w:sz w:val="20"/>
          <w:szCs w:val="20"/>
          <w:color w:val="auto"/>
        </w:rPr>
      </w:pPr>
    </w:p>
    <w:p>
      <w:pPr>
        <w:spacing w:after="0" w:line="27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49" w:name="page50"/>
    <w:bookmarkEnd w:id="49"/>
    <w:p>
      <w:pPr>
        <w:jc w:val="center"/>
        <w:ind w:right="1200"/>
        <w:spacing w:after="0"/>
        <w:rPr>
          <w:sz w:val="20"/>
          <w:szCs w:val="20"/>
          <w:color w:val="auto"/>
        </w:rPr>
      </w:pPr>
      <w:r>
        <w:rPr>
          <w:rFonts w:ascii="Arial" w:cs="Arial" w:eastAsia="Arial" w:hAnsi="Arial"/>
          <w:sz w:val="16"/>
          <w:szCs w:val="16"/>
          <w:b w:val="1"/>
          <w:bCs w:val="1"/>
          <w:color w:val="auto"/>
        </w:rPr>
        <w:t>Schedule 2.2(a)(i)</w:t>
      </w:r>
    </w:p>
    <w:p>
      <w:pPr>
        <w:spacing w:after="0" w:line="24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Civeo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2.2(a)(i)</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0" w:name="page51"/>
    <w:bookmarkEnd w:id="50"/>
    <w:p>
      <w:pPr>
        <w:jc w:val="center"/>
        <w:ind w:right="312"/>
        <w:spacing w:after="0"/>
        <w:rPr>
          <w:sz w:val="20"/>
          <w:szCs w:val="20"/>
          <w:color w:val="auto"/>
        </w:rPr>
      </w:pPr>
      <w:r>
        <w:rPr>
          <w:rFonts w:ascii="Arial" w:cs="Arial" w:eastAsia="Arial" w:hAnsi="Arial"/>
          <w:sz w:val="18"/>
          <w:szCs w:val="18"/>
          <w:b w:val="1"/>
          <w:bCs w:val="1"/>
          <w:color w:val="auto"/>
        </w:rPr>
        <w:t>Schedule 2.2(a)(ii)(B)</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Transferred Entities</w:t>
      </w:r>
    </w:p>
    <w:p>
      <w:pPr>
        <w:spacing w:after="0" w:line="200" w:lineRule="exact"/>
        <w:rPr>
          <w:sz w:val="20"/>
          <w:szCs w:val="20"/>
          <w:color w:val="auto"/>
        </w:rPr>
      </w:pPr>
    </w:p>
    <w:p>
      <w:pPr>
        <w:spacing w:after="0" w:line="245" w:lineRule="exact"/>
        <w:rPr>
          <w:sz w:val="20"/>
          <w:szCs w:val="20"/>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PTI Mars Holdco 1,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PTI Group USA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 Investments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Marine Leasing, LLC</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PTI Investments Coöperatief 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2.2(a)(ii)(B)</w:t>
      </w: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8"/>
          </w:cols>
          <w:pgMar w:left="572" w:top="580" w:right="239" w:bottom="1440" w:gutter="0" w:footer="0" w:header="0"/>
        </w:sectPr>
      </w:pPr>
    </w:p>
    <w:bookmarkStart w:id="51" w:name="page52"/>
    <w:bookmarkEnd w:id="51"/>
    <w:p>
      <w:pPr>
        <w:ind w:left="3820"/>
        <w:spacing w:after="0"/>
        <w:rPr>
          <w:sz w:val="20"/>
          <w:szCs w:val="20"/>
          <w:color w:val="auto"/>
        </w:rPr>
      </w:pPr>
      <w:r>
        <w:rPr>
          <w:rFonts w:ascii="Arial" w:cs="Arial" w:eastAsia="Arial" w:hAnsi="Arial"/>
          <w:sz w:val="18"/>
          <w:szCs w:val="18"/>
          <w:b w:val="1"/>
          <w:bCs w:val="1"/>
          <w:color w:val="auto"/>
        </w:rPr>
        <w:t>Schedule 2.3(a)(ii)</w:t>
      </w:r>
    </w:p>
    <w:p>
      <w:pPr>
        <w:spacing w:after="0" w:line="27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Civeo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2.3(a)(ii)</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2" w:name="page53"/>
    <w:bookmarkEnd w:id="52"/>
    <w:p>
      <w:pPr>
        <w:jc w:val="center"/>
        <w:ind w:right="1200"/>
        <w:spacing w:after="0"/>
        <w:rPr>
          <w:sz w:val="20"/>
          <w:szCs w:val="20"/>
          <w:color w:val="auto"/>
        </w:rPr>
      </w:pPr>
      <w:r>
        <w:rPr>
          <w:rFonts w:ascii="Arial" w:cs="Arial" w:eastAsia="Arial" w:hAnsi="Arial"/>
          <w:sz w:val="18"/>
          <w:szCs w:val="18"/>
          <w:b w:val="1"/>
          <w:bCs w:val="1"/>
          <w:color w:val="auto"/>
        </w:rPr>
        <w:t>Schedule 2.8(b)(ii)</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Retained Intercompany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2.9(b)(ii)</w:t>
      </w:r>
    </w:p>
    <w:p>
      <w:pPr>
        <w:spacing w:after="0" w:line="200" w:lineRule="exact"/>
        <w:rPr>
          <w:sz w:val="20"/>
          <w:szCs w:val="20"/>
          <w:color w:val="auto"/>
        </w:rPr>
      </w:pPr>
    </w:p>
    <w:p>
      <w:pPr>
        <w:spacing w:after="0" w:line="2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3" w:name="page54"/>
    <w:bookmarkEnd w:id="53"/>
    <w:p>
      <w:pPr>
        <w:jc w:val="center"/>
        <w:ind w:right="1200"/>
        <w:spacing w:after="0"/>
        <w:rPr>
          <w:sz w:val="20"/>
          <w:szCs w:val="20"/>
          <w:color w:val="auto"/>
        </w:rPr>
      </w:pPr>
      <w:r>
        <w:rPr>
          <w:rFonts w:ascii="Arial" w:cs="Arial" w:eastAsia="Arial" w:hAnsi="Arial"/>
          <w:sz w:val="18"/>
          <w:szCs w:val="18"/>
          <w:b w:val="1"/>
          <w:bCs w:val="1"/>
          <w:color w:val="auto"/>
        </w:rPr>
        <w:t>Schedule 2.9(a)</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Shared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2.9(a)</w:t>
      </w:r>
    </w:p>
    <w:p>
      <w:pPr>
        <w:spacing w:after="0" w:line="2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851" w:right="23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OIL STATES INTERNATIONAL,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4500"/>
              <w:spacing w:after="0"/>
              <w:rPr>
                <w:sz w:val="20"/>
                <w:szCs w:val="20"/>
                <w:color w:val="auto"/>
              </w:rPr>
            </w:pPr>
            <w:r>
              <w:rPr>
                <w:rFonts w:ascii="Arial" w:cs="Arial" w:eastAsia="Arial" w:hAnsi="Arial"/>
                <w:sz w:val="18"/>
                <w:szCs w:val="18"/>
                <w:b w:val="1"/>
                <w:bCs w:val="1"/>
                <w:color w:val="auto"/>
              </w:rPr>
              <w:t>DATED AS OF</w:t>
            </w:r>
          </w:p>
        </w:tc>
        <w:tc>
          <w:tcPr>
            <w:tcW w:w="5380" w:type="dxa"/>
            <w:vAlign w:val="bottom"/>
          </w:tcPr>
          <w:p>
            <w:pPr>
              <w:jc w:val="right"/>
              <w:ind w:right="4430"/>
              <w:spacing w:after="0"/>
              <w:rPr>
                <w:sz w:val="20"/>
                <w:szCs w:val="20"/>
                <w:color w:val="auto"/>
              </w:rPr>
            </w:pPr>
            <w:r>
              <w:rPr>
                <w:rFonts w:ascii="Arial" w:cs="Arial" w:eastAsia="Arial" w:hAnsi="Arial"/>
                <w:sz w:val="18"/>
                <w:szCs w:val="18"/>
                <w:b w:val="1"/>
                <w:bCs w:val="1"/>
                <w:color w:val="auto"/>
              </w:rPr>
              <w:t>, 2014</w:t>
            </w:r>
          </w:p>
        </w:tc>
      </w:tr>
      <w:tr>
        <w:trPr>
          <w:trHeight w:val="1860"/>
        </w:trPr>
        <w:tc>
          <w:tcPr>
            <w:tcW w:w="60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61"/>
        </w:trPr>
        <w:tc>
          <w:tcPr>
            <w:tcW w:w="608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ARTICLE 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w w:val="98"/>
              </w:rPr>
              <w:t>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1.01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of Services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1.02</w:t>
            </w:r>
          </w:p>
        </w:tc>
        <w:tc>
          <w:tcPr>
            <w:tcW w:w="3620" w:type="dxa"/>
            <w:vAlign w:val="bottom"/>
          </w:tcPr>
          <w:p>
            <w:pPr>
              <w:ind w:left="320"/>
              <w:spacing w:after="0"/>
              <w:rPr>
                <w:sz w:val="20"/>
                <w:szCs w:val="20"/>
                <w:color w:val="auto"/>
              </w:rPr>
            </w:pPr>
            <w:r>
              <w:rPr>
                <w:rFonts w:ascii="Arial" w:cs="Arial" w:eastAsia="Arial" w:hAnsi="Arial"/>
                <w:sz w:val="18"/>
                <w:szCs w:val="18"/>
                <w:color w:val="auto"/>
              </w:rPr>
              <w:t>Standard of Service</w:t>
            </w:r>
          </w:p>
        </w:tc>
        <w:tc>
          <w:tcPr>
            <w:tcW w:w="71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1.03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Third-Party Service Providers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1.04</w:t>
            </w:r>
          </w:p>
        </w:tc>
        <w:tc>
          <w:tcPr>
            <w:tcW w:w="3620" w:type="dxa"/>
            <w:vAlign w:val="bottom"/>
          </w:tcPr>
          <w:p>
            <w:pPr>
              <w:ind w:left="320"/>
              <w:spacing w:after="0"/>
              <w:rPr>
                <w:sz w:val="20"/>
                <w:szCs w:val="20"/>
                <w:color w:val="auto"/>
              </w:rPr>
            </w:pPr>
            <w:r>
              <w:rPr>
                <w:rFonts w:ascii="Arial" w:cs="Arial" w:eastAsia="Arial" w:hAnsi="Arial"/>
                <w:sz w:val="18"/>
                <w:szCs w:val="18"/>
                <w:color w:val="auto"/>
              </w:rPr>
              <w:t>Access to Premises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ARTICLE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Responsibility for Wages and Fees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2.02</w:t>
            </w:r>
          </w:p>
        </w:tc>
        <w:tc>
          <w:tcPr>
            <w:tcW w:w="3620" w:type="dxa"/>
            <w:vAlign w:val="bottom"/>
          </w:tcPr>
          <w:p>
            <w:pPr>
              <w:ind w:left="320"/>
              <w:spacing w:after="0"/>
              <w:rPr>
                <w:sz w:val="20"/>
                <w:szCs w:val="20"/>
                <w:color w:val="auto"/>
              </w:rPr>
            </w:pPr>
            <w:r>
              <w:rPr>
                <w:rFonts w:ascii="Arial" w:cs="Arial" w:eastAsia="Arial" w:hAnsi="Arial"/>
                <w:sz w:val="18"/>
                <w:szCs w:val="18"/>
                <w:color w:val="auto"/>
              </w:rPr>
              <w:t>Terms of Payment and Related Matters</w:t>
            </w: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Extension of Services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2.04</w:t>
            </w:r>
          </w:p>
        </w:tc>
        <w:tc>
          <w:tcPr>
            <w:tcW w:w="3620" w:type="dxa"/>
            <w:vAlign w:val="bottom"/>
          </w:tcPr>
          <w:p>
            <w:pPr>
              <w:ind w:left="320"/>
              <w:spacing w:after="0"/>
              <w:rPr>
                <w:sz w:val="20"/>
                <w:szCs w:val="20"/>
                <w:color w:val="auto"/>
              </w:rPr>
            </w:pPr>
            <w:r>
              <w:rPr>
                <w:rFonts w:ascii="Arial" w:cs="Arial" w:eastAsia="Arial" w:hAnsi="Arial"/>
                <w:sz w:val="18"/>
                <w:szCs w:val="18"/>
                <w:color w:val="auto"/>
              </w:rPr>
              <w:t>Terminated Services</w:t>
            </w:r>
          </w:p>
        </w:tc>
        <w:tc>
          <w:tcPr>
            <w:tcW w:w="71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2.05</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Invoice Disputes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2.06</w:t>
            </w:r>
          </w:p>
        </w:tc>
        <w:tc>
          <w:tcPr>
            <w:tcW w:w="3620" w:type="dxa"/>
            <w:vAlign w:val="bottom"/>
          </w:tcPr>
          <w:p>
            <w:pPr>
              <w:ind w:left="320"/>
              <w:spacing w:after="0"/>
              <w:rPr>
                <w:sz w:val="20"/>
                <w:szCs w:val="20"/>
                <w:color w:val="auto"/>
              </w:rPr>
            </w:pPr>
            <w:r>
              <w:rPr>
                <w:rFonts w:ascii="Arial" w:cs="Arial" w:eastAsia="Arial" w:hAnsi="Arial"/>
                <w:sz w:val="18"/>
                <w:szCs w:val="18"/>
                <w:color w:val="auto"/>
              </w:rPr>
              <w:t>No Right of Setoff</w:t>
            </w:r>
          </w:p>
        </w:tc>
        <w:tc>
          <w:tcPr>
            <w:tcW w:w="71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2.07</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ARTICLE III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TERMINATION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3.01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 of Agreement</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3.02</w:t>
            </w:r>
          </w:p>
        </w:tc>
        <w:tc>
          <w:tcPr>
            <w:tcW w:w="3620" w:type="dxa"/>
            <w:vAlign w:val="bottom"/>
          </w:tcPr>
          <w:p>
            <w:pPr>
              <w:ind w:left="320"/>
              <w:spacing w:after="0"/>
              <w:rPr>
                <w:sz w:val="20"/>
                <w:szCs w:val="20"/>
                <w:color w:val="auto"/>
              </w:rPr>
            </w:pPr>
            <w:r>
              <w:rPr>
                <w:rFonts w:ascii="Arial" w:cs="Arial" w:eastAsia="Arial" w:hAnsi="Arial"/>
                <w:sz w:val="18"/>
                <w:szCs w:val="18"/>
                <w:color w:val="auto"/>
              </w:rPr>
              <w:t>Breach</w:t>
            </w:r>
          </w:p>
        </w:tc>
        <w:tc>
          <w:tcPr>
            <w:tcW w:w="7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3.03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Insolvency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3.04</w:t>
            </w:r>
          </w:p>
        </w:tc>
        <w:tc>
          <w:tcPr>
            <w:tcW w:w="3620" w:type="dxa"/>
            <w:vAlign w:val="bottom"/>
          </w:tcPr>
          <w:p>
            <w:pPr>
              <w:ind w:left="320"/>
              <w:spacing w:after="0"/>
              <w:rPr>
                <w:sz w:val="20"/>
                <w:szCs w:val="20"/>
                <w:color w:val="auto"/>
              </w:rPr>
            </w:pPr>
            <w:r>
              <w:rPr>
                <w:rFonts w:ascii="Arial" w:cs="Arial" w:eastAsia="Arial" w:hAnsi="Arial"/>
                <w:sz w:val="18"/>
                <w:szCs w:val="18"/>
                <w:color w:val="auto"/>
              </w:rPr>
              <w:t>Effect of Termination</w:t>
            </w:r>
          </w:p>
        </w:tc>
        <w:tc>
          <w:tcPr>
            <w:tcW w:w="7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ARTICLE IV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rPr>
              <w:t>CONFIDENTIALITY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4.01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Confidentiality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ARTICLE 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160" w:type="dxa"/>
            <w:vAlign w:val="bottom"/>
            <w:gridSpan w:val="2"/>
          </w:tcPr>
          <w:p>
            <w:pPr>
              <w:jc w:val="center"/>
              <w:ind w:right="4300"/>
              <w:spacing w:after="0"/>
              <w:rPr>
                <w:sz w:val="20"/>
                <w:szCs w:val="20"/>
                <w:color w:val="auto"/>
              </w:rPr>
            </w:pPr>
            <w:r>
              <w:rPr>
                <w:rFonts w:ascii="Arial" w:cs="Arial" w:eastAsia="Arial" w:hAnsi="Arial"/>
                <w:sz w:val="18"/>
                <w:szCs w:val="18"/>
                <w:b w:val="1"/>
                <w:bCs w:val="1"/>
                <w:color w:val="auto"/>
              </w:rPr>
              <w:t>MISCELLANEOUS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 Entire Agreement</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5.02</w:t>
            </w:r>
          </w:p>
        </w:tc>
        <w:tc>
          <w:tcPr>
            <w:tcW w:w="36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71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5.03</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Assignability</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5.04</w:t>
            </w:r>
          </w:p>
        </w:tc>
        <w:tc>
          <w:tcPr>
            <w:tcW w:w="3620" w:type="dxa"/>
            <w:vAlign w:val="bottom"/>
          </w:tcPr>
          <w:p>
            <w:pPr>
              <w:ind w:left="320"/>
              <w:spacing w:after="0"/>
              <w:rPr>
                <w:sz w:val="20"/>
                <w:szCs w:val="20"/>
                <w:color w:val="auto"/>
              </w:rPr>
            </w:pPr>
            <w:r>
              <w:rPr>
                <w:rFonts w:ascii="Arial" w:cs="Arial" w:eastAsia="Arial" w:hAnsi="Arial"/>
                <w:sz w:val="18"/>
                <w:szCs w:val="18"/>
                <w:color w:val="auto"/>
              </w:rPr>
              <w:t>Third-Party Beneficiaries</w:t>
            </w:r>
          </w:p>
        </w:tc>
        <w:tc>
          <w:tcPr>
            <w:tcW w:w="7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5.05</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5.06</w:t>
            </w:r>
          </w:p>
        </w:tc>
        <w:tc>
          <w:tcPr>
            <w:tcW w:w="36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7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5.07</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Force Majeure</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5.08</w:t>
            </w:r>
          </w:p>
        </w:tc>
        <w:tc>
          <w:tcPr>
            <w:tcW w:w="3620" w:type="dxa"/>
            <w:vAlign w:val="bottom"/>
          </w:tcPr>
          <w:p>
            <w:pPr>
              <w:ind w:left="320"/>
              <w:spacing w:after="0"/>
              <w:rPr>
                <w:sz w:val="20"/>
                <w:szCs w:val="20"/>
                <w:color w:val="auto"/>
              </w:rPr>
            </w:pPr>
            <w:r>
              <w:rPr>
                <w:rFonts w:ascii="Arial" w:cs="Arial" w:eastAsia="Arial" w:hAnsi="Arial"/>
                <w:sz w:val="18"/>
                <w:szCs w:val="18"/>
                <w:color w:val="auto"/>
              </w:rPr>
              <w:t>Headings</w:t>
            </w:r>
          </w:p>
        </w:tc>
        <w:tc>
          <w:tcPr>
            <w:tcW w:w="7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5.09</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Waivers of Default</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5.10</w:t>
            </w:r>
          </w:p>
        </w:tc>
        <w:tc>
          <w:tcPr>
            <w:tcW w:w="362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71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5.11</w:t>
            </w:r>
          </w:p>
        </w:tc>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79"/>
              </w:rPr>
              <w:t>5.12</w:t>
            </w:r>
          </w:p>
        </w:tc>
        <w:tc>
          <w:tcPr>
            <w:tcW w:w="362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7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ind w:left="660"/>
        <w:spacing w:after="0"/>
        <w:tabs>
          <w:tab w:leader="none" w:pos="758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made and entered into effective as of</w:t>
      </w:r>
      <w:r>
        <w:rPr>
          <w:sz w:val="20"/>
          <w:szCs w:val="20"/>
          <w:color w:val="auto"/>
        </w:rPr>
        <w:tab/>
      </w:r>
      <w:r>
        <w:rPr>
          <w:rFonts w:ascii="Arial" w:cs="Arial" w:eastAsia="Arial" w:hAnsi="Arial"/>
          <w:sz w:val="16"/>
          <w:szCs w:val="16"/>
          <w:color w:val="auto"/>
        </w:rPr>
        <w:t>, 2014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between Civeo</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Corporation, a Delaware corporation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and 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Capitalized terms used herein and not otherwise defined have the respective meanings assigned to them in the Separation and Distribution Agreement (as defined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would be in the best interests of Oil States and its stockholders to separate the Civeo Business from Oil States;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Oil States and Civeo have entered into the Separation and Distribution Agreement dated , 2014 (as amended, modified or supplemented from time to time in accordance with its terms, the “</w:t>
      </w:r>
      <w:r>
        <w:rPr>
          <w:rFonts w:ascii="Arial" w:cs="Arial" w:eastAsia="Arial" w:hAnsi="Arial"/>
          <w:sz w:val="17"/>
          <w:szCs w:val="17"/>
          <w:b w:val="1"/>
          <w:bCs w:val="1"/>
          <w:i w:val="1"/>
          <w:iCs w:val="1"/>
          <w:color w:val="auto"/>
        </w:rPr>
        <w:t>Separation and Distribution Agreement</w:t>
      </w:r>
      <w:r>
        <w:rPr>
          <w:rFonts w:ascii="Arial" w:cs="Arial" w:eastAsia="Arial" w:hAnsi="Arial"/>
          <w:sz w:val="17"/>
          <w:szCs w:val="17"/>
          <w:color w:val="auto"/>
        </w:rPr>
        <w:t>”) in connection with the separation of the Civeo Business from Oil States (the “</w:t>
      </w:r>
      <w:r>
        <w:rPr>
          <w:rFonts w:ascii="Arial" w:cs="Arial" w:eastAsia="Arial" w:hAnsi="Arial"/>
          <w:sz w:val="17"/>
          <w:szCs w:val="17"/>
          <w:b w:val="1"/>
          <w:bCs w:val="1"/>
          <w:i w:val="1"/>
          <w:iCs w:val="1"/>
          <w:color w:val="auto"/>
        </w:rPr>
        <w:t>Separation</w:t>
      </w:r>
      <w:r>
        <w:rPr>
          <w:rFonts w:ascii="Arial" w:cs="Arial" w:eastAsia="Arial" w:hAnsi="Arial"/>
          <w:sz w:val="17"/>
          <w:szCs w:val="17"/>
          <w:color w:val="auto"/>
        </w:rPr>
        <w:t>”) and the distribution of Civeo Common Stock to stockholders of Oil States (the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Separation and Distribution Agreement also provides for the execution and delivery of certain other agreements, including this Agreement, in order to facilitate and provide for the separation of Civeo and its Subsidiaries from Oil States; and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in order to ensure an orderly transition under the Separation and Distribution Agreement, the Parties agree that it will be advisable for the Oil States Group to provide to the Civeo Group certain information technology services described herein for a transitional period.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covenants and agreements set forth below and other good and valuable consideration, the receipt and sufficiency of which are acknowledged, and intending to be legally bound, the Parties agree as follows:</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Provision of Services.</w:t>
      </w:r>
    </w:p>
    <w:p>
      <w:pPr>
        <w:spacing w:after="0" w:line="229" w:lineRule="exact"/>
        <w:rPr>
          <w:sz w:val="20"/>
          <w:szCs w:val="20"/>
          <w:color w:val="auto"/>
        </w:rPr>
      </w:pPr>
    </w:p>
    <w:p>
      <w:pPr>
        <w:jc w:val="both"/>
        <w:ind w:firstLine="656"/>
        <w:spacing w:after="0" w:line="264" w:lineRule="auto"/>
        <w:tabs>
          <w:tab w:leader="none" w:pos="1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Oil States agrees to provide, or to cause its Affiliates to provide, the services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set forth on the exhibits attached hereto (as such exhibits may be amended or supplemented pursuant to the terms of this Agreement, collectively, the “</w:t>
      </w:r>
      <w:r>
        <w:rPr>
          <w:rFonts w:ascii="Arial" w:cs="Arial" w:eastAsia="Arial" w:hAnsi="Arial"/>
          <w:sz w:val="18"/>
          <w:szCs w:val="18"/>
          <w:b w:val="1"/>
          <w:bCs w:val="1"/>
          <w:i w:val="1"/>
          <w:iCs w:val="1"/>
          <w:color w:val="auto"/>
        </w:rPr>
        <w:t>Service Exhibits</w:t>
      </w:r>
      <w:r>
        <w:rPr>
          <w:rFonts w:ascii="Arial" w:cs="Arial" w:eastAsia="Arial" w:hAnsi="Arial"/>
          <w:sz w:val="18"/>
          <w:szCs w:val="18"/>
          <w:color w:val="auto"/>
        </w:rPr>
        <w:t>”) to Civeo for the respective periods and on the other terms and conditions set forth in this Agreement and in the respective Service Exhibits.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parties hereto acknowledge the transitional nature of the Services. Accordingly, as promptly as practicable following the execution of this Agreement, Civeo agrees to use commercially reasonable efforts to make a transition of each Service to its own internal organization or to obtain alternate third-party sources to provide the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both"/>
        <w:ind w:firstLine="656"/>
        <w:spacing w:after="0" w:line="271" w:lineRule="auto"/>
        <w:tabs>
          <w:tab w:leader="none" w:pos="1167"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the obligations of Oil States under this Agreement to provide Services shall terminate with respect to each Service on the end date specified in the applicable Service Exhibit (the “</w:t>
      </w:r>
      <w:r>
        <w:rPr>
          <w:rFonts w:ascii="Arial" w:cs="Arial" w:eastAsia="Arial" w:hAnsi="Arial"/>
          <w:sz w:val="17"/>
          <w:szCs w:val="17"/>
          <w:b w:val="1"/>
          <w:bCs w:val="1"/>
          <w:i w:val="1"/>
          <w:iCs w:val="1"/>
          <w:color w:val="auto"/>
        </w:rPr>
        <w:t>End Date</w:t>
      </w:r>
      <w:r>
        <w:rPr>
          <w:rFonts w:ascii="Arial" w:cs="Arial" w:eastAsia="Arial" w:hAnsi="Arial"/>
          <w:sz w:val="17"/>
          <w:szCs w:val="17"/>
          <w:color w:val="auto"/>
        </w:rPr>
        <w:t>”). Notwithstanding the foregoing, the parties acknowledge and agree that Civeo may determine from time to time that it does not require all the Services set out on one or more of the Service Exhibits or that it does not require such Services for the entire period up to the applicable End Date. Accordingly, Civeo may terminate any Service, in whole or in part, upon notification to Oil States in writing of any such determination. Upon termination of a Service, there shall be no liability on the part of either party with respect to that Service, other than that such termination shall not (i) relieve either party of any liabilities resulting from any pre-termination breach hereof by such party in the performance of such terminated Service, (ii) relieve either party of any payment obligation with respect to such Service arising prior to the date of such termination or (iii) affect any rights arising as a result of any such breach or termination.</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Standard of Service.</w:t>
      </w:r>
    </w:p>
    <w:p>
      <w:pPr>
        <w:spacing w:after="0" w:line="229" w:lineRule="exact"/>
        <w:rPr>
          <w:sz w:val="20"/>
          <w:szCs w:val="20"/>
          <w:color w:val="auto"/>
        </w:rPr>
      </w:pPr>
    </w:p>
    <w:p>
      <w:pPr>
        <w:jc w:val="both"/>
        <w:ind w:firstLine="656"/>
        <w:spacing w:after="0" w:line="297"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Oil States shall furnish the Services in accordance with applicable Law and, except as specifically provided in the Service Exhibits, (i) in the same or a similar manner as such Services were provided to Civeo with respect to the Civeo Business preceding the date hereof and (ii) in good faith and with reasonable care, using substantially the same degree of skill and attention that Oil States uses in performing the same or similar services for itself and its Affiliates, and not, in any event, exercising less than a commercially reasonable degree of care. Subject to </w:t>
      </w:r>
      <w:r>
        <w:rPr>
          <w:rFonts w:ascii="Arial" w:cs="Arial" w:eastAsia="Arial" w:hAnsi="Arial"/>
          <w:sz w:val="16"/>
          <w:szCs w:val="16"/>
          <w:u w:val="single" w:color="auto"/>
          <w:color w:val="auto"/>
        </w:rPr>
        <w:t>Section 1.03</w:t>
      </w:r>
      <w:r>
        <w:rPr>
          <w:rFonts w:ascii="Arial" w:cs="Arial" w:eastAsia="Arial" w:hAnsi="Arial"/>
          <w:sz w:val="16"/>
          <w:szCs w:val="16"/>
          <w:color w:val="auto"/>
        </w:rPr>
        <w:t>, Oil States agrees to assign sufficient resources and qualified personnel as are reasonably required to perform the Services in accordance with the standards set forth in the preceding sentence.</w:t>
      </w:r>
    </w:p>
    <w:p>
      <w:pPr>
        <w:spacing w:after="0" w:line="158" w:lineRule="exact"/>
        <w:rPr>
          <w:rFonts w:ascii="Arial" w:cs="Arial" w:eastAsia="Arial" w:hAnsi="Arial"/>
          <w:sz w:val="16"/>
          <w:szCs w:val="16"/>
          <w:color w:val="auto"/>
        </w:rPr>
      </w:pPr>
    </w:p>
    <w:p>
      <w:pPr>
        <w:ind w:firstLine="656"/>
        <w:spacing w:after="0" w:line="277" w:lineRule="auto"/>
        <w:tabs>
          <w:tab w:leader="none" w:pos="10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Oil States shall use reasonable best efforts to provide or cause to be provided the Services to Civeo in amounts up to the amount necessary for Civeo to operate the Civeo Business at the capacity at which Civeo operated prior to the date of this Agreement.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set forth in this Agreement (including any such Service Exhibit) or in any contract entered into hereunder, Oil States makes no representations and warranties of any kind, implied or expressed, with respect to the Services, including, without limitation, no warranties of merchantability or fitness for a particular purpose, which are specifically disclaimed. The parties acknowledge and agree that this Agreement does not create a fiduciary relationship, partnership, joint venture or relationships of trust or agency between the parties and that all Services are provided by Oil States or its Affiliate as an independent contractor.</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1.03 Third-Party Service Providers</w:t>
      </w:r>
      <w:r>
        <w:rPr>
          <w:rFonts w:ascii="Arial" w:cs="Arial" w:eastAsia="Arial" w:hAnsi="Arial"/>
          <w:sz w:val="17"/>
          <w:szCs w:val="17"/>
          <w:color w:val="auto"/>
        </w:rPr>
        <w:t>. It is understood and agreed that Oil States has been retaining, and will continue to retain, third-party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providers to provide some of the Services to Civeo. In addition, Oil States shall have the right to hire other third-party subcontractors to provide part of any Service hereunder; provided, however, that in the event such subcontracting is inconsistent with past practices, the Seller shall obtain the prior written consent of Civeo to hire such subcontractor, such consent not to be unreasonably withheld. Oil States shall in all cases retain responsibility and remain liable for the provision of Services to Civeo by any third party or by any of Oil States’ Affiliates. Without the prior written consent of Civeo, Oil States shall not enter into any new agreement or contract with any third party to provide any Services hereunder pursuant to which Civeo or any of its Affiliates would remain liable following the date of termination of such Service hereunder.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ind w:left="660"/>
        <w:spacing w:after="0"/>
        <w:tabs>
          <w:tab w:leader="none" w:pos="11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Access to Premises.</w:t>
      </w:r>
    </w:p>
    <w:p>
      <w:pPr>
        <w:spacing w:after="0" w:line="229" w:lineRule="exact"/>
        <w:rPr>
          <w:sz w:val="20"/>
          <w:szCs w:val="20"/>
          <w:color w:val="auto"/>
        </w:rPr>
      </w:pPr>
    </w:p>
    <w:p>
      <w:pPr>
        <w:jc w:val="both"/>
        <w:ind w:firstLine="656"/>
        <w:spacing w:after="0" w:line="264" w:lineRule="auto"/>
        <w:tabs>
          <w:tab w:leader="none" w:pos="10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order to enable the provision of the Services by Oil States, Civeo agrees to provide to Oil States’ and its Affiliates’ employees and any third-party service providers or subcontractors who provide Services, at no cost to Oil States, access to the facilities, assets and books and records of Civeo, in all cases to the extent necessary for Oil States to fulfill its obligations under this Agreement.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Oil States agrees that all of its and its Affiliates’ employees and any third-party service providers and subcontractors, when on the property of Civeo or when given access to any equipment, computer, software, network or files owned or controlled by Civeo, shall conform to the policies and procedures of Civeo concerning health, safety and security as in effect on the date of this Agreement, and as modified hereafter if made known to Oil States in advance in writing.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2.01 Responsibility for Wages and Fees</w:t>
      </w:r>
      <w:r>
        <w:rPr>
          <w:rFonts w:ascii="Arial" w:cs="Arial" w:eastAsia="Arial" w:hAnsi="Arial"/>
          <w:sz w:val="17"/>
          <w:szCs w:val="17"/>
          <w:color w:val="auto"/>
        </w:rPr>
        <w:t>. For such time as any employees of Oil States or any of its Affiliates are providing the Services to Civeo</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 such employees will remain employees of Oil States or such Affiliate, as applicable, and shall not be deemed to be employees of Civeo for any purpose, and shall remain subject to the sole control, direction and supervision of Oil States or Affiliate, as applicable, and (b) Oil States or such Affiliate, as applicable, shall be solely responsible for the payment and provision of all wages, bonuses and commissions, employee benefits, including severance and worker’s compensation, and the withholding and payment of applicable Taxes relating to such employment.</w:t>
      </w:r>
    </w:p>
    <w:p>
      <w:pPr>
        <w:spacing w:after="0" w:line="16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Terms of Payment and Related Matters.</w:t>
      </w:r>
    </w:p>
    <w:p>
      <w:pPr>
        <w:spacing w:after="0" w:line="229" w:lineRule="exact"/>
        <w:rPr>
          <w:sz w:val="20"/>
          <w:szCs w:val="20"/>
          <w:color w:val="auto"/>
        </w:rPr>
      </w:pPr>
    </w:p>
    <w:p>
      <w:pPr>
        <w:jc w:val="both"/>
        <w:ind w:firstLine="656"/>
        <w:spacing w:after="0" w:line="257" w:lineRule="auto"/>
        <w:tabs>
          <w:tab w:leader="none" w:pos="12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As consideration for the provision of the Services, Civeo shall pay Oil States the amount specified for each Service on such Service’s respective Service Exhibit. In addition to such amount, in the event that Oil States or any of its Affiliates incurs reasonable and documented out-of-pocket expenses in the provision of any Service, but excluding payments made to employees of Oil States or any of its Affiliates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(such included expenses, “</w:t>
      </w:r>
      <w:r>
        <w:rPr>
          <w:rFonts w:ascii="Arial" w:cs="Arial" w:eastAsia="Arial" w:hAnsi="Arial"/>
          <w:sz w:val="18"/>
          <w:szCs w:val="18"/>
          <w:b w:val="1"/>
          <w:bCs w:val="1"/>
          <w:i w:val="1"/>
          <w:iCs w:val="1"/>
          <w:color w:val="auto"/>
        </w:rPr>
        <w:t>Out-of-Pocket Costs</w:t>
      </w:r>
      <w:r>
        <w:rPr>
          <w:rFonts w:ascii="Arial" w:cs="Arial" w:eastAsia="Arial" w:hAnsi="Arial"/>
          <w:sz w:val="18"/>
          <w:szCs w:val="18"/>
          <w:color w:val="auto"/>
        </w:rPr>
        <w:t xml:space="preserve">”), Civeo shall reimburse Oil States for all such Out-of-Pocket Costs to the extent required by the relevant Service Exhibit in accordance with the invoicing procedures set forth in </w:t>
      </w:r>
      <w:r>
        <w:rPr>
          <w:rFonts w:ascii="Arial" w:cs="Arial" w:eastAsia="Arial" w:hAnsi="Arial"/>
          <w:sz w:val="18"/>
          <w:szCs w:val="18"/>
          <w:u w:val="single" w:color="auto"/>
          <w:color w:val="auto"/>
        </w:rPr>
        <w:t>Section 2.02(b)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140" w:hanging="48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more fully provided in the Service Exhibits and subject to the terms and conditions therein: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both"/>
        <w:ind w:firstLine="1305"/>
        <w:spacing w:after="0" w:line="264" w:lineRule="auto"/>
        <w:tabs>
          <w:tab w:leader="none" w:pos="16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Oil States shall provide Civeo,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this Agreement, with monthly invoices (“</w:t>
      </w:r>
      <w:r>
        <w:rPr>
          <w:rFonts w:ascii="Arial" w:cs="Arial" w:eastAsia="Arial" w:hAnsi="Arial"/>
          <w:sz w:val="18"/>
          <w:szCs w:val="18"/>
          <w:b w:val="1"/>
          <w:bCs w:val="1"/>
          <w:i w:val="1"/>
          <w:iCs w:val="1"/>
          <w:color w:val="auto"/>
        </w:rPr>
        <w:t>Invoices</w:t>
      </w:r>
      <w:r>
        <w:rPr>
          <w:rFonts w:ascii="Arial" w:cs="Arial" w:eastAsia="Arial" w:hAnsi="Arial"/>
          <w:sz w:val="18"/>
          <w:szCs w:val="18"/>
          <w:color w:val="auto"/>
        </w:rPr>
        <w:t>”), which shall set forth in reasonable detail, with such supporting documentation as Civeo may reasonably request with respect to Out-of-Pocket Costs, amounts payable under this Agreement; and</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Payments pursuant to this Agreement shall be made within 30 days after the date of receipt of an Invoice by Civeo from Oil States.</w:t>
      </w:r>
    </w:p>
    <w:p>
      <w:pPr>
        <w:spacing w:after="0" w:line="2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2.03 Extension of Services</w:t>
      </w:r>
      <w:r>
        <w:rPr>
          <w:rFonts w:ascii="Arial" w:cs="Arial" w:eastAsia="Arial" w:hAnsi="Arial"/>
          <w:sz w:val="16"/>
          <w:szCs w:val="16"/>
          <w:color w:val="auto"/>
        </w:rPr>
        <w:t>. If Civeo requests in a notice to Oil States that any of the Services be performed following the applicable End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then Oil States shall be obligated to perform such Services for a period of one month (or such shorter period as is requested by Civeo) following the End Date, and the applicable fee for such Services provided after the End Date shall be an amount equal to the fee for such Services set out in the relevant Service Exhibits. Except as required by the immediately preceding sentence, the parties agree that Oil States shall not be obligated to perform any of the Service after the applicable End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Civeo desires and Oil States agrees to continue to perform any of the Services after the applicable End Date, the parties shall negotiate in good faith to agree to the terms of such extension, including the amount Civeo shall pay Oil States for such continued Services,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Oil States shall be under no obligation whatsoever to perform any of the Services after the End Date. Services performed by Oil States after the applicable End Date in accordance with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shall continue to constitute Services under this Agreement and be subject in all respects to the provisions of this Agreement for the duration of the agreed-upon extension period.</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2.04 Terminated Services</w:t>
      </w:r>
      <w:r>
        <w:rPr>
          <w:rFonts w:ascii="Arial" w:cs="Arial" w:eastAsia="Arial" w:hAnsi="Arial"/>
          <w:sz w:val="18"/>
          <w:szCs w:val="18"/>
          <w:color w:val="auto"/>
        </w:rPr>
        <w:t>. Upon termination or expiration of any or all Services pursuant to this Agreement, or upon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its entirety, Oil States and its Affiliates shall have no further obligation to provide the applicable terminated Services.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2.05 Invoice Disputes</w:t>
      </w:r>
      <w:r>
        <w:rPr>
          <w:rFonts w:ascii="Arial" w:cs="Arial" w:eastAsia="Arial" w:hAnsi="Arial"/>
          <w:sz w:val="18"/>
          <w:szCs w:val="18"/>
          <w:color w:val="auto"/>
        </w:rPr>
        <w:t>. In the event of an Invoice dispute, Civeo shall deliver a written statement to Oil States no later than 10 days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payment is due on the disputed Invoice listing all disputed items and providing a reasonably detailed description of each disputed item. Amounts not so disputed shall be deemed accepted and shall be paid, notwithstanding disputes on other items, within the time set forth in </w:t>
      </w:r>
      <w:r>
        <w:rPr>
          <w:rFonts w:ascii="Arial" w:cs="Arial" w:eastAsia="Arial" w:hAnsi="Arial"/>
          <w:sz w:val="18"/>
          <w:szCs w:val="18"/>
          <w:u w:val="single" w:color="auto"/>
          <w:color w:val="auto"/>
        </w:rPr>
        <w:t>Section 2.02(b)</w:t>
      </w:r>
      <w:r>
        <w:rPr>
          <w:rFonts w:ascii="Arial" w:cs="Arial" w:eastAsia="Arial" w:hAnsi="Arial"/>
          <w:sz w:val="18"/>
          <w:szCs w:val="18"/>
          <w:color w:val="auto"/>
        </w:rPr>
        <w:t>. The parties shall seek to resolve all such disputes expeditiously and in good faith. Oil States shall continue performing the Services in accordance with this Agreement pending resolution of any dispute.</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2.06 No Right of Setoff</w:t>
      </w:r>
      <w:r>
        <w:rPr>
          <w:rFonts w:ascii="Arial" w:cs="Arial" w:eastAsia="Arial" w:hAnsi="Arial"/>
          <w:sz w:val="18"/>
          <w:szCs w:val="18"/>
          <w:color w:val="auto"/>
        </w:rPr>
        <w:t>. Each of the parties hereby acknowledges that it shall have no right under this Agreement to offset any amounts owed (or</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due and owing) to the other party, whether under this Agreement or any Ancillary Agreement or otherwise, against any other amount owed (or to become due and owing) to it by the other party.</w:t>
      </w:r>
    </w:p>
    <w:p>
      <w:pPr>
        <w:spacing w:after="0" w:line="176"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 Civeo shall be responsible for all sales or use Taxes imposed or assessed as a result of the provision of Services by Oil States.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3.01 Termination of Agreement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this Agreement shall terminate in its entirety (i) on the date upon which Oil States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Affiliates shall have no continuing obligation to perform any Services as a result of each of their expiration or termination in accordance with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(ii)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3.02 Breach</w:t>
      </w:r>
      <w:r>
        <w:rPr>
          <w:rFonts w:ascii="Arial" w:cs="Arial" w:eastAsia="Arial" w:hAnsi="Arial"/>
          <w:sz w:val="18"/>
          <w:szCs w:val="18"/>
          <w:color w:val="auto"/>
        </w:rPr>
        <w:t>. Any party (the “</w:t>
      </w:r>
      <w:r>
        <w:rPr>
          <w:rFonts w:ascii="Arial" w:cs="Arial" w:eastAsia="Arial" w:hAnsi="Arial"/>
          <w:sz w:val="18"/>
          <w:szCs w:val="18"/>
          <w:b w:val="1"/>
          <w:bCs w:val="1"/>
          <w:i w:val="1"/>
          <w:iCs w:val="1"/>
          <w:color w:val="auto"/>
        </w:rPr>
        <w:t>Non-Breaching Party</w:t>
      </w:r>
      <w:r>
        <w:rPr>
          <w:rFonts w:ascii="Arial" w:cs="Arial" w:eastAsia="Arial" w:hAnsi="Arial"/>
          <w:sz w:val="18"/>
          <w:szCs w:val="18"/>
          <w:color w:val="auto"/>
        </w:rPr>
        <w:t>”) may terminate this Agreement, with respect to any Service, at any time upon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other party (the “</w:t>
      </w:r>
      <w:r>
        <w:rPr>
          <w:rFonts w:ascii="Arial" w:cs="Arial" w:eastAsia="Arial" w:hAnsi="Arial"/>
          <w:sz w:val="18"/>
          <w:szCs w:val="18"/>
          <w:b w:val="1"/>
          <w:bCs w:val="1"/>
          <w:i w:val="1"/>
          <w:iCs w:val="1"/>
          <w:color w:val="auto"/>
        </w:rPr>
        <w:t>Breaching Party</w:t>
      </w:r>
      <w:r>
        <w:rPr>
          <w:rFonts w:ascii="Arial" w:cs="Arial" w:eastAsia="Arial" w:hAnsi="Arial"/>
          <w:sz w:val="18"/>
          <w:szCs w:val="18"/>
          <w:color w:val="auto"/>
        </w:rPr>
        <w:t xml:space="preserve">”) if the Breaching Party has failed (other than pursuant to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to perform any of its material obligations under this Agreement relating to such Service, and such failure shall have continued without cure for a period of 15 days after receipt by the Breaching Party of a written notice of such failure from the Non-Breaching party seeking to terminate such service. For the avoidance of doubt, non-payment by Civeo for a Service provided by Oil States in accordance with this Agreement and not the subject of a good faith dispute shall be deemed a breach 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3.03 Insolvency</w:t>
      </w:r>
      <w:r>
        <w:rPr>
          <w:rFonts w:ascii="Arial" w:cs="Arial" w:eastAsia="Arial" w:hAnsi="Arial"/>
          <w:sz w:val="18"/>
          <w:szCs w:val="18"/>
          <w:color w:val="auto"/>
        </w:rPr>
        <w:t>. In the event that either party hereto shall (i) file a petition in bankruptcy, (ii) become or be declared insolvent, or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of any proceedings (not dismissed within 60 days) related to its liquidation, insolvency or the appointment of a receiver, (iii) make an assignment on behalf of all or substantially all of its creditors, or (iv) take any corporate action for its winding up or dissolution, then the other party shall have the right to terminate this Agreement by providing written notice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3.04 Effect of Termination</w:t>
      </w:r>
      <w:r>
        <w:rPr>
          <w:rFonts w:ascii="Arial" w:cs="Arial" w:eastAsia="Arial" w:hAnsi="Arial"/>
          <w:sz w:val="18"/>
          <w:szCs w:val="18"/>
          <w:color w:val="auto"/>
        </w:rPr>
        <w:t>. Upon termination of this Agreement in its entirety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3.01</w:t>
      </w:r>
      <w:r>
        <w:rPr>
          <w:rFonts w:ascii="Arial" w:cs="Arial" w:eastAsia="Arial" w:hAnsi="Arial"/>
          <w:sz w:val="18"/>
          <w:szCs w:val="18"/>
          <w:color w:val="auto"/>
        </w:rPr>
        <w:t>, all obligations of the Parties hereto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except for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which shall survive any termination or expiration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Confidentiality.</w:t>
      </w:r>
    </w:p>
    <w:p>
      <w:pPr>
        <w:spacing w:after="0" w:line="229" w:lineRule="exact"/>
        <w:rPr>
          <w:sz w:val="20"/>
          <w:szCs w:val="20"/>
          <w:color w:val="auto"/>
        </w:rPr>
      </w:pPr>
    </w:p>
    <w:p>
      <w:pPr>
        <w:jc w:val="both"/>
        <w:ind w:firstLine="656"/>
        <w:spacing w:after="0" w:line="286" w:lineRule="auto"/>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term of this Agreement and thereafter, the parties hereto shall, and shall instruct their respective Representatives to, maintain in confidence and not disclose the other party’s financial, technical, sales, marketing, development, personnel, and other information, records, or data, including, without limitation, customer lists, supplier lists, trade secrets, designs, product formulations, product specifications or any other proprietary or confidential information, however recorded or preserved, whether written or oral (any such information,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Each party shall use the same degree of care, but no less than reasonable care, to protect the other party’s Confidential Information as it uses to protect its own Confidential Information of like nature. Unless otherwise authorized in any other agreement between the parties, any party receiving any Confidential Information of the other party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may use Confidential Information only for the purposes of fulfilling its obligations under this Agreement (the “</w:t>
      </w:r>
      <w:r>
        <w:rPr>
          <w:rFonts w:ascii="Arial" w:cs="Arial" w:eastAsia="Arial" w:hAnsi="Arial"/>
          <w:sz w:val="16"/>
          <w:szCs w:val="16"/>
          <w:b w:val="1"/>
          <w:bCs w:val="1"/>
          <w:i w:val="1"/>
          <w:iCs w:val="1"/>
          <w:color w:val="auto"/>
        </w:rPr>
        <w:t>Permitted Purpose</w:t>
      </w:r>
      <w:r>
        <w:rPr>
          <w:rFonts w:ascii="Arial" w:cs="Arial" w:eastAsia="Arial" w:hAnsi="Arial"/>
          <w:sz w:val="16"/>
          <w:szCs w:val="16"/>
          <w:color w:val="auto"/>
        </w:rPr>
        <w:t xml:space="preserve">”). Any Receiving Party may disclose such Confidential Information only to its Representatives who have a need to know such information for the Permitted Purpose and who have been advised of the terms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the Receiving Party shall be liable for any breach of these confidentiality provisions by such Persons; </w:t>
      </w:r>
      <w:r>
        <w:rPr>
          <w:rFonts w:ascii="Arial" w:cs="Arial" w:eastAsia="Arial" w:hAnsi="Arial"/>
          <w:sz w:val="16"/>
          <w:szCs w:val="16"/>
          <w:i w:val="1"/>
          <w:iCs w:val="1"/>
          <w:color w:val="auto"/>
        </w:rPr>
        <w:t>provided</w:t>
      </w:r>
      <w:r>
        <w:rPr>
          <w:rFonts w:ascii="Arial" w:cs="Arial" w:eastAsia="Arial" w:hAnsi="Arial"/>
          <w:sz w:val="16"/>
          <w:szCs w:val="16"/>
          <w:color w:val="auto"/>
        </w:rPr>
        <w:t>, that any Receiving Party may disclose such Confidential Information to the extent such Confidential Information is required to be disclosed by applicable Law, in which case the Receiving Party shall promptly notify, to the extent possible, the disclosing party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so that the Disclosing Party may seek an appropriate protective order. In the event the Disclosing Party cannot obtain a protective order for all or part of the Confidential Information required to be disclosed by applicable Law, the Receiving Party shall only disclose such Confidential Information that it is advised by its counsel in writing that it is legally bound to disclose under such applicable Law.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jc w:val="both"/>
        <w:ind w:firstLine="656"/>
        <w:spacing w:after="0" w:line="259" w:lineRule="auto"/>
        <w:tabs>
          <w:tab w:leader="none" w:pos="10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Notwithstanding the foregoing, “Confidential Information” shall not include any information that the Receiving Party can demonstrate: (i) was publicly known at the time of disclosure to it, or has become publicly known through no act of the Receiving Party or its Representatives in breach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 (ii) was rightfully received from a third party without a duty of confidentiality; or (iii) was developed by it independently without any reliance on the Confidential Information.</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1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demand by the Disclosing Party at any time, or upon expiration or termination of this Agreement with respect to any Service, the Receiving Party agrees promptly to return or destroy, at the Disclosing Party’s option, all of the Disclosing Party’s Confidential Information in the Receiving Party’s possession or control. If such Confidential Information is destroyed, an authorized officer of the Receiving Party shall certify to such destruction in writing. Notwithstanding the foregoing, the Receiving Party shall not be required to destroy copies of the Confidential Information which may be electronically archived in connection with its automatic backup storage and/or document retention policies; provided, however, that all such material shall remain subject to the confidentiality obligations in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color w:val="auto"/>
        </w:rPr>
        <w:t>Counterparts; Entire Agreement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contains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5.02 Governing Law</w:t>
      </w:r>
      <w:r>
        <w:rPr>
          <w:rFonts w:ascii="Arial" w:cs="Arial" w:eastAsia="Arial" w:hAnsi="Arial"/>
          <w:sz w:val="18"/>
          <w:szCs w:val="18"/>
          <w:color w:val="auto"/>
        </w:rPr>
        <w:t>. This Agreement (and any claims or disputes arising out of or related hereto or to the transactions contemplated hereby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as of the date of this Agreement, including all matters of validity, construction, effect, enforceability, performance and remedies.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648"/>
        <w:spacing w:after="0" w:line="266" w:lineRule="auto"/>
        <w:rPr>
          <w:sz w:val="20"/>
          <w:szCs w:val="20"/>
          <w:color w:val="auto"/>
        </w:rPr>
      </w:pPr>
      <w:r>
        <w:rPr>
          <w:rFonts w:ascii="Arial" w:cs="Arial" w:eastAsia="Arial" w:hAnsi="Arial"/>
          <w:sz w:val="18"/>
          <w:szCs w:val="18"/>
          <w:b w:val="1"/>
          <w:bCs w:val="1"/>
          <w:color w:val="auto"/>
        </w:rPr>
        <w:t>5.03 Assignability</w:t>
      </w:r>
      <w:r>
        <w:rPr>
          <w:rFonts w:ascii="Arial" w:cs="Arial" w:eastAsia="Arial" w:hAnsi="Arial"/>
          <w:sz w:val="18"/>
          <w:szCs w:val="18"/>
          <w:color w:val="auto"/>
        </w:rPr>
        <w:t>. This Agreement shall be binding upon and inure to the benefit of the parties hereto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provided, however, that no party hereto may assign its respective rights or delegate its respective obligations under this Agreement without the express prior written consent of the other parties hereto.</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5.04 Third-Party Beneficiaries</w:t>
      </w:r>
      <w:r>
        <w:rPr>
          <w:rFonts w:ascii="Arial" w:cs="Arial" w:eastAsia="Arial" w:hAnsi="Arial"/>
          <w:sz w:val="16"/>
          <w:szCs w:val="16"/>
          <w:color w:val="auto"/>
        </w:rPr>
        <w:t>. The provisions of this Agreement are solely for the benefit of the parties and are not intended to confer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except the parties any rights or remedies, and there are no third-party beneficiaries of this Agreement. This Agreement shall not provide any third person with any remedy, claim, liability, reimbursement, claim of action or other right in excess of those existing without reference to this Agreement.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5.05 Notices</w:t>
      </w:r>
      <w:r>
        <w:rPr>
          <w:rFonts w:ascii="Arial" w:cs="Arial" w:eastAsia="Arial" w:hAnsi="Arial"/>
          <w:sz w:val="18"/>
          <w:szCs w:val="18"/>
          <w:color w:val="auto"/>
        </w:rPr>
        <w:t>. All notices, requests, claims, demands or other communications under this Agreement shall be in writing and shall be given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188" w:lineRule="exact"/>
        <w:rPr>
          <w:sz w:val="20"/>
          <w:szCs w:val="20"/>
          <w:color w:val="auto"/>
        </w:rPr>
      </w:pPr>
    </w:p>
    <w:p>
      <w:pPr>
        <w:ind w:left="1040" w:hanging="451"/>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Oil States, to:</w:t>
      </w:r>
    </w:p>
    <w:p>
      <w:pPr>
        <w:spacing w:after="0" w:line="225" w:lineRule="exact"/>
        <w:rPr>
          <w:rFonts w:ascii="Arial" w:cs="Arial" w:eastAsia="Arial" w:hAnsi="Arial"/>
          <w:sz w:val="18"/>
          <w:szCs w:val="18"/>
          <w:color w:val="auto"/>
        </w:rPr>
      </w:pPr>
    </w:p>
    <w:p>
      <w:pPr>
        <w:ind w:left="1040" w:right="8340"/>
        <w:spacing w:after="0" w:line="258" w:lineRule="auto"/>
        <w:rPr>
          <w:rFonts w:ascii="Arial" w:cs="Arial" w:eastAsia="Arial" w:hAnsi="Arial"/>
          <w:sz w:val="18"/>
          <w:szCs w:val="18"/>
          <w:color w:val="auto"/>
        </w:rPr>
      </w:pPr>
      <w:r>
        <w:rPr>
          <w:rFonts w:ascii="Arial" w:cs="Arial" w:eastAsia="Arial" w:hAnsi="Arial"/>
          <w:sz w:val="18"/>
          <w:szCs w:val="18"/>
          <w:color w:val="auto"/>
        </w:rPr>
        <w:t>Oil States International, Inc. Three Allen Center</w:t>
      </w:r>
    </w:p>
    <w:p>
      <w:pPr>
        <w:spacing w:after="0" w:line="1" w:lineRule="exact"/>
        <w:rPr>
          <w:rFonts w:ascii="Arial" w:cs="Arial" w:eastAsia="Arial" w:hAnsi="Arial"/>
          <w:sz w:val="18"/>
          <w:szCs w:val="18"/>
          <w:color w:val="auto"/>
        </w:rPr>
      </w:pPr>
    </w:p>
    <w:p>
      <w:pPr>
        <w:ind w:left="1040" w:right="8380"/>
        <w:spacing w:after="0" w:line="281" w:lineRule="auto"/>
        <w:rPr>
          <w:rFonts w:ascii="Arial" w:cs="Arial" w:eastAsia="Arial" w:hAnsi="Arial"/>
          <w:sz w:val="18"/>
          <w:szCs w:val="18"/>
          <w:color w:val="auto"/>
        </w:rPr>
      </w:pPr>
      <w:r>
        <w:rPr>
          <w:rFonts w:ascii="Arial" w:cs="Arial" w:eastAsia="Arial" w:hAnsi="Arial"/>
          <w:sz w:val="16"/>
          <w:szCs w:val="16"/>
          <w:color w:val="auto"/>
        </w:rPr>
        <w:t>333 Clay Street, Suite 4620 Houston, Texas 77002</w:t>
      </w:r>
    </w:p>
    <w:p>
      <w:pPr>
        <w:spacing w:after="0" w:line="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Attention: Cindy Taylor and Jeff Steen</w:t>
      </w:r>
    </w:p>
    <w:p>
      <w:pPr>
        <w:spacing w:after="0" w:line="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Facsimile: 713-652-0499</w:t>
      </w:r>
    </w:p>
    <w:p>
      <w:pPr>
        <w:spacing w:after="0" w:line="210" w:lineRule="exact"/>
        <w:rPr>
          <w:rFonts w:ascii="Arial" w:cs="Arial" w:eastAsia="Arial" w:hAnsi="Arial"/>
          <w:sz w:val="18"/>
          <w:szCs w:val="18"/>
          <w:color w:val="auto"/>
        </w:rPr>
      </w:pPr>
    </w:p>
    <w:p>
      <w:pPr>
        <w:ind w:left="1040" w:hanging="451"/>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Civeo, to:</w:t>
      </w:r>
    </w:p>
    <w:p>
      <w:pPr>
        <w:spacing w:after="0" w:line="225" w:lineRule="exact"/>
        <w:rPr>
          <w:rFonts w:ascii="Arial" w:cs="Arial" w:eastAsia="Arial" w:hAnsi="Arial"/>
          <w:sz w:val="18"/>
          <w:szCs w:val="18"/>
          <w:color w:val="auto"/>
        </w:rPr>
      </w:pPr>
    </w:p>
    <w:p>
      <w:pPr>
        <w:jc w:val="both"/>
        <w:ind w:left="1040" w:right="8980"/>
        <w:spacing w:after="0" w:line="291" w:lineRule="auto"/>
        <w:rPr>
          <w:rFonts w:ascii="Arial" w:cs="Arial" w:eastAsia="Arial" w:hAnsi="Arial"/>
          <w:sz w:val="18"/>
          <w:szCs w:val="18"/>
          <w:color w:val="auto"/>
        </w:rPr>
      </w:pPr>
      <w:r>
        <w:rPr>
          <w:rFonts w:ascii="Arial" w:cs="Arial" w:eastAsia="Arial" w:hAnsi="Arial"/>
          <w:sz w:val="16"/>
          <w:szCs w:val="16"/>
          <w:color w:val="auto"/>
        </w:rPr>
        <w:t>Civeo Corporation Three Allen Center</w:t>
      </w:r>
    </w:p>
    <w:p>
      <w:pPr>
        <w:ind w:left="1040" w:right="8380"/>
        <w:spacing w:after="0" w:line="281" w:lineRule="auto"/>
        <w:rPr>
          <w:rFonts w:ascii="Arial" w:cs="Arial" w:eastAsia="Arial" w:hAnsi="Arial"/>
          <w:sz w:val="18"/>
          <w:szCs w:val="18"/>
          <w:color w:val="auto"/>
        </w:rPr>
      </w:pPr>
      <w:r>
        <w:rPr>
          <w:rFonts w:ascii="Arial" w:cs="Arial" w:eastAsia="Arial" w:hAnsi="Arial"/>
          <w:sz w:val="16"/>
          <w:szCs w:val="16"/>
          <w:color w:val="auto"/>
        </w:rPr>
        <w:t>333 Clay Street, Suite 4980 Houston, Texas 77002</w:t>
      </w:r>
    </w:p>
    <w:p>
      <w:pPr>
        <w:spacing w:after="0" w:line="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Attention: Bradley Dodson and Frank Steininger</w:t>
      </w:r>
    </w:p>
    <w:p>
      <w:pPr>
        <w:spacing w:after="0" w:line="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648"/>
        <w:spacing w:after="0" w:line="258" w:lineRule="auto"/>
        <w:rPr>
          <w:sz w:val="20"/>
          <w:szCs w:val="20"/>
          <w:color w:val="auto"/>
        </w:rPr>
      </w:pPr>
      <w:r>
        <w:rPr>
          <w:rFonts w:ascii="Arial" w:cs="Arial" w:eastAsia="Arial" w:hAnsi="Arial"/>
          <w:sz w:val="18"/>
          <w:szCs w:val="18"/>
          <w:b w:val="1"/>
          <w:bCs w:val="1"/>
          <w:color w:val="auto"/>
        </w:rPr>
        <w:t>5.06 Severability</w:t>
      </w:r>
      <w:r>
        <w:rPr>
          <w:rFonts w:ascii="Arial" w:cs="Arial" w:eastAsia="Arial" w:hAnsi="Arial"/>
          <w:sz w:val="18"/>
          <w:szCs w:val="18"/>
          <w:color w:val="auto"/>
        </w:rPr>
        <w:t>. If any provision of this Agreement or the application thereof to any Person or circumstance is determined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5.07 Force Majeure</w:t>
      </w:r>
      <w:r>
        <w:rPr>
          <w:rFonts w:ascii="Arial" w:cs="Arial" w:eastAsia="Arial" w:hAnsi="Arial"/>
          <w:sz w:val="16"/>
          <w:szCs w:val="16"/>
          <w:color w:val="auto"/>
        </w:rPr>
        <w:t>. No party shall be deemed in default of this Agreement to the extent that any delay or failure in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5.08 Headings</w:t>
      </w:r>
      <w:r>
        <w:rPr>
          <w:rFonts w:ascii="Arial" w:cs="Arial" w:eastAsia="Arial" w:hAnsi="Arial"/>
          <w:sz w:val="18"/>
          <w:szCs w:val="18"/>
          <w:color w:val="auto"/>
        </w:rPr>
        <w:t>. The article, section and paragraph headings contained in this Agreement are for reference purposes only and shall not affect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the meaning or interpretation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5.09 Waivers of Default</w:t>
      </w:r>
      <w:r>
        <w:rPr>
          <w:rFonts w:ascii="Arial" w:cs="Arial" w:eastAsia="Arial" w:hAnsi="Arial"/>
          <w:sz w:val="18"/>
          <w:szCs w:val="18"/>
          <w:color w:val="auto"/>
        </w:rPr>
        <w:t>. Waiver by any party of any default by the other party of any provision of this Agreement shall not be deemed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waiving party of any subsequent or other default, nor shall it prejudice the rights of such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5.10 Specific Performance</w:t>
      </w:r>
      <w:r>
        <w:rPr>
          <w:rFonts w:ascii="Arial" w:cs="Arial" w:eastAsia="Arial" w:hAnsi="Arial"/>
          <w:sz w:val="17"/>
          <w:szCs w:val="17"/>
          <w:color w:val="auto"/>
        </w:rPr>
        <w:t>. In the event of any actual or threatened default in, or breach of, any of the terms, conditions and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party or parties who are, or are to be, thereby aggrieved shall have the right to specific performance and injunctive or other equitable relief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5.11 Amendments</w:t>
      </w:r>
      <w:r>
        <w:rPr>
          <w:rFonts w:ascii="Arial" w:cs="Arial" w:eastAsia="Arial" w:hAnsi="Arial"/>
          <w:sz w:val="18"/>
          <w:szCs w:val="18"/>
          <w:color w:val="auto"/>
        </w:rPr>
        <w:t>. No provisions of this Agreement shall be deemed waived, amended, supplemented or modified by any party,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waiver, amendment, supplement or modification is in writing and signed by the authorized representative of the party against whom it is sought to enforce such waiver, amendment, supplement or modification.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72" w:lineRule="auto"/>
        <w:rPr>
          <w:sz w:val="20"/>
          <w:szCs w:val="20"/>
          <w:color w:val="auto"/>
        </w:rPr>
      </w:pPr>
      <w:r>
        <w:rPr>
          <w:rFonts w:ascii="Arial" w:cs="Arial" w:eastAsia="Arial" w:hAnsi="Arial"/>
          <w:sz w:val="17"/>
          <w:szCs w:val="17"/>
          <w:b w:val="1"/>
          <w:bCs w:val="1"/>
          <w:color w:val="auto"/>
        </w:rPr>
        <w:t>5.12 Interpretation</w:t>
      </w:r>
      <w:r>
        <w:rPr>
          <w:rFonts w:ascii="Arial" w:cs="Arial" w:eastAsia="Arial" w:hAnsi="Arial"/>
          <w:sz w:val="17"/>
          <w:szCs w:val="17"/>
          <w:color w:val="auto"/>
        </w:rPr>
        <w:t>. In this Agreement, (a) words in the singular shall be held to include the plural and vice versa and words of one gender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held to include the other genders as the context requires; (b) the terms “hereof,” “herein,” “herewith” and words of similar import, and the term “Agreement” shall, unless otherwise stated, be construed to refer to this Agreement as a whole (including all of the Schedules, Exhibits and Appendices hereto) and not to any particular provision of this Agreement; (c) Article, Section, Exhibit, Schedule and Appendix references are to the Articles, Sections, Exhibits, Schedules and Appendices to this Agreement unless otherwise specified; (d) the word “including” and words of similar import when used in this Agreement means “including, without limitation”; (e) the word “or” shall not be exclusive; and (f) unless expressly stated to the contrary in this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14605</wp:posOffset>
            </wp:positionV>
            <wp:extent cx="3361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14605</wp:posOffset>
            </wp:positionV>
            <wp:extent cx="3361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SIGNATURE PAGE</w:t>
      </w:r>
    </w:p>
    <w:p>
      <w:pPr>
        <w:spacing w:after="0" w:line="22"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371475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0" w:right="1440"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21"/>
          <w:szCs w:val="21"/>
          <w:b w:val="1"/>
          <w:bCs w:val="1"/>
          <w:color w:val="auto"/>
        </w:rPr>
        <w:t>SERVICE EXHIBIT NO. 1</w:t>
      </w:r>
    </w:p>
    <w:p>
      <w:pPr>
        <w:sectPr>
          <w:pgSz w:w="11900" w:h="16838" w:orient="portrait"/>
          <w:cols w:equalWidth="0" w:num="1">
            <w:col w:w="9019"/>
          </w:cols>
          <w:pgMar w:left="1440" w:top="571" w:right="1440"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 SHARING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OIL STATES INTERNATIONAL,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4500"/>
              <w:spacing w:after="0"/>
              <w:rPr>
                <w:sz w:val="20"/>
                <w:szCs w:val="20"/>
                <w:color w:val="auto"/>
              </w:rPr>
            </w:pPr>
            <w:r>
              <w:rPr>
                <w:rFonts w:ascii="Arial" w:cs="Arial" w:eastAsia="Arial" w:hAnsi="Arial"/>
                <w:sz w:val="18"/>
                <w:szCs w:val="18"/>
                <w:b w:val="1"/>
                <w:bCs w:val="1"/>
                <w:color w:val="auto"/>
              </w:rPr>
              <w:t>DATED AS OF</w:t>
            </w:r>
          </w:p>
        </w:tc>
        <w:tc>
          <w:tcPr>
            <w:tcW w:w="5380" w:type="dxa"/>
            <w:vAlign w:val="bottom"/>
          </w:tcPr>
          <w:p>
            <w:pPr>
              <w:jc w:val="right"/>
              <w:ind w:right="4430"/>
              <w:spacing w:after="0"/>
              <w:rPr>
                <w:sz w:val="20"/>
                <w:szCs w:val="20"/>
                <w:color w:val="auto"/>
              </w:rPr>
            </w:pPr>
            <w:r>
              <w:rPr>
                <w:rFonts w:ascii="Arial" w:cs="Arial" w:eastAsia="Arial" w:hAnsi="Arial"/>
                <w:sz w:val="18"/>
                <w:szCs w:val="18"/>
                <w:b w:val="1"/>
                <w:bCs w:val="1"/>
                <w:color w:val="auto"/>
              </w:rPr>
              <w:t>, 2014</w:t>
            </w:r>
          </w:p>
        </w:tc>
      </w:tr>
      <w:tr>
        <w:trPr>
          <w:trHeight w:val="1320"/>
        </w:trPr>
        <w:tc>
          <w:tcPr>
            <w:tcW w:w="60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61"/>
        </w:trPr>
        <w:tc>
          <w:tcPr>
            <w:tcW w:w="608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20" w:type="dxa"/>
            <w:vAlign w:val="bottom"/>
          </w:tcPr>
          <w:p>
            <w:pPr>
              <w:jc w:val="center"/>
              <w:ind w:left="1205"/>
              <w:spacing w:after="0"/>
              <w:rPr>
                <w:sz w:val="20"/>
                <w:szCs w:val="20"/>
                <w:color w:val="auto"/>
              </w:rPr>
            </w:pPr>
            <w:r>
              <w:rPr>
                <w:rFonts w:ascii="Arial" w:cs="Arial" w:eastAsia="Arial" w:hAnsi="Arial"/>
                <w:sz w:val="18"/>
                <w:szCs w:val="18"/>
                <w:b w:val="1"/>
                <w:bCs w:val="1"/>
                <w:color w:val="auto"/>
                <w:w w:val="98"/>
              </w:rPr>
              <w:t>TABLE OF CONTENTS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18"/>
                <w:szCs w:val="18"/>
                <w:b w:val="1"/>
                <w:bCs w:val="1"/>
                <w:color w:val="auto"/>
              </w:rPr>
              <w:t>ARTICLE 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20" w:type="dxa"/>
            <w:vAlign w:val="bottom"/>
          </w:tcPr>
          <w:p>
            <w:pPr>
              <w:jc w:val="center"/>
              <w:ind w:left="1145"/>
              <w:spacing w:after="0"/>
              <w:rPr>
                <w:sz w:val="20"/>
                <w:szCs w:val="20"/>
                <w:color w:val="auto"/>
              </w:rPr>
            </w:pPr>
            <w:r>
              <w:rPr>
                <w:rFonts w:ascii="Arial" w:cs="Arial" w:eastAsia="Arial" w:hAnsi="Arial"/>
                <w:sz w:val="18"/>
                <w:szCs w:val="18"/>
                <w:b w:val="1"/>
                <w:bCs w:val="1"/>
                <w:color w:val="auto"/>
              </w:rPr>
              <w:t>DEFINITIONS; CERTAIN OPERATING CONVENTIONS</w:t>
            </w: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Definitions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1.2</w:t>
            </w:r>
          </w:p>
        </w:tc>
        <w:tc>
          <w:tcPr>
            <w:tcW w:w="9220" w:type="dxa"/>
            <w:vAlign w:val="bottom"/>
          </w:tcPr>
          <w:p>
            <w:pPr>
              <w:ind w:left="120"/>
              <w:spacing w:after="0"/>
              <w:rPr>
                <w:sz w:val="20"/>
                <w:szCs w:val="20"/>
                <w:color w:val="auto"/>
              </w:rPr>
            </w:pPr>
            <w:r>
              <w:rPr>
                <w:rFonts w:ascii="Arial" w:cs="Arial" w:eastAsia="Arial" w:hAnsi="Arial"/>
                <w:sz w:val="18"/>
                <w:szCs w:val="18"/>
                <w:color w:val="auto"/>
              </w:rPr>
              <w:t>References; Construction</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205"/>
              <w:spacing w:after="0"/>
              <w:rPr>
                <w:sz w:val="20"/>
                <w:szCs w:val="20"/>
                <w:color w:val="auto"/>
              </w:rPr>
            </w:pPr>
            <w:r>
              <w:rPr>
                <w:rFonts w:ascii="Arial" w:cs="Arial" w:eastAsia="Arial" w:hAnsi="Arial"/>
                <w:sz w:val="22"/>
                <w:szCs w:val="22"/>
                <w:b w:val="1"/>
                <w:bCs w:val="1"/>
                <w:color w:val="auto"/>
              </w:rPr>
              <w:t>ARTICLE 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w w:val="98"/>
              </w:rPr>
              <w:t>PREPARATION AND FILING OF TAX RETURNS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40" w:type="dxa"/>
            <w:vAlign w:val="bottom"/>
          </w:tcPr>
          <w:p>
            <w:pPr>
              <w:spacing w:after="0"/>
              <w:rPr>
                <w:sz w:val="23"/>
                <w:szCs w:val="23"/>
                <w:color w:val="auto"/>
              </w:rPr>
            </w:pPr>
          </w:p>
        </w:tc>
        <w:tc>
          <w:tcPr>
            <w:tcW w:w="9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Preparation of Tax Returns – Oil States’ Responsibility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2.2</w:t>
            </w:r>
          </w:p>
        </w:tc>
        <w:tc>
          <w:tcPr>
            <w:tcW w:w="9220" w:type="dxa"/>
            <w:vAlign w:val="bottom"/>
          </w:tcPr>
          <w:p>
            <w:pPr>
              <w:ind w:left="120"/>
              <w:spacing w:after="0"/>
              <w:rPr>
                <w:sz w:val="20"/>
                <w:szCs w:val="20"/>
                <w:color w:val="auto"/>
              </w:rPr>
            </w:pPr>
            <w:r>
              <w:rPr>
                <w:rFonts w:ascii="Arial" w:cs="Arial" w:eastAsia="Arial" w:hAnsi="Arial"/>
                <w:sz w:val="18"/>
                <w:szCs w:val="18"/>
                <w:color w:val="auto"/>
              </w:rPr>
              <w:t>Preparation of Tax Returns – Civeo’s Responsibility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2.4</w:t>
            </w:r>
          </w:p>
        </w:tc>
        <w:tc>
          <w:tcPr>
            <w:tcW w:w="9220" w:type="dxa"/>
            <w:vAlign w:val="bottom"/>
          </w:tcPr>
          <w:p>
            <w:pPr>
              <w:ind w:left="120"/>
              <w:spacing w:after="0"/>
              <w:rPr>
                <w:sz w:val="20"/>
                <w:szCs w:val="20"/>
                <w:color w:val="auto"/>
              </w:rPr>
            </w:pPr>
            <w:r>
              <w:rPr>
                <w:rFonts w:ascii="Arial" w:cs="Arial" w:eastAsia="Arial" w:hAnsi="Arial"/>
                <w:sz w:val="18"/>
                <w:szCs w:val="18"/>
                <w:color w:val="auto"/>
              </w:rPr>
              <w:t>Manner of Tax Return Preparation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205"/>
              <w:spacing w:after="0"/>
              <w:rPr>
                <w:sz w:val="20"/>
                <w:szCs w:val="20"/>
                <w:color w:val="auto"/>
              </w:rPr>
            </w:pPr>
            <w:r>
              <w:rPr>
                <w:rFonts w:ascii="Arial" w:cs="Arial" w:eastAsia="Arial" w:hAnsi="Arial"/>
                <w:sz w:val="22"/>
                <w:szCs w:val="22"/>
                <w:b w:val="1"/>
                <w:bCs w:val="1"/>
                <w:color w:val="auto"/>
              </w:rPr>
              <w:t>ARTICLE III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205"/>
              <w:spacing w:after="0"/>
              <w:rPr>
                <w:sz w:val="20"/>
                <w:szCs w:val="20"/>
                <w:color w:val="auto"/>
              </w:rPr>
            </w:pPr>
            <w:r>
              <w:rPr>
                <w:rFonts w:ascii="Arial" w:cs="Arial" w:eastAsia="Arial" w:hAnsi="Arial"/>
                <w:sz w:val="22"/>
                <w:szCs w:val="22"/>
                <w:b w:val="1"/>
                <w:bCs w:val="1"/>
                <w:color w:val="auto"/>
              </w:rPr>
              <w:t>LIABILITY FOR TAXES; ALLOCATION</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40" w:type="dxa"/>
            <w:vAlign w:val="bottom"/>
          </w:tcPr>
          <w:p>
            <w:pPr>
              <w:spacing w:after="0"/>
              <w:rPr>
                <w:sz w:val="23"/>
                <w:szCs w:val="23"/>
                <w:color w:val="auto"/>
              </w:rPr>
            </w:pPr>
          </w:p>
        </w:tc>
        <w:tc>
          <w:tcPr>
            <w:tcW w:w="9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Civeo’s Liability for Article II Taxes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3.2</w:t>
            </w:r>
          </w:p>
        </w:tc>
        <w:tc>
          <w:tcPr>
            <w:tcW w:w="9220" w:type="dxa"/>
            <w:vAlign w:val="bottom"/>
          </w:tcPr>
          <w:p>
            <w:pPr>
              <w:ind w:left="120"/>
              <w:spacing w:after="0"/>
              <w:rPr>
                <w:sz w:val="20"/>
                <w:szCs w:val="20"/>
                <w:color w:val="auto"/>
              </w:rPr>
            </w:pPr>
            <w:r>
              <w:rPr>
                <w:rFonts w:ascii="Arial" w:cs="Arial" w:eastAsia="Arial" w:hAnsi="Arial"/>
                <w:sz w:val="18"/>
                <w:szCs w:val="18"/>
                <w:color w:val="auto"/>
              </w:rPr>
              <w:t>Oil States’ Liability for Article II Taxes</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3.4</w:t>
            </w:r>
          </w:p>
        </w:tc>
        <w:tc>
          <w:tcPr>
            <w:tcW w:w="9220" w:type="dxa"/>
            <w:vAlign w:val="bottom"/>
          </w:tcPr>
          <w:p>
            <w:pPr>
              <w:ind w:left="120"/>
              <w:spacing w:after="0"/>
              <w:rPr>
                <w:sz w:val="20"/>
                <w:szCs w:val="20"/>
                <w:color w:val="auto"/>
              </w:rPr>
            </w:pPr>
            <w:r>
              <w:rPr>
                <w:rFonts w:ascii="Arial" w:cs="Arial" w:eastAsia="Arial" w:hAnsi="Arial"/>
                <w:sz w:val="18"/>
                <w:szCs w:val="18"/>
                <w:color w:val="auto"/>
              </w:rPr>
              <w:t>Payment of Sales, Use or Similar Taxes</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Tax Liability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3.6</w:t>
            </w:r>
          </w:p>
        </w:tc>
        <w:tc>
          <w:tcPr>
            <w:tcW w:w="9220" w:type="dxa"/>
            <w:vAlign w:val="bottom"/>
          </w:tcPr>
          <w:p>
            <w:pPr>
              <w:ind w:left="120"/>
              <w:spacing w:after="0"/>
              <w:rPr>
                <w:sz w:val="20"/>
                <w:szCs w:val="20"/>
                <w:color w:val="auto"/>
              </w:rPr>
            </w:pPr>
            <w:r>
              <w:rPr>
                <w:rFonts w:ascii="Arial" w:cs="Arial" w:eastAsia="Arial" w:hAnsi="Arial"/>
                <w:sz w:val="18"/>
                <w:szCs w:val="18"/>
                <w:color w:val="auto"/>
              </w:rPr>
              <w:t>Amended Returns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Carrybacks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3.8</w:t>
            </w:r>
          </w:p>
        </w:tc>
        <w:tc>
          <w:tcPr>
            <w:tcW w:w="9220" w:type="dxa"/>
            <w:vAlign w:val="bottom"/>
          </w:tcPr>
          <w:p>
            <w:pPr>
              <w:ind w:left="120"/>
              <w:spacing w:after="0"/>
              <w:rPr>
                <w:sz w:val="20"/>
                <w:szCs w:val="20"/>
                <w:color w:val="auto"/>
              </w:rPr>
            </w:pPr>
            <w:r>
              <w:rPr>
                <w:rFonts w:ascii="Arial" w:cs="Arial" w:eastAsia="Arial" w:hAnsi="Arial"/>
                <w:sz w:val="18"/>
                <w:szCs w:val="18"/>
                <w:color w:val="auto"/>
              </w:rPr>
              <w:t>Refunds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and Profits Allocation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3.10</w:t>
            </w:r>
          </w:p>
        </w:tc>
        <w:tc>
          <w:tcPr>
            <w:tcW w:w="9220" w:type="dxa"/>
            <w:vAlign w:val="bottom"/>
          </w:tcPr>
          <w:p>
            <w:pPr>
              <w:ind w:left="120"/>
              <w:spacing w:after="0"/>
              <w:rPr>
                <w:sz w:val="20"/>
                <w:szCs w:val="20"/>
                <w:color w:val="auto"/>
              </w:rPr>
            </w:pPr>
            <w:r>
              <w:rPr>
                <w:rFonts w:ascii="Arial" w:cs="Arial" w:eastAsia="Arial" w:hAnsi="Arial"/>
                <w:sz w:val="18"/>
                <w:szCs w:val="18"/>
                <w:color w:val="auto"/>
              </w:rPr>
              <w:t>Allocation of Tax Items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rPr>
              <w:t>ARTICLE IV</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rPr>
              <w:t>LIABILITY FOR TRANSACTION TAXES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40" w:type="dxa"/>
            <w:vAlign w:val="bottom"/>
          </w:tcPr>
          <w:p>
            <w:pPr>
              <w:spacing w:after="0"/>
              <w:rPr>
                <w:sz w:val="23"/>
                <w:szCs w:val="23"/>
                <w:color w:val="auto"/>
              </w:rPr>
            </w:pPr>
          </w:p>
        </w:tc>
        <w:tc>
          <w:tcPr>
            <w:tcW w:w="9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Oil States’ Liability for Transaction Taxes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4.2</w:t>
            </w:r>
          </w:p>
        </w:tc>
        <w:tc>
          <w:tcPr>
            <w:tcW w:w="9220" w:type="dxa"/>
            <w:vAlign w:val="bottom"/>
          </w:tcPr>
          <w:p>
            <w:pPr>
              <w:ind w:left="120"/>
              <w:spacing w:after="0"/>
              <w:rPr>
                <w:sz w:val="20"/>
                <w:szCs w:val="20"/>
                <w:color w:val="auto"/>
              </w:rPr>
            </w:pPr>
            <w:r>
              <w:rPr>
                <w:rFonts w:ascii="Arial" w:cs="Arial" w:eastAsia="Arial" w:hAnsi="Arial"/>
                <w:sz w:val="18"/>
                <w:szCs w:val="18"/>
                <w:color w:val="auto"/>
              </w:rPr>
              <w:t>Civeo’s Liability for Transaction Taxes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Shared Liability for Transaction Taxes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rPr>
              <w:t>ARTICLE V</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w w:val="97"/>
              </w:rPr>
              <w:t>REPRESENTATIONS AND WARRANTIES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40" w:type="dxa"/>
            <w:vAlign w:val="bottom"/>
          </w:tcPr>
          <w:p>
            <w:pPr>
              <w:spacing w:after="0"/>
              <w:rPr>
                <w:sz w:val="23"/>
                <w:szCs w:val="23"/>
                <w:color w:val="auto"/>
              </w:rPr>
            </w:pPr>
          </w:p>
        </w:tc>
        <w:tc>
          <w:tcPr>
            <w:tcW w:w="9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Materials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5.2</w:t>
            </w:r>
          </w:p>
        </w:tc>
        <w:tc>
          <w:tcPr>
            <w:tcW w:w="9220" w:type="dxa"/>
            <w:vAlign w:val="bottom"/>
          </w:tcPr>
          <w:p>
            <w:pPr>
              <w:ind w:left="120"/>
              <w:spacing w:after="0"/>
              <w:rPr>
                <w:sz w:val="20"/>
                <w:szCs w:val="20"/>
                <w:color w:val="auto"/>
              </w:rPr>
            </w:pPr>
            <w:r>
              <w:rPr>
                <w:rFonts w:ascii="Arial" w:cs="Arial" w:eastAsia="Arial" w:hAnsi="Arial"/>
                <w:sz w:val="18"/>
                <w:szCs w:val="18"/>
                <w:color w:val="auto"/>
              </w:rPr>
              <w:t>No Contrary Knowledge</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Contrary Plan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185"/>
              <w:spacing w:after="0"/>
              <w:rPr>
                <w:sz w:val="20"/>
                <w:szCs w:val="20"/>
                <w:color w:val="auto"/>
              </w:rPr>
            </w:pPr>
            <w:r>
              <w:rPr>
                <w:rFonts w:ascii="Arial" w:cs="Arial" w:eastAsia="Arial" w:hAnsi="Arial"/>
                <w:sz w:val="22"/>
                <w:szCs w:val="22"/>
                <w:b w:val="1"/>
                <w:bCs w:val="1"/>
                <w:color w:val="auto"/>
              </w:rPr>
              <w:t>ARTICLE VI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tcPr>
          <w:p>
            <w:pPr>
              <w:jc w:val="center"/>
              <w:ind w:left="1205"/>
              <w:spacing w:after="0"/>
              <w:rPr>
                <w:sz w:val="20"/>
                <w:szCs w:val="20"/>
                <w:color w:val="auto"/>
              </w:rPr>
            </w:pPr>
            <w:r>
              <w:rPr>
                <w:rFonts w:ascii="Arial" w:cs="Arial" w:eastAsia="Arial" w:hAnsi="Arial"/>
                <w:sz w:val="22"/>
                <w:szCs w:val="22"/>
                <w:b w:val="1"/>
                <w:bCs w:val="1"/>
                <w:color w:val="auto"/>
                <w:w w:val="98"/>
              </w:rPr>
              <w:t>COVENANTS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40" w:type="dxa"/>
            <w:vAlign w:val="bottom"/>
          </w:tcPr>
          <w:p>
            <w:pPr>
              <w:spacing w:after="0"/>
              <w:rPr>
                <w:sz w:val="23"/>
                <w:szCs w:val="23"/>
                <w:color w:val="auto"/>
              </w:rPr>
            </w:pPr>
          </w:p>
        </w:tc>
        <w:tc>
          <w:tcPr>
            <w:tcW w:w="9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6.2</w:t>
            </w:r>
          </w:p>
        </w:tc>
        <w:tc>
          <w:tcPr>
            <w:tcW w:w="9220" w:type="dxa"/>
            <w:vAlign w:val="bottom"/>
          </w:tcPr>
          <w:p>
            <w:pPr>
              <w:ind w:left="120"/>
              <w:spacing w:after="0"/>
              <w:rPr>
                <w:sz w:val="20"/>
                <w:szCs w:val="20"/>
                <w:color w:val="auto"/>
              </w:rPr>
            </w:pPr>
            <w:r>
              <w:rPr>
                <w:rFonts w:ascii="Arial" w:cs="Arial" w:eastAsia="Arial" w:hAnsi="Arial"/>
                <w:sz w:val="18"/>
                <w:szCs w:val="18"/>
                <w:color w:val="auto"/>
              </w:rPr>
              <w:t>Civeo Restricted 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9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Permitted Actions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6.4</w:t>
            </w:r>
          </w:p>
        </w:tc>
        <w:tc>
          <w:tcPr>
            <w:tcW w:w="7740" w:type="dxa"/>
            <w:vAlign w:val="bottom"/>
          </w:tcPr>
          <w:p>
            <w:pPr>
              <w:ind w:left="160"/>
              <w:spacing w:after="0"/>
              <w:rPr>
                <w:sz w:val="20"/>
                <w:szCs w:val="20"/>
                <w:color w:val="auto"/>
              </w:rPr>
            </w:pPr>
            <w:r>
              <w:rPr>
                <w:rFonts w:ascii="Arial" w:cs="Arial" w:eastAsia="Arial" w:hAnsi="Arial"/>
                <w:sz w:val="18"/>
                <w:szCs w:val="18"/>
                <w:color w:val="auto"/>
              </w:rPr>
              <w:t>General 355(e) Covenant</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6.5</w:t>
            </w: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Notice of Subsequent Information</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6.6</w:t>
            </w:r>
          </w:p>
        </w:tc>
        <w:tc>
          <w:tcPr>
            <w:tcW w:w="7740" w:type="dxa"/>
            <w:vAlign w:val="bottom"/>
          </w:tcPr>
          <w:p>
            <w:pPr>
              <w:ind w:left="160"/>
              <w:spacing w:after="0"/>
              <w:rPr>
                <w:sz w:val="20"/>
                <w:szCs w:val="20"/>
                <w:color w:val="auto"/>
              </w:rPr>
            </w:pPr>
            <w:r>
              <w:rPr>
                <w:rFonts w:ascii="Arial" w:cs="Arial" w:eastAsia="Arial" w:hAnsi="Arial"/>
                <w:sz w:val="18"/>
                <w:szCs w:val="18"/>
                <w:color w:val="auto"/>
              </w:rPr>
              <w:t>Cooperation Related to the Tax-Free Status of the Distribution</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6.7</w:t>
            </w: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Reporting</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6.8</w:t>
            </w:r>
          </w:p>
        </w:tc>
        <w:tc>
          <w:tcPr>
            <w:tcW w:w="7740" w:type="dxa"/>
            <w:vAlign w:val="bottom"/>
          </w:tcPr>
          <w:p>
            <w:pPr>
              <w:ind w:left="160"/>
              <w:spacing w:after="0"/>
              <w:rPr>
                <w:sz w:val="20"/>
                <w:szCs w:val="20"/>
                <w:color w:val="auto"/>
              </w:rPr>
            </w:pPr>
            <w:r>
              <w:rPr>
                <w:rFonts w:ascii="Arial" w:cs="Arial" w:eastAsia="Arial" w:hAnsi="Arial"/>
                <w:sz w:val="18"/>
                <w:szCs w:val="18"/>
                <w:color w:val="auto"/>
              </w:rPr>
              <w:t>Tax Assistance and Cooperation</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40" w:type="dxa"/>
            <w:vAlign w:val="bottom"/>
          </w:tcPr>
          <w:p>
            <w:pPr>
              <w:jc w:val="center"/>
              <w:ind w:left="1506"/>
              <w:spacing w:after="0"/>
              <w:rPr>
                <w:sz w:val="20"/>
                <w:szCs w:val="20"/>
                <w:color w:val="auto"/>
              </w:rPr>
            </w:pPr>
            <w:r>
              <w:rPr>
                <w:rFonts w:ascii="Arial" w:cs="Arial" w:eastAsia="Arial" w:hAnsi="Arial"/>
                <w:sz w:val="22"/>
                <w:szCs w:val="22"/>
                <w:b w:val="1"/>
                <w:bCs w:val="1"/>
                <w:color w:val="auto"/>
              </w:rPr>
              <w:t>ARTICLE VII</w:t>
            </w:r>
          </w:p>
        </w:tc>
        <w:tc>
          <w:tcPr>
            <w:tcW w:w="2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w w:val="96"/>
              </w:rPr>
              <w:t>PAYMENTS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80" w:type="dxa"/>
            <w:vAlign w:val="bottom"/>
          </w:tcPr>
          <w:p>
            <w:pPr>
              <w:spacing w:after="0"/>
              <w:rPr>
                <w:sz w:val="23"/>
                <w:szCs w:val="23"/>
                <w:color w:val="auto"/>
              </w:rPr>
            </w:pPr>
          </w:p>
        </w:tc>
        <w:tc>
          <w:tcPr>
            <w:tcW w:w="8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Estimated Tax Payments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7.2</w:t>
            </w:r>
          </w:p>
        </w:tc>
        <w:tc>
          <w:tcPr>
            <w:tcW w:w="8840" w:type="dxa"/>
            <w:vAlign w:val="bottom"/>
          </w:tcPr>
          <w:p>
            <w:pPr>
              <w:ind w:left="80"/>
              <w:spacing w:after="0"/>
              <w:rPr>
                <w:sz w:val="20"/>
                <w:szCs w:val="20"/>
                <w:color w:val="auto"/>
              </w:rPr>
            </w:pPr>
            <w:r>
              <w:rPr>
                <w:rFonts w:ascii="Arial" w:cs="Arial" w:eastAsia="Arial" w:hAnsi="Arial"/>
                <w:sz w:val="18"/>
                <w:szCs w:val="18"/>
                <w:color w:val="auto"/>
              </w:rPr>
              <w:t>True-Up 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Redetermination Amounts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7.4</w:t>
            </w:r>
          </w:p>
        </w:tc>
        <w:tc>
          <w:tcPr>
            <w:tcW w:w="8840" w:type="dxa"/>
            <w:vAlign w:val="bottom"/>
          </w:tcPr>
          <w:p>
            <w:pPr>
              <w:ind w:left="80"/>
              <w:spacing w:after="0"/>
              <w:rPr>
                <w:sz w:val="20"/>
                <w:szCs w:val="20"/>
                <w:color w:val="auto"/>
              </w:rPr>
            </w:pPr>
            <w:r>
              <w:rPr>
                <w:rFonts w:ascii="Arial" w:cs="Arial" w:eastAsia="Arial" w:hAnsi="Arial"/>
                <w:sz w:val="18"/>
                <w:szCs w:val="18"/>
                <w:color w:val="auto"/>
              </w:rPr>
              <w:t>Payments Under this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506"/>
              <w:spacing w:after="0"/>
              <w:rPr>
                <w:sz w:val="20"/>
                <w:szCs w:val="20"/>
                <w:color w:val="auto"/>
              </w:rPr>
            </w:pPr>
            <w:r>
              <w:rPr>
                <w:rFonts w:ascii="Arial" w:cs="Arial" w:eastAsia="Arial" w:hAnsi="Arial"/>
                <w:sz w:val="22"/>
                <w:szCs w:val="22"/>
                <w:b w:val="1"/>
                <w:bCs w:val="1"/>
                <w:color w:val="auto"/>
              </w:rPr>
              <w:t>ARTICLE VIII</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w w:val="97"/>
              </w:rPr>
              <w:t>AUDITS AND TAX PROCEEDINGS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80" w:type="dxa"/>
            <w:vAlign w:val="bottom"/>
          </w:tcPr>
          <w:p>
            <w:pPr>
              <w:spacing w:after="0"/>
              <w:rPr>
                <w:sz w:val="23"/>
                <w:szCs w:val="23"/>
                <w:color w:val="auto"/>
              </w:rPr>
            </w:pPr>
          </w:p>
        </w:tc>
        <w:tc>
          <w:tcPr>
            <w:tcW w:w="8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General</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8.2</w:t>
            </w:r>
          </w:p>
        </w:tc>
        <w:tc>
          <w:tcPr>
            <w:tcW w:w="8840" w:type="dxa"/>
            <w:vAlign w:val="bottom"/>
          </w:tcPr>
          <w:p>
            <w:pPr>
              <w:ind w:left="80"/>
              <w:spacing w:after="0"/>
              <w:rPr>
                <w:sz w:val="20"/>
                <w:szCs w:val="20"/>
                <w:color w:val="auto"/>
              </w:rPr>
            </w:pPr>
            <w:r>
              <w:rPr>
                <w:rFonts w:ascii="Arial" w:cs="Arial" w:eastAsia="Arial" w:hAnsi="Arial"/>
                <w:sz w:val="18"/>
                <w:szCs w:val="18"/>
                <w:color w:val="auto"/>
              </w:rPr>
              <w:t>Notice</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8.3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 of Transaction Tax Proceedings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rPr>
              <w:t>ARTICLE IX</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rPr>
              <w:t>INDEMNIFICATION</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80" w:type="dxa"/>
            <w:vAlign w:val="bottom"/>
          </w:tcPr>
          <w:p>
            <w:pPr>
              <w:spacing w:after="0"/>
              <w:rPr>
                <w:sz w:val="23"/>
                <w:szCs w:val="23"/>
                <w:color w:val="auto"/>
              </w:rPr>
            </w:pPr>
          </w:p>
        </w:tc>
        <w:tc>
          <w:tcPr>
            <w:tcW w:w="8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Oil States’ Indemnification Obligations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9.2</w:t>
            </w:r>
          </w:p>
        </w:tc>
        <w:tc>
          <w:tcPr>
            <w:tcW w:w="8840" w:type="dxa"/>
            <w:vAlign w:val="bottom"/>
          </w:tcPr>
          <w:p>
            <w:pPr>
              <w:ind w:left="80"/>
              <w:spacing w:after="0"/>
              <w:rPr>
                <w:sz w:val="20"/>
                <w:szCs w:val="20"/>
                <w:color w:val="auto"/>
              </w:rPr>
            </w:pPr>
            <w:r>
              <w:rPr>
                <w:rFonts w:ascii="Arial" w:cs="Arial" w:eastAsia="Arial" w:hAnsi="Arial"/>
                <w:sz w:val="18"/>
                <w:szCs w:val="18"/>
                <w:color w:val="auto"/>
              </w:rPr>
              <w:t>Civeo’s Indemnification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Indemnification Mechanics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rPr>
              <w:t>ARTICLE X</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Pr>
          <w:p>
            <w:pPr>
              <w:jc w:val="center"/>
              <w:ind w:left="1486"/>
              <w:spacing w:after="0"/>
              <w:rPr>
                <w:sz w:val="20"/>
                <w:szCs w:val="20"/>
                <w:color w:val="auto"/>
              </w:rPr>
            </w:pPr>
            <w:r>
              <w:rPr>
                <w:rFonts w:ascii="Arial" w:cs="Arial" w:eastAsia="Arial" w:hAnsi="Arial"/>
                <w:sz w:val="22"/>
                <w:szCs w:val="22"/>
                <w:b w:val="1"/>
                <w:bCs w:val="1"/>
                <w:color w:val="auto"/>
                <w:w w:val="99"/>
              </w:rPr>
              <w:t>MISCELLANEOUS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80" w:type="dxa"/>
            <w:vAlign w:val="bottom"/>
          </w:tcPr>
          <w:p>
            <w:pPr>
              <w:spacing w:after="0"/>
              <w:rPr>
                <w:sz w:val="23"/>
                <w:szCs w:val="23"/>
                <w:color w:val="auto"/>
              </w:rPr>
            </w:pPr>
          </w:p>
        </w:tc>
        <w:tc>
          <w:tcPr>
            <w:tcW w:w="8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Dispute Resolution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884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Law</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884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Amendment, Modification, or Termination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10.6</w:t>
            </w:r>
          </w:p>
        </w:tc>
        <w:tc>
          <w:tcPr>
            <w:tcW w:w="8840" w:type="dxa"/>
            <w:vAlign w:val="bottom"/>
          </w:tcPr>
          <w:p>
            <w:pPr>
              <w:ind w:left="80"/>
              <w:spacing w:after="0"/>
              <w:rPr>
                <w:sz w:val="20"/>
                <w:szCs w:val="20"/>
                <w:color w:val="auto"/>
              </w:rPr>
            </w:pPr>
            <w:r>
              <w:rPr>
                <w:rFonts w:ascii="Arial" w:cs="Arial" w:eastAsia="Arial" w:hAnsi="Arial"/>
                <w:sz w:val="18"/>
                <w:szCs w:val="18"/>
                <w:color w:val="auto"/>
              </w:rPr>
              <w:t>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Complete Agreement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10.8</w:t>
            </w:r>
          </w:p>
        </w:tc>
        <w:tc>
          <w:tcPr>
            <w:tcW w:w="884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Counterparts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10.10</w:t>
            </w:r>
          </w:p>
        </w:tc>
        <w:tc>
          <w:tcPr>
            <w:tcW w:w="8840" w:type="dxa"/>
            <w:vAlign w:val="bottom"/>
          </w:tcPr>
          <w:p>
            <w:pPr>
              <w:ind w:left="80"/>
              <w:spacing w:after="0"/>
              <w:rPr>
                <w:sz w:val="20"/>
                <w:szCs w:val="20"/>
                <w:color w:val="auto"/>
              </w:rPr>
            </w:pPr>
            <w:r>
              <w:rPr>
                <w:rFonts w:ascii="Arial" w:cs="Arial" w:eastAsia="Arial" w:hAnsi="Arial"/>
                <w:sz w:val="18"/>
                <w:szCs w:val="18"/>
                <w:color w:val="auto"/>
              </w:rPr>
              <w:t>Successors and Assigns; No Third-Party Beneficiaries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10.12</w:t>
            </w:r>
          </w:p>
        </w:tc>
        <w:tc>
          <w:tcPr>
            <w:tcW w:w="884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Waivers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10.14</w:t>
            </w:r>
          </w:p>
        </w:tc>
        <w:tc>
          <w:tcPr>
            <w:tcW w:w="884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Setoff</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10.16</w:t>
            </w:r>
          </w:p>
        </w:tc>
        <w:tc>
          <w:tcPr>
            <w:tcW w:w="884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8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Effective Date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TAX SHARING AGREEMENT</w:t>
      </w:r>
    </w:p>
    <w:p>
      <w:pPr>
        <w:spacing w:after="0" w:line="225" w:lineRule="exact"/>
        <w:rPr>
          <w:sz w:val="20"/>
          <w:szCs w:val="20"/>
          <w:color w:val="auto"/>
        </w:rPr>
      </w:pPr>
    </w:p>
    <w:p>
      <w:pPr>
        <w:ind w:left="660"/>
        <w:spacing w:after="0"/>
        <w:tabs>
          <w:tab w:leader="none" w:pos="724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TAX SHARING AGREEMENT</w:t>
      </w:r>
      <w:r>
        <w:rPr>
          <w:rFonts w:ascii="Arial" w:cs="Arial" w:eastAsia="Arial" w:hAnsi="Arial"/>
          <w:sz w:val="18"/>
          <w:szCs w:val="18"/>
          <w:color w:val="auto"/>
        </w:rPr>
        <w:t>, made and entered into effective as of</w:t>
      </w:r>
      <w:r>
        <w:rPr>
          <w:sz w:val="20"/>
          <w:szCs w:val="20"/>
          <w:color w:val="auto"/>
        </w:rPr>
        <w:tab/>
      </w:r>
      <w:r>
        <w:rPr>
          <w:rFonts w:ascii="Arial" w:cs="Arial" w:eastAsia="Arial" w:hAnsi="Arial"/>
          <w:sz w:val="16"/>
          <w:szCs w:val="16"/>
          <w:color w:val="auto"/>
        </w:rPr>
        <w:t>, 2014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between Oil States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and Civeo Corporation, a Delaware corporation and wholly 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Each of Oil States and Civeo is sometimes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through various subsidiaries, is engaged in the Accommodations Business and the Oil States business;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Oil States has determined that it is in the best interests of Oil States and its shareholders that Civeo operate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Accommodations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Civeo is currently a member of the Oil States Consolidated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Separation and Distribution Agreement, Oil States and Civeo currently contemplate that:</w:t>
      </w:r>
    </w:p>
    <w:p>
      <w:pPr>
        <w:spacing w:after="0" w:line="229" w:lineRule="exact"/>
        <w:rPr>
          <w:sz w:val="20"/>
          <w:szCs w:val="20"/>
          <w:color w:val="auto"/>
        </w:rPr>
      </w:pPr>
    </w:p>
    <w:p>
      <w:pPr>
        <w:ind w:left="660" w:firstLine="645"/>
        <w:spacing w:after="0" w:line="277" w:lineRule="auto"/>
        <w:tabs>
          <w:tab w:leader="none" w:pos="17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 States and PTI Mars together will form a Netherlands cooperative, PTI Investments Coöperatief U.A. (“</w:t>
      </w:r>
      <w:r>
        <w:rPr>
          <w:rFonts w:ascii="Arial" w:cs="Arial" w:eastAsia="Arial" w:hAnsi="Arial"/>
          <w:sz w:val="18"/>
          <w:szCs w:val="18"/>
          <w:b w:val="1"/>
          <w:bCs w:val="1"/>
          <w:i w:val="1"/>
          <w:iCs w:val="1"/>
          <w:color w:val="auto"/>
        </w:rPr>
        <w:t>PTI Netherlands</w:t>
      </w:r>
      <w:r>
        <w:rPr>
          <w:rFonts w:ascii="Arial" w:cs="Arial" w:eastAsia="Arial" w:hAnsi="Arial"/>
          <w:sz w:val="18"/>
          <w:szCs w:val="18"/>
          <w:color w:val="auto"/>
        </w:rPr>
        <w:t>”), which will be disregarded as separate from Oil States for U.S. federal tax purposes (the “</w:t>
      </w:r>
      <w:r>
        <w:rPr>
          <w:rFonts w:ascii="Arial" w:cs="Arial" w:eastAsia="Arial" w:hAnsi="Arial"/>
          <w:sz w:val="18"/>
          <w:szCs w:val="18"/>
          <w:u w:val="single" w:color="auto"/>
          <w:color w:val="auto"/>
        </w:rPr>
        <w:t>PTI Netherlands Formation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PTI Mars will contribute to PTI Netherlands all of its indirect interest in PTI Group Canada in exchange for 99 percent of the shares of PTI Netherlands. Oil States will contribute cash and/or a portion of the Canadian Hybrid Instruments in exchange for 1 percent of the shares of PTI Netherlands.</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 States will contribute (i) its ownership interests in PTI Group USA, PTI Mars, MAC Investments, General Marine Leasing, and PTI Netherlands, (ii) the remaining portion of the Canadian Hybrid Instruments, and (iii) the PTI Mars Receivable to Civeo in exchange for (i) shares of Civeo common stock, (ii) the assumption of certain liabilities of Oil States associated with the Accommodations Business, and (iii) cash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740" w:hanging="435"/>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 States will distribute all of the outstanding stock of Civeo to Oil States’ shareholders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that, for United States federal income tax purposes, the Contribution and the Distribution, taken together, will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as a tax-free reorganization under Sections 355 and 368(a)(1)(D) of the Code;</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(a) provide for the payment of Tax Liabilities and entitlement to refunds thereof, (b) allocate responsibility for, and</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cooperation in, the filing of Tax Returns and provide for certain other matters relating to Taxes, and (c) set forth certain covenants and indemnities relating to the preservation of the tax-free status of the Contribution and the Distribution under Sections 355 and 368(a)(1)(D)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1" w:name="page72"/>
    <w:bookmarkEnd w:id="71"/>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undertakings contained herein and in any other document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CERTAIN OPERATING CONVENTIONS</w:t>
      </w:r>
    </w:p>
    <w:p>
      <w:pPr>
        <w:spacing w:after="0" w:line="2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 the purposes of this Agreement, the following terms have the meanings set forth below:</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Accommodations Business</w:t>
      </w:r>
      <w:r>
        <w:rPr>
          <w:rFonts w:ascii="Arial" w:cs="Arial" w:eastAsia="Arial" w:hAnsi="Arial"/>
          <w:sz w:val="17"/>
          <w:szCs w:val="17"/>
          <w:color w:val="auto"/>
        </w:rPr>
        <w:t>” means the accommodations segment of Oil States as described in Oil States’ Annual Report on Form 10-K for the period ended December 31, 2013, which business provides integrated accommodations services for people working in remote locations.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means an affiliated group of corporations, within the meaning of Section 1504(a) of the Code, including the common parent corporation, and any member of such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includes any audit, assessment of Taxes, other examination by any Tax Authority, proceeding, or appeal of such a proceeding relating to Taxes, whether administrative or judicial, including proceedings relating to competent authority determinations.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Canadian Hybrid Instrument</w:t>
      </w:r>
      <w:r>
        <w:rPr>
          <w:rFonts w:ascii="Arial" w:cs="Arial" w:eastAsia="Arial" w:hAnsi="Arial"/>
          <w:sz w:val="18"/>
          <w:szCs w:val="18"/>
          <w:color w:val="auto"/>
        </w:rPr>
        <w:t>” means a debt instrument paired with a forward subscription agreement that together constitute shares of a second class of common equity of PTI Premium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means the Affiliated Group, or similar group of entities as defined under corresponding provisions of the laws of other jurisdictions, of which Civeo will be the common parent corporation immediately after the Distribution, and any corporation or other entity which may become a member of such group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Return</w:t>
      </w:r>
      <w:r>
        <w:rPr>
          <w:rFonts w:ascii="Arial" w:cs="Arial" w:eastAsia="Arial" w:hAnsi="Arial"/>
          <w:sz w:val="18"/>
          <w:szCs w:val="18"/>
          <w:color w:val="auto"/>
        </w:rPr>
        <w:t>” means any Tax Return with respect to franchise Taxes or Income Taxes, other than United States federal Income Taxes, filed on a consolidated, combined, or unitary basis wherein Civeo or any member of the Civeo Group joins in the filing of such Tax Return (for any taxable period or portion thereof) with Oil States or one or more members of the Oil States Group.</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Return</w:t>
      </w:r>
      <w:r>
        <w:rPr>
          <w:rFonts w:ascii="Arial" w:cs="Arial" w:eastAsia="Arial" w:hAnsi="Arial"/>
          <w:sz w:val="18"/>
          <w:szCs w:val="18"/>
          <w:color w:val="auto"/>
        </w:rPr>
        <w:t>” means any Tax Return with respect to United States federal Income Taxes filed on a consolidated basis wherein Civeo or any member of the Civeo Group joins in the filing of such Tax Return (for any taxable period or portion thereof) with Oil States or one or more members of the Oil States 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means the date the Distribution is effected.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Draft Tax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Tax Installment Date</w:t>
      </w:r>
      <w:r>
        <w:rPr>
          <w:rFonts w:ascii="Arial" w:cs="Arial" w:eastAsia="Arial" w:hAnsi="Arial"/>
          <w:sz w:val="18"/>
          <w:szCs w:val="18"/>
          <w:color w:val="auto"/>
        </w:rPr>
        <w:t>” means the estimated United States federal Income Tax installment due dates prescribed in Section 6655(c) of the Code and any other date on which an installment of Income Taxes is required to be made.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Federal Separate Tax Liability</w:t>
      </w:r>
      <w:r>
        <w:rPr>
          <w:rFonts w:ascii="Arial" w:cs="Arial" w:eastAsia="Arial" w:hAnsi="Arial"/>
          <w:sz w:val="17"/>
          <w:szCs w:val="17"/>
          <w:color w:val="auto"/>
        </w:rPr>
        <w:t>” means the Civeo Group’s United States federal Income Tax liability, as determined by Oil States in good faith and prepared: (a) assuming that the members of the Civeo Group were not included in the United States federal consolidated Income Tax return of the Oil States Consolidated Group and including only Tax items of members of the Civeo Group that would have been included in the United States federal consolidated Income Tax return of the Oil States Consolidated Group for the applicable taxable period; (b) using all applicable elections, accounting methods and conventions used in the United States federal consolidated Income Tax Return of the Oil States Consolidated Group for the applicable taxable period; (c) applying the highest statutory marginal corporate United States federal Income Tax rate in effect for such taxable period; and (d) assuming that the Civeo Group’s utilization of any tax attribute carryforward or carryback is limited to the tax attributes of the Civeo Group that were actually utilized in the United States federal consolidated Income Tax return of the Oil States Consolidated Group for such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Filing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Determination</w:t>
      </w:r>
      <w:r>
        <w:rPr>
          <w:rFonts w:ascii="Arial" w:cs="Arial" w:eastAsia="Arial" w:hAnsi="Arial"/>
          <w:sz w:val="18"/>
          <w:szCs w:val="18"/>
          <w:color w:val="auto"/>
        </w:rPr>
        <w:t>” means the final resolution of liability for any Tax Item or for the Tax Liability for any taxable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taxable period; (iii) any allowance of a Tax Refund or credit in respect of an overpayment of Tax, but only after the expiration of all periods during which such refund or credit may be recovered by the jurisdiction imposing the Tax; or (iv) any other final resolution, including by reason of the expiration of the applicable statute of limitations or the execution of a pre-filing agreement with the IRS or other Taxing Authority.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Tax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General Marine Leasing</w:t>
      </w:r>
      <w:r>
        <w:rPr>
          <w:rFonts w:ascii="Arial" w:cs="Arial" w:eastAsia="Arial" w:hAnsi="Arial"/>
          <w:sz w:val="16"/>
          <w:szCs w:val="16"/>
          <w:color w:val="auto"/>
        </w:rPr>
        <w:t>” means General Marine Leasing, LLC, a Delaware limited liability company which is classified as a corporation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means all federal, state, local or foreign Taxes measured by or imposed on net income, or any Taxes imposed in lieu of such Taxes.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Tax Return</w:t>
      </w:r>
      <w:r>
        <w:rPr>
          <w:rFonts w:ascii="Arial" w:cs="Arial" w:eastAsia="Arial" w:hAnsi="Arial"/>
          <w:sz w:val="18"/>
          <w:szCs w:val="18"/>
          <w:color w:val="auto"/>
        </w:rPr>
        <w:t>” means any Tax Return with respect to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means any Person from which an Indemnified Party is seeking indemnification pursuant to the provisions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means any Person which is seeking indemnification from an Indemnifying Party pursuant to the provisions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MAC Investments</w:t>
      </w:r>
      <w:r>
        <w:rPr>
          <w:rFonts w:ascii="Arial" w:cs="Arial" w:eastAsia="Arial" w:hAnsi="Arial"/>
          <w:sz w:val="18"/>
          <w:szCs w:val="18"/>
          <w:color w:val="auto"/>
        </w:rPr>
        <w:t>” means MAC Investments LLC, a Delaware limited liability company which is classified as a corporation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the letter executed by officers of Oil States and Civeo provided to Oil States’ outside tax advisors in connection with the Tax Opinion.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Consolidated Group</w:t>
      </w:r>
      <w:r>
        <w:rPr>
          <w:rFonts w:ascii="Arial" w:cs="Arial" w:eastAsia="Arial" w:hAnsi="Arial"/>
          <w:sz w:val="18"/>
          <w:szCs w:val="18"/>
          <w:color w:val="auto"/>
        </w:rPr>
        <w:t>” means the Affiliated Group of which Oil States is the common parent corporation.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Group</w:t>
      </w:r>
      <w:r>
        <w:rPr>
          <w:rFonts w:ascii="Arial" w:cs="Arial" w:eastAsia="Arial" w:hAnsi="Arial"/>
          <w:sz w:val="18"/>
          <w:szCs w:val="18"/>
          <w:color w:val="auto"/>
        </w:rPr>
        <w:t>” means the Affiliated Group, or similar group of entities as defined under corresponding provisions of the laws of other jurisdictions, of which Oil States is the common parent corporation, and any corporation or other entity which may be, may have been or may become a member of such group from time to time, but excluding any member of the Civeo Group.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option to acquire common stock, or other equity-based incentives the economic value of which is designed to mirror that of an option, including non-qualified stock options, discounted non-qualified stock options, cliff options to the extent stock is issued or issuable (as opposed to cash compensation), and tandem stock options to the extent stock is issued or issuable (as opposed to cash compensation).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and includes any individual, corporation, company, association, partnership, joint venture, limited liability company, joint stock company, trust, unincorporated organization,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Post-Distribution Taxable Period</w:t>
      </w:r>
      <w:r>
        <w:rPr>
          <w:rFonts w:ascii="Arial" w:cs="Arial" w:eastAsia="Arial" w:hAnsi="Arial"/>
          <w:sz w:val="18"/>
          <w:szCs w:val="18"/>
          <w:color w:val="auto"/>
        </w:rPr>
        <w:t>” means a taxable period or portion thereof that begins after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Potential Disqualifying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Pre-Distribution Taxable Period</w:t>
      </w:r>
      <w:r>
        <w:rPr>
          <w:rFonts w:ascii="Arial" w:cs="Arial" w:eastAsia="Arial" w:hAnsi="Arial"/>
          <w:sz w:val="18"/>
          <w:szCs w:val="18"/>
          <w:color w:val="auto"/>
        </w:rPr>
        <w:t>” means a taxable period or portion thereof that ends on or before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Letter Ruling Request</w:t>
      </w:r>
      <w:r>
        <w:rPr>
          <w:rFonts w:ascii="Arial" w:cs="Arial" w:eastAsia="Arial" w:hAnsi="Arial"/>
          <w:sz w:val="16"/>
          <w:szCs w:val="16"/>
          <w:color w:val="auto"/>
        </w:rPr>
        <w:t>” means the private letter ruling request submitted by Oil States to the IRS on August 21, 2013, and any supplements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PTI Group Canada</w:t>
      </w:r>
      <w:r>
        <w:rPr>
          <w:rFonts w:ascii="Arial" w:cs="Arial" w:eastAsia="Arial" w:hAnsi="Arial"/>
          <w:sz w:val="16"/>
          <w:szCs w:val="16"/>
          <w:color w:val="auto"/>
        </w:rPr>
        <w:t>” means PTI Group, Inc., a Canadian corporation which owns all of the shares of one class of common stock of PTI Premium.</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Group USA</w:t>
      </w:r>
      <w:r>
        <w:rPr>
          <w:rFonts w:ascii="Arial" w:cs="Arial" w:eastAsia="Arial" w:hAnsi="Arial"/>
          <w:sz w:val="18"/>
          <w:szCs w:val="18"/>
          <w:color w:val="auto"/>
        </w:rPr>
        <w:t>” means PTI Group USA LLC, a Delaware limited liability company that is classified as a corporation for U.S. federal income tax purposes.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Mars</w:t>
      </w:r>
      <w:r>
        <w:rPr>
          <w:rFonts w:ascii="Arial" w:cs="Arial" w:eastAsia="Arial" w:hAnsi="Arial"/>
          <w:sz w:val="18"/>
          <w:szCs w:val="18"/>
          <w:color w:val="auto"/>
        </w:rPr>
        <w:t>” means PTI Mars Holdco 1, LLC, a Delaware limited liability company which is owned by Oil States and is disregarded as an entity separate from Oil States for U.S. federal income tax purposes.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Mars Receivable</w:t>
      </w:r>
      <w:r>
        <w:rPr>
          <w:rFonts w:ascii="Arial" w:cs="Arial" w:eastAsia="Arial" w:hAnsi="Arial"/>
          <w:sz w:val="18"/>
          <w:szCs w:val="18"/>
          <w:color w:val="auto"/>
        </w:rPr>
        <w:t>” means the intercompany receivable due from PTI Mars to Oil States which will be disregarded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Netherlands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Netherlands Formation</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PTI Premium</w:t>
      </w:r>
      <w:r>
        <w:rPr>
          <w:rFonts w:ascii="Arial" w:cs="Arial" w:eastAsia="Arial" w:hAnsi="Arial"/>
          <w:sz w:val="18"/>
          <w:szCs w:val="18"/>
          <w:color w:val="auto"/>
        </w:rPr>
        <w:t>” means PTI Premium Camp Services Ltd., a Canadian limited company classified as a corporation for U.S. federal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6.2(h)</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beginning on the date of the execution of this Agreement through and including the last day of the two-year period following the Distribution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Separate Tax Liability</w:t>
      </w:r>
      <w:r>
        <w:rPr>
          <w:rFonts w:ascii="Arial" w:cs="Arial" w:eastAsia="Arial" w:hAnsi="Arial"/>
          <w:sz w:val="18"/>
          <w:szCs w:val="18"/>
          <w:color w:val="auto"/>
        </w:rPr>
        <w:t>” means the Federal Separate Tax Liability and the State Separate Tax Liability, as applicable.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and Distribution Agreement</w:t>
      </w:r>
      <w:r>
        <w:rPr>
          <w:rFonts w:ascii="Arial" w:cs="Arial" w:eastAsia="Arial" w:hAnsi="Arial"/>
          <w:sz w:val="18"/>
          <w:szCs w:val="18"/>
          <w:color w:val="auto"/>
        </w:rPr>
        <w:t>” means the Separation and Distribution Agreement, as amended from time to time, by and between Oil States and Civeo dated as of , 2014.</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State Separate Tax Liability</w:t>
      </w:r>
      <w:r>
        <w:rPr>
          <w:rFonts w:ascii="Arial" w:cs="Arial" w:eastAsia="Arial" w:hAnsi="Arial"/>
          <w:sz w:val="18"/>
          <w:szCs w:val="18"/>
          <w:color w:val="auto"/>
        </w:rPr>
        <w:t>” means the sum of the Civeo Group’s liability for Taxes owed with respect to Combined Returns for any period in which any member of the Civeo Group is a member of the Oil States Consolidated Group prepared in a manner consistent with the principles set forth in the definition of Federal Separate Tax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tax period that begins on or before and ends after the Distribution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or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taxes, charges, fees, imposts, levies or other assessments, including all net income, gross receipts, capital, sales, use, gains, ad valorem, value added, transfer, franchise, profits, inventory, capital stock, license, withholding, payroll, employment, social security, unemployment, excise, severance, stamp, occupation, property and estimated taxes, custom duties, fees, assessments and charges of any kind whatsoever, together with any interest and any penalties, fines, additions to tax or additional amounts imposed by any Tax Authority and includes any liability in respect of Taxes that arises by operation of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Authority</w:t>
      </w:r>
      <w:r>
        <w:rPr>
          <w:rFonts w:ascii="Arial" w:cs="Arial" w:eastAsia="Arial" w:hAnsi="Arial"/>
          <w:sz w:val="16"/>
          <w:szCs w:val="16"/>
          <w:color w:val="auto"/>
        </w:rPr>
        <w:t>” means the IRS and any other domestic or foreign governmental authority responsible for the administration and collection of Taxes.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Benefit</w:t>
      </w:r>
      <w:r>
        <w:rPr>
          <w:rFonts w:ascii="Arial" w:cs="Arial" w:eastAsia="Arial" w:hAnsi="Arial"/>
          <w:sz w:val="17"/>
          <w:szCs w:val="17"/>
          <w:color w:val="auto"/>
        </w:rPr>
        <w:t>” means a reduction in the Tax Liability (or increase in a refund or credit or any item of deduction or expense) of a taxpayer (or of the Affiliated Group of which it is a member) for any taxable period. Except as otherwise provided in this Agreement, a Tax Benefit will be deemed to have been realized or received from a Tax Item in a taxable period only if and to the extent that the Tax Liability of the taxpayer (or of the Affiliated Group of which it is a member) for such period, after taking into account the effect of the Tax Item on the Tax Liability of such taxpayer in the current period and all prior periods, is less than it would have been had such Tax Liability been determined without regard to such Tax Item.</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Detriment</w:t>
      </w:r>
      <w:r>
        <w:rPr>
          <w:rFonts w:ascii="Arial" w:cs="Arial" w:eastAsia="Arial" w:hAnsi="Arial"/>
          <w:sz w:val="17"/>
          <w:szCs w:val="17"/>
          <w:color w:val="auto"/>
        </w:rPr>
        <w:t>” means an increase in the Tax Liability (or reduction in a refund or credit or item of deduction or expense) of a taxpayer (or of the Affiliated Group of which it is a member) for any taxable period. Except as otherwise provided in this Agreement, a Tax Detriment will be deemed to have been realized or received from a Tax Item in a taxable period only if and to the extent that the Tax Liability of the taxpayer (or of the Affiliated Group of which it is a member) for such period, after taking into account the effect of the Tax Item on the Tax Liability of such taxpayer in the current period and all prior periods, is more than it would have been had such Tax Liability been determined without regard to such Tax Item.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Tax-Free Status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Item</w:t>
      </w:r>
      <w:r>
        <w:rPr>
          <w:rFonts w:ascii="Arial" w:cs="Arial" w:eastAsia="Arial" w:hAnsi="Arial"/>
          <w:sz w:val="18"/>
          <w:szCs w:val="18"/>
          <w:color w:val="auto"/>
        </w:rPr>
        <w:t>” means any item of income, gain, loss, deduction, expense or credit, or other attribute that may have the effect of increasing or decreasing any Tax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Liabilities</w:t>
      </w:r>
      <w:r>
        <w:rPr>
          <w:rFonts w:ascii="Arial" w:cs="Arial" w:eastAsia="Arial" w:hAnsi="Arial"/>
          <w:sz w:val="18"/>
          <w:szCs w:val="18"/>
          <w:color w:val="auto"/>
        </w:rPr>
        <w:t>” means all liabilities for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Losses</w:t>
      </w:r>
      <w:r>
        <w:rPr>
          <w:rFonts w:ascii="Arial" w:cs="Arial" w:eastAsia="Arial" w:hAnsi="Arial"/>
          <w:sz w:val="18"/>
          <w:szCs w:val="18"/>
          <w:color w:val="auto"/>
        </w:rPr>
        <w:t>” means all Tax Liabilities and any losses attributable to a reduction in net operating losses, net operating loss carryforwards, capital losses, capital loss carryforwards, or tax credits of the Oil States Group.</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Opinion</w:t>
      </w:r>
      <w:r>
        <w:rPr>
          <w:rFonts w:ascii="Arial" w:cs="Arial" w:eastAsia="Arial" w:hAnsi="Arial"/>
          <w:sz w:val="18"/>
          <w:szCs w:val="18"/>
          <w:color w:val="auto"/>
        </w:rPr>
        <w:t>” means the opinion letter to be issued by Oil States’ outside tax advisors addressing certain U.S. federal Income Tax consequences of the Contribution and the Distribution.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Returns</w:t>
      </w:r>
      <w:r>
        <w:rPr>
          <w:rFonts w:ascii="Arial" w:cs="Arial" w:eastAsia="Arial" w:hAnsi="Arial"/>
          <w:sz w:val="18"/>
          <w:szCs w:val="18"/>
          <w:color w:val="auto"/>
        </w:rPr>
        <w:t xml:space="preserve">” means any and all reports, returns, declaration forms and statements (including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thereto) filed or required to be filed with respect to Taxes, and any attachments thereto.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Taxes</w:t>
      </w:r>
      <w:r>
        <w:rPr>
          <w:rFonts w:ascii="Arial" w:cs="Arial" w:eastAsia="Arial" w:hAnsi="Arial"/>
          <w:sz w:val="18"/>
          <w:szCs w:val="18"/>
          <w:color w:val="auto"/>
        </w:rPr>
        <w:t>” means any Tax or increase in Tax Liability resulting from any income or gain recognized by Oil States, Civeo or their affiliates as a result of the Contribution or the Distribution failing to qualify for tax-free treatment under Sections 355 and 368(a)(1)(D) and related provisions of the Code or corresponding provisions of other applicable Tax 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under the Code promulgated by the United States Department of the Treasury.</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u w:val="single" w:color="auto"/>
          <w:color w:val="auto"/>
        </w:rPr>
        <w:t>References; Construction</w:t>
      </w:r>
      <w:r>
        <w:rPr>
          <w:rFonts w:ascii="Arial" w:cs="Arial" w:eastAsia="Arial" w:hAnsi="Arial"/>
          <w:sz w:val="15"/>
          <w:szCs w:val="15"/>
          <w:b w:val="1"/>
          <w:bCs w:val="1"/>
          <w:color w:val="auto"/>
        </w:rPr>
        <w:t>.</w:t>
      </w:r>
    </w:p>
    <w:p>
      <w:pPr>
        <w:spacing w:after="0" w:line="229" w:lineRule="exact"/>
        <w:rPr>
          <w:sz w:val="20"/>
          <w:szCs w:val="20"/>
          <w:color w:val="auto"/>
        </w:rPr>
      </w:pPr>
    </w:p>
    <w:p>
      <w:pPr>
        <w:ind w:left="1820" w:hanging="515"/>
        <w:spacing w:after="0"/>
        <w:tabs>
          <w:tab w:leader="none" w:pos="1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Capitalized terms not otherwise defined in this Agreement have the meaning ascribed to them in the Separation and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1305"/>
        <w:spacing w:after="0" w:line="277" w:lineRule="auto"/>
        <w:tabs>
          <w:tab w:leader="none" w:pos="17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defined in the singular have a comparable meaning when used in the plural, and vice versa.</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References to any “Article” or “Section,” without more, are to Articles and Sections to or of this Agreement. Unless otherwise expressly stated, clauses beginning with the term “including” or similar words set forth examples only and in no way limit the generality of the matters thus exemplified.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PREPARATION AND FILING OF TAX RETURNS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Preparation of Tax Returns – Oil States’ Responsibility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8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Oil States will prepare or cause to be prepared, and will file or cause to be filed, (i) all Consolidated Returns and all Combined Returns; (ii) all Income Tax Returns of Civeo and any member of the Civeo Group for any Pre-Distribution Taxable Period or Straddle Period that are not foreign Income Tax Returns for Civeo and any member of the Civeo Group; and (iii) all Tax Returns of Oil States or any member of the Oil States Group that do not include Civeo or any member of the Civeo Group.</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751"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Oil States will have the right, with respect to any Tax Return described in </w:t>
      </w:r>
      <w:r>
        <w:rPr>
          <w:rFonts w:ascii="Arial" w:cs="Arial" w:eastAsia="Arial" w:hAnsi="Arial"/>
          <w:sz w:val="17"/>
          <w:szCs w:val="17"/>
          <w:u w:val="single" w:color="auto"/>
          <w:color w:val="auto"/>
        </w:rPr>
        <w:t>Section 2.1(a)</w:t>
      </w:r>
      <w:r>
        <w:rPr>
          <w:rFonts w:ascii="Arial" w:cs="Arial" w:eastAsia="Arial" w:hAnsi="Arial"/>
          <w:sz w:val="17"/>
          <w:szCs w:val="17"/>
          <w:color w:val="auto"/>
        </w:rPr>
        <w:t>, to determine: (i) the manner in which such Tax Return will be prepared and filed, including the elections, method of accounting, positions, conventions, and principles of taxation to be used and the manner in which any Tax Item will be reported; (ii) whether any extensions may be requested; (iii) the elections that will be made by Oil States, any member of the Oil States Group, Civeo, or any member of the Civeo Group on such Tax Return; (iv) whether any amended Tax Returns will be filed; (v) whether any claims for refund will be made; (vi) whether any refunds will be paid by way of refund or credited against any liability for the related Tax; and (vii) whether to retain outside firms to prepare or review such Tax Returns.</w:t>
      </w:r>
    </w:p>
    <w:p>
      <w:pPr>
        <w:spacing w:after="0" w:line="178" w:lineRule="exact"/>
        <w:rPr>
          <w:rFonts w:ascii="Arial" w:cs="Arial" w:eastAsia="Arial" w:hAnsi="Arial"/>
          <w:sz w:val="17"/>
          <w:szCs w:val="17"/>
          <w:color w:val="auto"/>
        </w:rPr>
      </w:pPr>
    </w:p>
    <w:p>
      <w:pPr>
        <w:ind w:firstLine="1305"/>
        <w:spacing w:after="0" w:line="277" w:lineRule="auto"/>
        <w:tabs>
          <w:tab w:leader="none" w:pos="17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Oil States shall provide Civeo with a copy of any Tax Returns that include Civeo or any member of the Civeo Group promptly upon the filing of such Tax Returns.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Preparation of Tax Returns – Civeo’s Responsibility</w:t>
      </w:r>
      <w:r>
        <w:rPr>
          <w:rFonts w:ascii="Arial" w:cs="Arial" w:eastAsia="Arial" w:hAnsi="Arial"/>
          <w:sz w:val="18"/>
          <w:szCs w:val="18"/>
          <w:color w:val="auto"/>
        </w:rPr>
        <w:t xml:space="preserve">. Civeo will prepare or cause to be prepared and file or cause to be filed (i) all Tax Returns of Civeo and any member of the Civeo Group for any Post-Distribution Taxable Period; (ii) all foreign Income Tax Returns of Civeo and any member of the Civeo Group; and (iii) all Tax Returns (other than Income Tax Returns described in </w:t>
      </w:r>
      <w:r>
        <w:rPr>
          <w:rFonts w:ascii="Arial" w:cs="Arial" w:eastAsia="Arial" w:hAnsi="Arial"/>
          <w:sz w:val="18"/>
          <w:szCs w:val="18"/>
          <w:u w:val="single" w:color="auto"/>
          <w:color w:val="auto"/>
        </w:rPr>
        <w:t>Sections 2.1(a)(i)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2.1(a)(ii)</w:t>
      </w:r>
      <w:r>
        <w:rPr>
          <w:rFonts w:ascii="Arial" w:cs="Arial" w:eastAsia="Arial" w:hAnsi="Arial"/>
          <w:sz w:val="18"/>
          <w:szCs w:val="18"/>
          <w:color w:val="auto"/>
        </w:rPr>
        <w:t>) with respect to Civeo and any member of the Civeo Group.</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Agent</w:t>
      </w:r>
      <w:r>
        <w:rPr>
          <w:rFonts w:ascii="Arial" w:cs="Arial" w:eastAsia="Arial" w:hAnsi="Arial"/>
          <w:sz w:val="16"/>
          <w:szCs w:val="16"/>
          <w:color w:val="auto"/>
        </w:rPr>
        <w:t xml:space="preserve">. Subject to the other applicable provisions of this Agreement, Civeo hereby irrevocably designates, and agrees to cause each member of the Civeo Group to so designate, Oil States as its sole and exclusive agent and attorney-in-fact to take such action (including execution of documents) as Oil States, in its sole discretion, may deem appropriate in any and all matters (including Audits) relating to any Tax Return described in </w:t>
      </w:r>
      <w:r>
        <w:rPr>
          <w:rFonts w:ascii="Arial" w:cs="Arial" w:eastAsia="Arial" w:hAnsi="Arial"/>
          <w:sz w:val="16"/>
          <w:szCs w:val="16"/>
          <w:u w:val="single" w:color="auto"/>
          <w:color w:val="auto"/>
        </w:rPr>
        <w:t>Section 2.1(a)</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Manner of Tax Return Preparation</w:t>
      </w:r>
      <w:r>
        <w:rPr>
          <w:rFonts w:ascii="Arial" w:cs="Arial" w:eastAsia="Arial" w:hAnsi="Arial"/>
          <w:sz w:val="18"/>
          <w:szCs w:val="18"/>
          <w:color w:val="auto"/>
        </w:rPr>
        <w:t>. Unless otherwise required by applicable law, the Parties hereby agree (i) to prepare and file all Tax Returns for any Pre-Distribution Taxable Period in a manner consistent with past practice regarding such preparation and filing, and (ii) to prepare and file all Tax Returns, and to take all other actions, in a manner consistent with this Agreement, the Officer’s Certificate, the Tax Opinion, and the Private Letter Ruling Request. All Tax Returns shall be filed on a timely basis (taking into account applicable extensions) by the party responsible for filing such Tax Returns under this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FOR TAXES; ALLOCATION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Civeo’s Liability for Article II Taxes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17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w:t>
      </w:r>
      <w:r>
        <w:rPr>
          <w:rFonts w:ascii="Arial" w:cs="Arial" w:eastAsia="Arial" w:hAnsi="Arial"/>
          <w:sz w:val="18"/>
          <w:szCs w:val="18"/>
          <w:color w:val="auto"/>
        </w:rPr>
        <w:t>, Civeo will be liable for the Separate Tax Liability, and will be entitled to receive and retain all refunds or credits of Taxes previously paid by Civeo with respect to any such Separate Tax Liability.</w:t>
      </w:r>
    </w:p>
    <w:p>
      <w:pPr>
        <w:spacing w:after="0" w:line="170" w:lineRule="exact"/>
        <w:rPr>
          <w:rFonts w:ascii="Arial" w:cs="Arial" w:eastAsia="Arial" w:hAnsi="Arial"/>
          <w:sz w:val="18"/>
          <w:szCs w:val="18"/>
          <w:color w:val="auto"/>
        </w:rPr>
      </w:pPr>
    </w:p>
    <w:p>
      <w:pPr>
        <w:ind w:firstLine="1305"/>
        <w:spacing w:after="0" w:line="277" w:lineRule="auto"/>
        <w:tabs>
          <w:tab w:leader="none" w:pos="17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Sections 2.1(a)(ii)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Civeo will be liable for all Taxes due with respect thereto, and will be entitled to receive and retain all refunds or credits of Taxes previously paid by Civeo with respect to such Taxes.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u w:val="single" w:color="auto"/>
          <w:color w:val="auto"/>
        </w:rPr>
        <w:t>Oil States’ Liability for Article II Taxes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7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w:t>
      </w:r>
      <w:r>
        <w:rPr>
          <w:rFonts w:ascii="Arial" w:cs="Arial" w:eastAsia="Arial" w:hAnsi="Arial"/>
          <w:sz w:val="18"/>
          <w:szCs w:val="18"/>
          <w:color w:val="auto"/>
        </w:rPr>
        <w:t>, Oil States will be liable for the difference between the Separate Tax Liability and all Taxes shown as due on such Tax Returns, and will be entitled to receive and retain all refunds or credits of Taxes attributable to such difference.</w:t>
      </w:r>
    </w:p>
    <w:p>
      <w:pPr>
        <w:spacing w:after="0" w:line="181" w:lineRule="exact"/>
        <w:rPr>
          <w:rFonts w:ascii="Arial" w:cs="Arial" w:eastAsia="Arial" w:hAnsi="Arial"/>
          <w:sz w:val="18"/>
          <w:szCs w:val="18"/>
          <w:color w:val="auto"/>
        </w:rPr>
      </w:pPr>
    </w:p>
    <w:p>
      <w:pPr>
        <w:ind w:right="20" w:firstLine="1305"/>
        <w:spacing w:after="0" w:line="277" w:lineRule="auto"/>
        <w:tabs>
          <w:tab w:leader="none" w:pos="17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With respect to all Tax Returns described in </w:t>
      </w:r>
      <w:r>
        <w:rPr>
          <w:rFonts w:ascii="Arial" w:cs="Arial" w:eastAsia="Arial" w:hAnsi="Arial"/>
          <w:sz w:val="18"/>
          <w:szCs w:val="18"/>
          <w:u w:val="single" w:color="auto"/>
          <w:color w:val="auto"/>
        </w:rPr>
        <w:t>Section 2.1(a)(iii)</w:t>
      </w:r>
      <w:r>
        <w:rPr>
          <w:rFonts w:ascii="Arial" w:cs="Arial" w:eastAsia="Arial" w:hAnsi="Arial"/>
          <w:sz w:val="18"/>
          <w:szCs w:val="18"/>
          <w:color w:val="auto"/>
        </w:rPr>
        <w:t>, Oil States will be liable for all Taxes due with respect thereto, and will be entitled to receive and retain all refunds or credits of Taxes previously paid by Oil States with respect to such Taxes.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Computation</w:t>
      </w:r>
      <w:r>
        <w:rPr>
          <w:rFonts w:ascii="Arial" w:cs="Arial" w:eastAsia="Arial" w:hAnsi="Arial"/>
          <w:sz w:val="18"/>
          <w:szCs w:val="18"/>
          <w:color w:val="auto"/>
        </w:rPr>
        <w:t xml:space="preserve">. At least ten (10) days prior to the due date of any Tax Return for which Civeo will incur a Separate Tax Liability, Oil States shall provide Civeo with a written calculation in reasonable detail setting forth the amount of such Separate Tax Liability or estimated Separate Tax Liability (for purposes of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Civeo will have the right to review and comment on such calculation, and shall be provided with reasonable access to any supporting documentation on request. Any dispute with respect to such calculation will be resolved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If such dispute has not been resolved prior to the due date (including extensions) for filing such Tax Return, Civeo will pay the Separate Tax Liability to Oil States and will be entitled to be reimbursed by Oil States to the extent the dispute is resolved in Civeo’s favor.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Payment of Sales, Use or Similar Taxes</w:t>
      </w:r>
      <w:r>
        <w:rPr>
          <w:rFonts w:ascii="Arial" w:cs="Arial" w:eastAsia="Arial" w:hAnsi="Arial"/>
          <w:sz w:val="17"/>
          <w:szCs w:val="17"/>
          <w:color w:val="auto"/>
        </w:rPr>
        <w:t>. All sales, use, transfer, real property transfer, intangible, recordation, registration, documentary, stamp or similar Taxes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xml:space="preserve">”) applicable to, or resulting from, the Contribution and the Distribution will be borne fifty percent (50%) by Oil States and fifty percent (50%) by Civeo. Notwithstanding anything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to the contrary, the party required by applicable law shall remit payment for any Transfer Taxes and duly and timely file any Tax Returns required to be filed with respect to such Transfer Taxes, subject to any indemnification rights it may have against the other party, which shall be paid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Civeo, Oil States, and their respective affiliates will cooperate in (i) determining the amount of such Transfer Taxes, (ii) providing all requisite exemption certificates, and (iii) preparing and timely filing any and all required Tax Returns for or with respect to such Transfer Taxes with any and all appropriate Tax Authorities.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9" w:name="page80"/>
    <w:bookmarkEnd w:id="79"/>
    <w:p>
      <w:pPr>
        <w:jc w:val="both"/>
        <w:ind w:firstLine="648"/>
        <w:spacing w:after="0" w:line="26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Payment of Tax Liability</w:t>
      </w:r>
      <w:r>
        <w:rPr>
          <w:rFonts w:ascii="Arial" w:cs="Arial" w:eastAsia="Arial" w:hAnsi="Arial"/>
          <w:sz w:val="18"/>
          <w:szCs w:val="18"/>
          <w:color w:val="auto"/>
        </w:rPr>
        <w:t xml:space="preserve">. The party responsible for filing a Tax Return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will be responsible for paying to the relevant Tax Authority the entire amount of the Tax Liability reflected on such Tax Return;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party liable for such Tax Liability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pay the Taxes for which it is liable to the filing party as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Amended Returns</w:t>
      </w:r>
      <w:r>
        <w:rPr>
          <w:rFonts w:ascii="Arial" w:cs="Arial" w:eastAsia="Arial" w:hAnsi="Arial"/>
          <w:sz w:val="18"/>
          <w:szCs w:val="18"/>
          <w:color w:val="auto"/>
        </w:rPr>
        <w:t>. Except as required by applicable law, without the prior written consent of Oil States, neither Civeo nor any member of the Civeo Group will file any amended Tax Return with respect to any Pre-Distribution Taxable Period of Civeo. Except as required by applicable law, without the prior written consent of Civeo or any member of the Civeo Group, Oil States may not amend any Tax Return with respect to any Pre-Distribution Taxable Period to the extent such amendment will materially increase the Tax Liability of Civeo or any member of the Civeo Group with respect to any Pre-Distribution Taxable Period.</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u w:val="single" w:color="auto"/>
          <w:color w:val="auto"/>
        </w:rPr>
        <w:t>Carrybacks</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277" w:lineRule="auto"/>
        <w:tabs>
          <w:tab w:leader="none" w:pos="1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carryback of any loss, credit, or other Tax Item from any Post-Distribution Taxable Period shall be in accordance with the provisions of the Code and Treasury Regulations (and any applicable state, local or foreign laws).</w:t>
      </w:r>
    </w:p>
    <w:p>
      <w:pPr>
        <w:spacing w:after="0" w:line="170" w:lineRule="exact"/>
        <w:rPr>
          <w:rFonts w:ascii="Arial" w:cs="Arial" w:eastAsia="Arial" w:hAnsi="Arial"/>
          <w:sz w:val="18"/>
          <w:szCs w:val="18"/>
          <w:color w:val="auto"/>
        </w:rPr>
      </w:pPr>
    </w:p>
    <w:p>
      <w:pPr>
        <w:jc w:val="both"/>
        <w:ind w:firstLine="1305"/>
        <w:spacing w:after="0" w:line="290" w:lineRule="auto"/>
        <w:tabs>
          <w:tab w:leader="none" w:pos="1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3.8</w:t>
      </w:r>
      <w:r>
        <w:rPr>
          <w:rFonts w:ascii="Arial" w:cs="Arial" w:eastAsia="Arial" w:hAnsi="Arial"/>
          <w:sz w:val="16"/>
          <w:szCs w:val="16"/>
          <w:color w:val="auto"/>
        </w:rPr>
        <w:t xml:space="preserve">, in the event that any member of the Civeo Group realizes any loss, credit or other Tax Item in a Post-Closing Taxable Period of such member, such member may elect to carry back such Tax Item to a Pre-Closing Taxable Period or a Straddle Period of Oil States. Oil States shall cooperate with Civeo and such member in seeking from the appropriate Taxing Authority any Tax Refund that reasonably would result from such carryback (including by filing an amended Tax Return) at Civeo’s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that Oil States shall not be required to seek such Tax Refund and Civeo and such member shall not be permitted to seek such Tax Refund, in each case to the extent that such Tax Refund would reasonably be expected to materially adversely impact Oil States (including through an increase in Taxes or a loss or reduction of a Tax Item regardless of whether or when such Tax Item otherwise would have been used), in each case without the prior written consent of Oil States. Civeo (or such member) shall be entitled to any Tax Refund realized by any member of the Oil States Group or the Civeo Group resulting from such carryback.</w:t>
      </w:r>
    </w:p>
    <w:p>
      <w:pPr>
        <w:spacing w:after="0" w:line="166" w:lineRule="exact"/>
        <w:rPr>
          <w:rFonts w:ascii="Arial" w:cs="Arial" w:eastAsia="Arial" w:hAnsi="Arial"/>
          <w:sz w:val="16"/>
          <w:szCs w:val="16"/>
          <w:color w:val="auto"/>
        </w:rPr>
      </w:pPr>
    </w:p>
    <w:p>
      <w:pPr>
        <w:jc w:val="both"/>
        <w:ind w:firstLine="1305"/>
        <w:spacing w:after="0" w:line="290" w:lineRule="auto"/>
        <w:tabs>
          <w:tab w:leader="none" w:pos="17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3.7(d)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3.8</w:t>
      </w:r>
      <w:r>
        <w:rPr>
          <w:rFonts w:ascii="Arial" w:cs="Arial" w:eastAsia="Arial" w:hAnsi="Arial"/>
          <w:sz w:val="16"/>
          <w:szCs w:val="16"/>
          <w:color w:val="auto"/>
        </w:rPr>
        <w:t xml:space="preserve">, in the event that any member of the Oil States Group realizes any loss, credit or other Tax Item in a Post-Closing Taxable Period of such member, such member may elect to carry back such loss, credit or other Tax Item to a Pre-Closing Taxable Period or a Straddle Period of such member. Civeo shall cooperate with Oil States and such member in seeking from the appropriate Taxing Authority any Tax Refund that reasonably would result from such carryback (including by filing an amended Tax Return), at Oil States’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that Civeo shall not be required to seek such Tax Refund and Oil States and such member shall not be permitted to seek such Tax Refund, in each case to the extent that such Tax Refund would reasonably be expected to materially adversely impact Civeo (including through an increase in Taxes or a loss or reduction of a Tax Attribute regardless of whether or when such Tax Attribute otherwise would have been used), in each case without the prior written consent of Civeo. Oil States shall be entitled to any Tax Refund realized by any member of the Civeo Group or the Oil States Group resulting from such carryback.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0" w:name="page81"/>
    <w:bookmarkEnd w:id="80"/>
    <w:p>
      <w:pPr>
        <w:jc w:val="both"/>
        <w:ind w:firstLine="1305"/>
        <w:spacing w:after="0" w:line="259" w:lineRule="auto"/>
        <w:tabs>
          <w:tab w:leader="none" w:pos="17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by applicable law, if any Tax Item of Oil States or Civeo would be eligible to be carried back or carried forward to the same Pre-Closing Taxable Period (had such carryback been the only carryback to such taxable period), any Tax Refund resulting therefrom shall be allocated between Oil States and Civeo proportionately based on the relative amounts of the Tax Refunds to which Oil States and Civeo, respectively, would have been entitled</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Refunds</w:t>
      </w:r>
      <w:r>
        <w:rPr>
          <w:rFonts w:ascii="Arial" w:cs="Arial" w:eastAsia="Arial" w:hAnsi="Arial"/>
          <w:sz w:val="17"/>
          <w:szCs w:val="17"/>
          <w:color w:val="auto"/>
        </w:rPr>
        <w:t>. If Civeo or any member of the Civeo Group receives a refund of Taxes (a “</w:t>
      </w:r>
      <w:r>
        <w:rPr>
          <w:rFonts w:ascii="Arial" w:cs="Arial" w:eastAsia="Arial" w:hAnsi="Arial"/>
          <w:sz w:val="17"/>
          <w:szCs w:val="17"/>
          <w:b w:val="1"/>
          <w:bCs w:val="1"/>
          <w:i w:val="1"/>
          <w:iCs w:val="1"/>
          <w:color w:val="auto"/>
        </w:rPr>
        <w:t>Tax Refund</w:t>
      </w:r>
      <w:r>
        <w:rPr>
          <w:rFonts w:ascii="Arial" w:cs="Arial" w:eastAsia="Arial" w:hAnsi="Arial"/>
          <w:sz w:val="17"/>
          <w:szCs w:val="17"/>
          <w:color w:val="auto"/>
        </w:rPr>
        <w:t xml:space="preserve">”) (or any reduction in Tax Liability by means of a credit, offset or otherwise) attributable to Taxes described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 “</w:t>
      </w:r>
      <w:r>
        <w:rPr>
          <w:rFonts w:ascii="Arial" w:cs="Arial" w:eastAsia="Arial" w:hAnsi="Arial"/>
          <w:sz w:val="17"/>
          <w:szCs w:val="17"/>
          <w:b w:val="1"/>
          <w:bCs w:val="1"/>
          <w:i w:val="1"/>
          <w:iCs w:val="1"/>
          <w:color w:val="auto"/>
        </w:rPr>
        <w:t>Oil States Tax Refund</w:t>
      </w:r>
      <w:r>
        <w:rPr>
          <w:rFonts w:ascii="Arial" w:cs="Arial" w:eastAsia="Arial" w:hAnsi="Arial"/>
          <w:sz w:val="17"/>
          <w:szCs w:val="17"/>
          <w:color w:val="auto"/>
        </w:rPr>
        <w:t xml:space="preserve">”), Civeo shall pay to Oil States an amount that is equal to the Oil States Tax Refund, plus any interest paid by the applicable Tax Authority with respect to such Oil States Tax Refund, less any Taxes payable by Civeo or any Civeo Group member in connection with the receipt of such Oil States Tax Refund. If Oil States or any member of the Oil States Group receives a refund of Taxes (or any reduction in Tax Liability by means of a credit, offset or otherwise) attributable to Taxes described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Civeo Tax Refund</w:t>
      </w:r>
      <w:r>
        <w:rPr>
          <w:rFonts w:ascii="Arial" w:cs="Arial" w:eastAsia="Arial" w:hAnsi="Arial"/>
          <w:sz w:val="17"/>
          <w:szCs w:val="17"/>
          <w:color w:val="auto"/>
        </w:rPr>
        <w:t xml:space="preserve">”), Oil States shall pay to Civeo an amount that is equal to the Civeo Tax Refund, plus any interest paid by the applicable Tax Authority with respect to such Civeo Tax Refund, less any Taxes payable by Oil States or any Oil States Group member in connection with the receipt of such Civeo Tax Refund. To the extent the amount of any Tax Refund is reduced by a Tax Authority or a Tax Proceeding, such reduction shall be allocated to the Party to which such Tax Refund was allocated pursuant to this </w:t>
      </w:r>
      <w:r>
        <w:rPr>
          <w:rFonts w:ascii="Arial" w:cs="Arial" w:eastAsia="Arial" w:hAnsi="Arial"/>
          <w:sz w:val="17"/>
          <w:szCs w:val="17"/>
          <w:u w:val="single" w:color="auto"/>
          <w:color w:val="auto"/>
        </w:rPr>
        <w:t>Section 3.8</w:t>
      </w:r>
      <w:r>
        <w:rPr>
          <w:rFonts w:ascii="Arial" w:cs="Arial" w:eastAsia="Arial" w:hAnsi="Arial"/>
          <w:sz w:val="17"/>
          <w:szCs w:val="17"/>
          <w:color w:val="auto"/>
        </w:rPr>
        <w:t>.</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u w:val="single" w:color="auto"/>
          <w:color w:val="auto"/>
        </w:rPr>
        <w:t>Earnings and Profits Allocation</w:t>
      </w:r>
      <w:r>
        <w:rPr>
          <w:rFonts w:ascii="Arial" w:cs="Arial" w:eastAsia="Arial" w:hAnsi="Arial"/>
          <w:sz w:val="18"/>
          <w:szCs w:val="18"/>
          <w:color w:val="auto"/>
        </w:rPr>
        <w:t>. Oil States will advise Civeo in writing of the amount of Oil States earnings and profits allocable to Civeo under Section 312(h) of the Code on or before the first anniversary of the Distribution.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Allocation of Tax Items</w:t>
      </w:r>
      <w:r>
        <w:rPr>
          <w:rFonts w:ascii="Arial" w:cs="Arial" w:eastAsia="Arial" w:hAnsi="Arial"/>
          <w:sz w:val="18"/>
          <w:szCs w:val="18"/>
          <w:color w:val="auto"/>
        </w:rPr>
        <w:t>. All Tax computations for (1) any Pre-Distribution Taxable Periods ending on the Distribution Date and (2) the immediately following taxable period of Civeo or any member of the Civeo Group will be made pursuant to Section 1.1502-76(b) of the Treasury Regulations or of a corresponding provision under the laws of other jurisdictions, as determined by Oil States after consultation with Civeo and subject to Civeo’s right to reasonably object thereto.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FOR TRANSACTION TAXES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Oil States’ Liability for Transaction Taxes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Article III</w:t>
      </w:r>
      <w:r>
        <w:rPr>
          <w:rFonts w:ascii="Arial" w:cs="Arial" w:eastAsia="Arial" w:hAnsi="Arial"/>
          <w:sz w:val="18"/>
          <w:szCs w:val="18"/>
          <w:color w:val="auto"/>
        </w:rPr>
        <w:t>, Oil States and each member of the Oil States Group will be liable for one hundred percent (100%) of any Transaction Taxes that result from one or more of the following:</w:t>
      </w:r>
    </w:p>
    <w:p>
      <w:pPr>
        <w:spacing w:after="0" w:line="166" w:lineRule="exact"/>
        <w:rPr>
          <w:sz w:val="20"/>
          <w:szCs w:val="20"/>
          <w:color w:val="auto"/>
        </w:rPr>
      </w:pPr>
    </w:p>
    <w:p>
      <w:pPr>
        <w:ind w:firstLine="1305"/>
        <w:spacing w:after="0" w:line="277" w:lineRule="auto"/>
        <w:tabs>
          <w:tab w:leader="none" w:pos="17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Oil States (or any member of the Oil States Group) in this Agreement or the Officer’s Certificate; or</w:t>
      </w:r>
    </w:p>
    <w:p>
      <w:pPr>
        <w:spacing w:after="0" w:line="170" w:lineRule="exact"/>
        <w:rPr>
          <w:rFonts w:ascii="Arial" w:cs="Arial" w:eastAsia="Arial" w:hAnsi="Arial"/>
          <w:sz w:val="18"/>
          <w:szCs w:val="18"/>
          <w:color w:val="auto"/>
        </w:rPr>
      </w:pPr>
    </w:p>
    <w:p>
      <w:pPr>
        <w:ind w:right="20" w:firstLine="1305"/>
        <w:spacing w:after="0" w:line="277" w:lineRule="auto"/>
        <w:tabs>
          <w:tab w:leader="none" w:pos="18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act, failure to act, or omission of or by Oil States (or any member of the Oil States Group) inconsistent with any material covenant, representation or warranty in this Agreement, the Officer’s Certificate, the Tax Opinion, or the Private Letter Ruling Request.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left="660"/>
        <w:spacing w:after="0"/>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Civeo’s Liability for Transaction Taxes</w:t>
      </w:r>
      <w:r>
        <w:rPr>
          <w:rFonts w:ascii="Arial" w:cs="Arial" w:eastAsia="Arial" w:hAnsi="Arial"/>
          <w:sz w:val="16"/>
          <w:szCs w:val="16"/>
          <w:color w:val="auto"/>
        </w:rPr>
        <w:t>. Notwithstanding</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III</w:t>
      </w:r>
      <w:r>
        <w:rPr>
          <w:rFonts w:ascii="Arial" w:cs="Arial" w:eastAsia="Arial" w:hAnsi="Arial"/>
          <w:sz w:val="16"/>
          <w:szCs w:val="16"/>
          <w:color w:val="auto"/>
        </w:rPr>
        <w:t>, Civeo and each Civeo subsidiary will be liable for one hundred percent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of any Transaction Taxes that result from one or more of the following:</w:t>
      </w:r>
    </w:p>
    <w:p>
      <w:pPr>
        <w:spacing w:after="0" w:line="211" w:lineRule="exact"/>
        <w:rPr>
          <w:sz w:val="20"/>
          <w:szCs w:val="20"/>
          <w:color w:val="auto"/>
        </w:rPr>
      </w:pPr>
    </w:p>
    <w:p>
      <w:pPr>
        <w:ind w:left="1800" w:hanging="495"/>
        <w:spacing w:after="0"/>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inaccurate written covenant, representation or warranty by Civeo (or any Civeo subsidiary) in this Agreement or the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right="20" w:firstLine="1305"/>
        <w:spacing w:after="0" w:line="277" w:lineRule="auto"/>
        <w:tabs>
          <w:tab w:leader="none" w:pos="17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 failure to act, or omission of or by Civeo (or any Civeo subsidiary) inconsistent with any material covenant, representation or warranty in this Agreement, the Officer’s Certificate, the Tax Opinion, or the Private Letter Ruling Request;</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breach by Civeo (or any Civeo subsidiary) of any covenant contained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action of Civeo taken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that results in the imposition of any Transaction Taxes.</w:t>
      </w:r>
    </w:p>
    <w:p>
      <w:pPr>
        <w:spacing w:after="0" w:line="221"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Shared Liability for Transaction Taxes</w:t>
      </w:r>
      <w:r>
        <w:rPr>
          <w:rFonts w:ascii="Arial" w:cs="Arial" w:eastAsia="Arial" w:hAnsi="Arial"/>
          <w:sz w:val="16"/>
          <w:szCs w:val="16"/>
          <w:color w:val="auto"/>
        </w:rPr>
        <w:t xml:space="preserve">. Transaction Taxes that are not attributable to the fault of either Party, and as such are not allocable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shall be shared between the Parties, with Oil States and Civeo each bearing fifty percent (50%) of such Transaction Taxes.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Tax Materials</w:t>
      </w:r>
      <w:r>
        <w:rPr>
          <w:rFonts w:ascii="Arial" w:cs="Arial" w:eastAsia="Arial" w:hAnsi="Arial"/>
          <w:sz w:val="16"/>
          <w:szCs w:val="16"/>
          <w:color w:val="auto"/>
        </w:rPr>
        <w:t>. Each of Oil States and Civeo hereby represents and warrants or covenants and agrees, as appropriate, that (i) it has examined</w:t>
      </w:r>
    </w:p>
    <w:p>
      <w:pPr>
        <w:spacing w:after="0" w:line="27" w:lineRule="exact"/>
        <w:rPr>
          <w:sz w:val="20"/>
          <w:szCs w:val="20"/>
          <w:color w:val="auto"/>
        </w:rPr>
      </w:pPr>
    </w:p>
    <w:p>
      <w:pPr>
        <w:jc w:val="both"/>
        <w:ind w:firstLine="8"/>
        <w:spacing w:after="0" w:line="253" w:lineRule="auto"/>
        <w:tabs>
          <w:tab w:leader="none" w:pos="2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drafts of the Officer’s Certificate and (B) any other materials delivered by Oil States or Civeo in connection with obtaining the Tax Opinion or submitting the Private Letter Ruling Request ((A) and (B), collectively, the “</w:t>
      </w:r>
      <w:r>
        <w:rPr>
          <w:rFonts w:ascii="Arial" w:cs="Arial" w:eastAsia="Arial" w:hAnsi="Arial"/>
          <w:sz w:val="18"/>
          <w:szCs w:val="18"/>
          <w:b w:val="1"/>
          <w:bCs w:val="1"/>
          <w:i w:val="1"/>
          <w:iCs w:val="1"/>
          <w:color w:val="auto"/>
        </w:rPr>
        <w:t>Draft Tax Materials</w:t>
      </w:r>
      <w:r>
        <w:rPr>
          <w:rFonts w:ascii="Arial" w:cs="Arial" w:eastAsia="Arial" w:hAnsi="Arial"/>
          <w:sz w:val="18"/>
          <w:szCs w:val="18"/>
          <w:color w:val="auto"/>
        </w:rPr>
        <w:t>”), (ii) it will update through and including the Distribution Date the Draft Tax Materials deliverable by Oil States or Civeo (as updated, the “</w:t>
      </w:r>
      <w:r>
        <w:rPr>
          <w:rFonts w:ascii="Arial" w:cs="Arial" w:eastAsia="Arial" w:hAnsi="Arial"/>
          <w:sz w:val="18"/>
          <w:szCs w:val="18"/>
          <w:b w:val="1"/>
          <w:bCs w:val="1"/>
          <w:i w:val="1"/>
          <w:iCs w:val="1"/>
          <w:color w:val="auto"/>
        </w:rPr>
        <w:t>Final Tax Materials</w:t>
      </w:r>
      <w:r>
        <w:rPr>
          <w:rFonts w:ascii="Arial" w:cs="Arial" w:eastAsia="Arial" w:hAnsi="Arial"/>
          <w:sz w:val="18"/>
          <w:szCs w:val="18"/>
          <w:color w:val="auto"/>
        </w:rPr>
        <w:t>”), and (iii) the facts to be presented and the representations to be made in the Final Tax Materials are and will be, from the time presented or made through and including the time of the Distribution, true, correct and complete in all respects.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No Contrary Knowledge</w:t>
      </w:r>
      <w:r>
        <w:rPr>
          <w:rFonts w:ascii="Arial" w:cs="Arial" w:eastAsia="Arial" w:hAnsi="Arial"/>
          <w:sz w:val="18"/>
          <w:szCs w:val="18"/>
          <w:color w:val="auto"/>
        </w:rPr>
        <w:t>. Each of Oil States and Civeo represents that, as of the date of this Agreement, it knows of no fact (after due inquiry) that may cause the Tax treatment of the Contribution or the Distribution to be other than that contemplated in the Separation and Distribution Agreement and the Tax Opinion.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No Contrary Plan</w:t>
      </w:r>
      <w:r>
        <w:rPr>
          <w:rFonts w:ascii="Arial" w:cs="Arial" w:eastAsia="Arial" w:hAnsi="Arial"/>
          <w:sz w:val="18"/>
          <w:szCs w:val="18"/>
          <w:color w:val="auto"/>
        </w:rPr>
        <w:t>. Oil States represents and warrants that neither it, nor any member of the Oil States Group, has any plan or intent to take any action that is inconsistent with any factual statements or representations it makes in the Final Tax Materials. Civeo represents and warrants that neither it, nor any member of the Civeo Group nor any Civeo subsidiary, has any plan or intent to take any action that is inconsistent with any factual statements or representations it makes in the Final Tax Materials.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General</w:t>
      </w:r>
      <w:r>
        <w:rPr>
          <w:rFonts w:ascii="Arial" w:cs="Arial" w:eastAsia="Arial" w:hAnsi="Arial"/>
          <w:sz w:val="16"/>
          <w:szCs w:val="16"/>
          <w:color w:val="auto"/>
        </w:rPr>
        <w:t>. The Parties intend for the Contribution and the Distribution, taken together, to qualify as a reorganization under Sections 355 and 368(a)(1)(D) of the Code pursuant to which gain or loss is not recognized by Oil States or its stockholders (such non-recognition, the “</w:t>
      </w:r>
      <w:r>
        <w:rPr>
          <w:rFonts w:ascii="Arial" w:cs="Arial" w:eastAsia="Arial" w:hAnsi="Arial"/>
          <w:sz w:val="16"/>
          <w:szCs w:val="16"/>
          <w:b w:val="1"/>
          <w:bCs w:val="1"/>
          <w:i w:val="1"/>
          <w:iCs w:val="1"/>
          <w:color w:val="auto"/>
        </w:rPr>
        <w:t>Tax-Free Status</w:t>
      </w:r>
      <w:r>
        <w:rPr>
          <w:rFonts w:ascii="Arial" w:cs="Arial" w:eastAsia="Arial" w:hAnsi="Arial"/>
          <w:sz w:val="16"/>
          <w:szCs w:val="16"/>
          <w:color w:val="auto"/>
        </w:rPr>
        <w:t>”).</w:t>
      </w:r>
    </w:p>
    <w:p>
      <w:pPr>
        <w:spacing w:after="0" w:line="1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Civeo Restricted Actions</w:t>
      </w:r>
      <w:r>
        <w:rPr>
          <w:rFonts w:ascii="Arial" w:cs="Arial" w:eastAsia="Arial" w:hAnsi="Arial"/>
          <w:sz w:val="16"/>
          <w:szCs w:val="16"/>
          <w:color w:val="auto"/>
        </w:rPr>
        <w:t>. During the Restricted Period, Civeo will not, nor will Civeo permit any member of the Civeo Group or any 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Person directly or indirectly controlled by Civeo to:</w:t>
      </w:r>
    </w:p>
    <w:p>
      <w:pPr>
        <w:spacing w:after="0" w:line="211" w:lineRule="exact"/>
        <w:rPr>
          <w:sz w:val="20"/>
          <w:szCs w:val="20"/>
          <w:color w:val="auto"/>
        </w:rPr>
      </w:pPr>
    </w:p>
    <w:p>
      <w:pPr>
        <w:ind w:left="1720" w:hanging="415"/>
        <w:spacing w:after="0"/>
        <w:tabs>
          <w:tab w:leader="none" w:pos="1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liquidate, voluntarily dissolve, merge, convert, or consolidate with or into another entity;</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8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issue any capital stock or other equity interests, options, or rights to acquire capital stock or other equity interests, or any other instruments convertible into or exchangeable for, or that could otherwise result in the issuance of, capital stock or other equity interests (collectively, “</w:t>
      </w:r>
      <w:r>
        <w:rPr>
          <w:rFonts w:ascii="Arial" w:cs="Arial" w:eastAsia="Arial" w:hAnsi="Arial"/>
          <w:sz w:val="16"/>
          <w:szCs w:val="16"/>
          <w:b w:val="1"/>
          <w:bCs w:val="1"/>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Civeo may issue Capital Stock pursuant to the Civeo Corporation 2014 Equity Participation Plan, provided that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issuance meets the requirements of Treasury Regulations Section 1.355-7(d)(8), and (ii) Civeo may issue Capital Stock in connection with an election to be taxed as a real estate investment trust pursuant to Section 856(c) of the Code, but only to the extent that, after applying Section 355(e)(3)(A)(iv), the issuance of Capital Stock would not result in one or more persons acquiring 5% or more of Civeo’s Capital Stock for purposes of Section 355(e);</w:t>
      </w:r>
    </w:p>
    <w:p>
      <w:pPr>
        <w:spacing w:after="0" w:line="164" w:lineRule="exact"/>
        <w:rPr>
          <w:rFonts w:ascii="Arial" w:cs="Arial" w:eastAsia="Arial" w:hAnsi="Arial"/>
          <w:sz w:val="16"/>
          <w:szCs w:val="16"/>
          <w:color w:val="auto"/>
        </w:rPr>
      </w:pPr>
    </w:p>
    <w:p>
      <w:pPr>
        <w:ind w:firstLine="1305"/>
        <w:spacing w:after="0" w:line="277" w:lineRule="auto"/>
        <w:tabs>
          <w:tab w:leader="none" w:pos="1879"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redeem, repurchase, or otherwise acquire any outstanding Capital Stock, other than pursuant to open market stock repurchase programs meeting the requirements of section 4.05(1)(b) of Rev. Proc. 96-30, 1996-1 C.B. 696;</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recapitalize, reclassify, or alter the voting rights of one or more shares of Capital Stock;</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 or decrease the number of members of the board of directors of Civeo or any pre-Distribution Civeo subsidiary, alter in any way the procedures for the nomination, election, and termination of members of the board of directors, or expand, contract, or otherwise modify the rights of the board of directors to govern the affairs of Civeo, in each case, in a manner that differs from the manner set forth in the Certificate of Incorporation and Bylaws of Civeo or any pre-Distribution Civeo subsidiary in effect as of the date of the Contribution if any such modification could reasonably be expected to cause the Distribution to be taxable under Section 355 of the Code;</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717"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sell, exchange, distribute, or otherwise dispose of any pre-Distribution Civeo subsidiary or all or a substantial part of the assets of any of the trades or businesses conducted by Civeo and the pre-Distribution Civeo subsidiaries (other than sales or transfers of inventory in the ordinary course of business) prior to the Distribution, or discontinue or cause to be discontinued the active conduct of any such trade or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ind w:left="1740" w:hanging="435"/>
        <w:spacing w:after="0"/>
        <w:tabs>
          <w:tab w:leader="none" w:pos="1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 into any negotiations, agreements, understandings, or arrangements with respect to any of the foregoing; or</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take, or fail to take, any action that could reasonably be expected to cause the Distribution to fail to obtain the Tax-Free Status (any such action or failure to act, together with any action set forth in Sections 6.2(a)–(g), a “</w:t>
      </w:r>
      <w:r>
        <w:rPr>
          <w:rFonts w:ascii="Arial" w:cs="Arial" w:eastAsia="Arial" w:hAnsi="Arial"/>
          <w:sz w:val="17"/>
          <w:szCs w:val="17"/>
          <w:b w:val="1"/>
          <w:bCs w:val="1"/>
          <w:i w:val="1"/>
          <w:iCs w:val="1"/>
          <w:color w:val="auto"/>
        </w:rPr>
        <w:t>Restricted 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“Restricted Action” does not include any action, or failure to act, that is contemplated by the terms of the Separation and Distribution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Permitted Actions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6.2</w:t>
      </w:r>
      <w:r>
        <w:rPr>
          <w:rFonts w:ascii="Arial" w:cs="Arial" w:eastAsia="Arial" w:hAnsi="Arial"/>
          <w:sz w:val="18"/>
          <w:szCs w:val="18"/>
          <w:color w:val="auto"/>
        </w:rPr>
        <w:t>, Civeo will be permitted to take a Restricted Action if, prior to taking such action, Civeo provides notification to Oil States of its plans with respect to such action, and promptly and completely responds to any inquiries by Oil States with respect to such action and either:</w:t>
      </w:r>
    </w:p>
    <w:p>
      <w:pPr>
        <w:spacing w:after="0" w:line="180" w:lineRule="exact"/>
        <w:rPr>
          <w:sz w:val="20"/>
          <w:szCs w:val="20"/>
          <w:color w:val="auto"/>
        </w:rPr>
      </w:pPr>
    </w:p>
    <w:p>
      <w:pPr>
        <w:jc w:val="both"/>
        <w:ind w:firstLine="1305"/>
        <w:spacing w:after="0" w:line="259"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Civeo obtains a private letter ruling with respect to such Restricted Action from the IRS (a “</w:t>
      </w:r>
      <w:r>
        <w:rPr>
          <w:rFonts w:ascii="Arial" w:cs="Arial" w:eastAsia="Arial" w:hAnsi="Arial"/>
          <w:sz w:val="18"/>
          <w:szCs w:val="18"/>
          <w:b w:val="1"/>
          <w:bCs w:val="1"/>
          <w:i w:val="1"/>
          <w:iCs w:val="1"/>
          <w:color w:val="auto"/>
        </w:rPr>
        <w:t>Ruling</w:t>
      </w:r>
      <w:r>
        <w:rPr>
          <w:rFonts w:ascii="Arial" w:cs="Arial" w:eastAsia="Arial" w:hAnsi="Arial"/>
          <w:sz w:val="18"/>
          <w:szCs w:val="18"/>
          <w:color w:val="auto"/>
        </w:rPr>
        <w:t xml:space="preserve">”) that is reasonably satisfactory to Oil States on the basis of facts and representations consistent with the facts at the time of such action, that such action will not affect the Tax-Free Status as contemplated by the Tax Opinion;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Civeo will not submit any request for such Ruling if Oil States determines in good faith that filing such request might have a materially adverse effect upon Oil States;</w:t>
      </w:r>
    </w:p>
    <w:p>
      <w:pPr>
        <w:spacing w:after="0" w:line="186" w:lineRule="exact"/>
        <w:rPr>
          <w:rFonts w:ascii="Arial" w:cs="Arial" w:eastAsia="Arial" w:hAnsi="Arial"/>
          <w:sz w:val="18"/>
          <w:szCs w:val="18"/>
          <w:color w:val="auto"/>
        </w:rPr>
      </w:pPr>
    </w:p>
    <w:p>
      <w:pPr>
        <w:jc w:val="both"/>
        <w:ind w:right="20" w:firstLine="1305"/>
        <w:spacing w:after="0" w:line="264" w:lineRule="auto"/>
        <w:tabs>
          <w:tab w:leader="none" w:pos="18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Civeo obtains an unqualified opinion reasonably acceptable to Oil States of an independent nationally recognized law firm or accounting firm approved by Oil States (a “</w:t>
      </w:r>
      <w:r>
        <w:rPr>
          <w:rFonts w:ascii="Arial" w:cs="Arial" w:eastAsia="Arial" w:hAnsi="Arial"/>
          <w:sz w:val="18"/>
          <w:szCs w:val="18"/>
          <w:b w:val="1"/>
          <w:bCs w:val="1"/>
          <w:i w:val="1"/>
          <w:iCs w:val="1"/>
          <w:color w:val="auto"/>
        </w:rPr>
        <w:t>Subsequent Opinion</w:t>
      </w:r>
      <w:r>
        <w:rPr>
          <w:rFonts w:ascii="Arial" w:cs="Arial" w:eastAsia="Arial" w:hAnsi="Arial"/>
          <w:sz w:val="18"/>
          <w:szCs w:val="18"/>
          <w:color w:val="auto"/>
        </w:rPr>
        <w:t>”), on the basis of facts and representations consistent with the facts at the time of such action, that such action will not affect the Tax-Free Status as contemplated by the Tax Opinion; or</w:t>
      </w:r>
    </w:p>
    <w:p>
      <w:pPr>
        <w:spacing w:after="0" w:line="181" w:lineRule="exact"/>
        <w:rPr>
          <w:rFonts w:ascii="Arial" w:cs="Arial" w:eastAsia="Arial" w:hAnsi="Arial"/>
          <w:sz w:val="18"/>
          <w:szCs w:val="18"/>
          <w:color w:val="auto"/>
        </w:rPr>
      </w:pPr>
    </w:p>
    <w:p>
      <w:pPr>
        <w:ind w:left="1720" w:hanging="415"/>
        <w:spacing w:after="0"/>
        <w:tabs>
          <w:tab w:leader="none" w:pos="1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Civeo obtains the prior written consent of Oil States.</w:t>
      </w:r>
    </w:p>
    <w:p>
      <w:pPr>
        <w:spacing w:after="0" w:line="225" w:lineRule="exact"/>
        <w:rPr>
          <w:rFonts w:ascii="Arial" w:cs="Arial" w:eastAsia="Arial" w:hAnsi="Arial"/>
          <w:sz w:val="18"/>
          <w:szCs w:val="18"/>
          <w:color w:val="auto"/>
        </w:rPr>
      </w:pPr>
    </w:p>
    <w:p>
      <w:pPr>
        <w:ind w:firstLine="1305"/>
        <w:spacing w:after="0" w:line="277" w:lineRule="auto"/>
        <w:tabs>
          <w:tab w:leader="none" w:pos="17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For the avoidance of doubt, Civeo shall not be relieved of any indemnification obligation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under this Agreement as a result of having satisfied the requirements of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General 355(e) Covenant</w:t>
      </w:r>
      <w:r>
        <w:rPr>
          <w:rFonts w:ascii="Arial" w:cs="Arial" w:eastAsia="Arial" w:hAnsi="Arial"/>
          <w:sz w:val="18"/>
          <w:szCs w:val="18"/>
          <w:color w:val="auto"/>
        </w:rPr>
        <w:t xml:space="preserve">. Without in any manner limiting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above, during the Restricted Period, Civeo will not take, or fail to take, nor will Civeo permit any of its affiliates to take, or fail to take, any action that would result in a more than immaterial possibility that the Distribution would be treated as part of a plan pursuant to which one or more Persons acquire, directly or indirectly, Civeo stock representing a “50-percent or greater interest” within the meaning of Section 355(e)(4) of the Code (any such action or failure to act, a “</w:t>
      </w:r>
      <w:r>
        <w:rPr>
          <w:rFonts w:ascii="Arial" w:cs="Arial" w:eastAsia="Arial" w:hAnsi="Arial"/>
          <w:sz w:val="18"/>
          <w:szCs w:val="18"/>
          <w:b w:val="1"/>
          <w:bCs w:val="1"/>
          <w:i w:val="1"/>
          <w:iCs w:val="1"/>
          <w:color w:val="auto"/>
        </w:rPr>
        <w:t>Potential Disqualifying Action</w:t>
      </w:r>
      <w:r>
        <w:rPr>
          <w:rFonts w:ascii="Arial" w:cs="Arial" w:eastAsia="Arial" w:hAnsi="Arial"/>
          <w:sz w:val="18"/>
          <w:szCs w:val="18"/>
          <w:color w:val="auto"/>
        </w:rPr>
        <w:t>”), unless, prior to taking the Potential Disqualifying Action, (i) Civeo delivers to Oil States a Ruling or a Subsequent Opinion that is reasonably satisfactory to Oil States, in either case, to the effect that the Potential Disqualifying Action will not cause the Tax-Free Status to cease to apply to the Distribution, or (ii) Civeo obtains the prior written consent of Oil States.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Notice of Subsequent Information</w:t>
      </w:r>
      <w:r>
        <w:rPr>
          <w:rFonts w:ascii="Arial" w:cs="Arial" w:eastAsia="Arial" w:hAnsi="Arial"/>
          <w:sz w:val="18"/>
          <w:szCs w:val="18"/>
          <w:color w:val="auto"/>
        </w:rPr>
        <w:t>. Civeo and its affiliates will furnish Oil States with a copy of any document or information that reasonably could be expected to have an impact on the Tax-Free Status of the Distribution.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ind w:left="660"/>
        <w:spacing w:after="0"/>
        <w:tabs>
          <w:tab w:leader="none" w:pos="10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u w:val="single" w:color="auto"/>
          <w:color w:val="auto"/>
        </w:rPr>
        <w:t>Cooperation Related to the Tax-Free Status of the Distribution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8" w:lineRule="auto"/>
        <w:tabs>
          <w:tab w:leader="none" w:pos="183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Oil States will cooperate with Civeo, and will take (or refrain from taking) all such actions as Civeo may reasonably request in connection with obtaining any Ruling or Subsequent Opinion referred to in </w:t>
      </w:r>
      <w:r>
        <w:rPr>
          <w:rFonts w:ascii="Arial" w:cs="Arial" w:eastAsia="Arial" w:hAnsi="Arial"/>
          <w:sz w:val="16"/>
          <w:szCs w:val="16"/>
          <w:u w:val="single" w:color="auto"/>
          <w:color w:val="auto"/>
        </w:rPr>
        <w:t>Sections 6.3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Civeo shall reimburse Oil States for all expenses incurred by Oil States in connection with such cooperation. Such cooperation includes providing any information, representations and/or covenants reasonably requested by Civeo (or their counsel) to enable Civeo to obtain and maintain either a Ruling or a Subsequent Opinion. From and after any date on which Oil States, Civeo, or any of their respective affiliates makes any representation or covenant to counsel for purposes of obtaining a Subsequent Opinion or to the IRS for the purpose of obtaining a Ruling and (with respect solely to any representation given) until the Restricted Period ends (or such later date as may be agreed upon at the time such representation is made), the party making such representation or covenant will take no action that would cause such representation to be untrue or covenant to be breached unless both parties determine, in their reasonable discretion, which discretion shall be exercised in good faith solely to preserve the Tax-Free Status of the Distribution, that such action would not cause the Tax-Free Status to cease to apply to the Distribution. Such representations and warranties, once made in writing, will be considered Tax Materials subject to the provisions of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305"/>
        <w:spacing w:after="0" w:line="264" w:lineRule="auto"/>
        <w:tabs>
          <w:tab w:leader="none" w:pos="18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Without limiting Oil States’ approval rights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if Civeo receives a Subsequent Opinion or Ruling, Civeo shall promptly, and in any event within two (2) business days after the receipt of the Subsequent Opinion or Ruling, provide a copy of such Subsequent Opinion or Ruling to Oil States to the extent Oil States has not otherwise been provided with a copy.</w:t>
      </w:r>
    </w:p>
    <w:p>
      <w:pPr>
        <w:spacing w:after="0" w:line="181" w:lineRule="exact"/>
        <w:rPr>
          <w:rFonts w:ascii="Arial" w:cs="Arial" w:eastAsia="Arial" w:hAnsi="Arial"/>
          <w:sz w:val="18"/>
          <w:szCs w:val="18"/>
          <w:color w:val="auto"/>
        </w:rPr>
      </w:pPr>
    </w:p>
    <w:p>
      <w:pPr>
        <w:ind w:firstLine="1305"/>
        <w:spacing w:after="0" w:line="277" w:lineRule="auto"/>
        <w:tabs>
          <w:tab w:leader="none" w:pos="17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Civeo may not file any request for a Ruling with respect to the Tax-Free Status of the Distribution without the prior written consent of Oil States, which consent may not be unreasonably withheld or delayed.</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Tax Reporting</w:t>
      </w:r>
      <w:r>
        <w:rPr>
          <w:rFonts w:ascii="Arial" w:cs="Arial" w:eastAsia="Arial" w:hAnsi="Arial"/>
          <w:sz w:val="18"/>
          <w:szCs w:val="18"/>
          <w:color w:val="auto"/>
        </w:rPr>
        <w:t>. Each of Oil States and Civeo covenants and agrees that it will not take, and will cause its respective affiliates to refrain from taking, any position on a Tax Return that is inconsistent with the Tax-Free Status of the Contribution and Distribution.</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b w:val="1"/>
          <w:bCs w:val="1"/>
          <w:u w:val="single" w:color="auto"/>
          <w:color w:val="auto"/>
        </w:rPr>
        <w:t>Tax Assistance and Cooperation</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9" w:lineRule="auto"/>
        <w:tabs>
          <w:tab w:leader="none" w:pos="176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Oil States and Civeo will each cooperate fully (and each will cause its respective affiliates to cooperate fully) with all reasonable requests from the other party in connection with the preparation and filing of Tax Returns, claims for refund and Audits concerning issues or other matters covered by this Agreement. The party requesting assistance hereunder shall reimburse the other for reasonable out-of-pocket expenses incurred in providing such assistance. Such cooperation will include, without limitation:</w:t>
      </w:r>
    </w:p>
    <w:p>
      <w:pPr>
        <w:spacing w:after="0" w:line="186" w:lineRule="exact"/>
        <w:rPr>
          <w:rFonts w:ascii="Arial" w:cs="Arial" w:eastAsia="Arial" w:hAnsi="Arial"/>
          <w:sz w:val="18"/>
          <w:szCs w:val="18"/>
          <w:color w:val="auto"/>
        </w:rPr>
      </w:pPr>
    </w:p>
    <w:p>
      <w:pPr>
        <w:jc w:val="both"/>
        <w:ind w:left="660" w:firstLine="1293"/>
        <w:spacing w:after="0" w:line="259" w:lineRule="auto"/>
        <w:tabs>
          <w:tab w:leader="none" w:pos="24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retention until the expiration of the applicable statute of limitations, and extensions, if any, thereof, and the provision upon request, of Tax Returns, books, records (including information regarding ownership and Income Tax basis of property), documentation and other information relating to the Tax Returns, including accompanying schedules, related work papers, and documents relating to rulings or other determinations by Tax Authorities;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5" w:name="page86"/>
    <w:bookmarkEnd w:id="85"/>
    <w:p>
      <w:pPr>
        <w:jc w:val="both"/>
        <w:ind w:left="660" w:firstLine="1293"/>
        <w:spacing w:after="0" w:line="264" w:lineRule="auto"/>
        <w:tabs>
          <w:tab w:leader="none" w:pos="243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execution of any document that may be necessary or reasonably helpful in connection with any Audit, or the filing of a Tax Return or refund claim by a member of the Oil States Group or the Civeo Group, including certification, to the best of a party’s knowledge, of the accuracy and completeness of the information it has supplied; and</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5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use of the party’s best efforts to obtain any documentation that may be necessary or reasonably helpful in connection with any of the foregoing. Each party will make its employees and facilities available on a reasonable and mutually convenient basis in connection with the foregoing matters.</w:t>
      </w:r>
    </w:p>
    <w:p>
      <w:pPr>
        <w:spacing w:after="0" w:line="181" w:lineRule="exact"/>
        <w:rPr>
          <w:rFonts w:ascii="Arial" w:cs="Arial" w:eastAsia="Arial" w:hAnsi="Arial"/>
          <w:sz w:val="18"/>
          <w:szCs w:val="18"/>
          <w:color w:val="auto"/>
        </w:rPr>
      </w:pPr>
    </w:p>
    <w:p>
      <w:pPr>
        <w:ind w:firstLine="1305"/>
        <w:spacing w:after="0" w:line="342" w:lineRule="auto"/>
        <w:tabs>
          <w:tab w:leader="none" w:pos="174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Failure to Perform</w:t>
      </w:r>
      <w:r>
        <w:rPr>
          <w:rFonts w:ascii="Arial" w:cs="Arial" w:eastAsia="Arial" w:hAnsi="Arial"/>
          <w:sz w:val="16"/>
          <w:szCs w:val="16"/>
          <w:color w:val="auto"/>
        </w:rPr>
        <w:t xml:space="preserve">. If a party fails to comply with any of its obligations set forth in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upon reasonable request and notice by the other party, and such failure results in the imposition of additional Taxes, the nonperforming party will be liable in full for such additional Taxes.</w:t>
      </w:r>
    </w:p>
    <w:p>
      <w:pPr>
        <w:spacing w:after="0" w:line="123" w:lineRule="exact"/>
        <w:rPr>
          <w:rFonts w:ascii="Arial" w:cs="Arial" w:eastAsia="Arial" w:hAnsi="Arial"/>
          <w:sz w:val="16"/>
          <w:szCs w:val="16"/>
          <w:color w:val="auto"/>
        </w:rPr>
      </w:pPr>
    </w:p>
    <w:p>
      <w:pPr>
        <w:jc w:val="both"/>
        <w:ind w:firstLine="1305"/>
        <w:spacing w:after="0" w:line="297" w:lineRule="auto"/>
        <w:tabs>
          <w:tab w:leader="none" w:pos="173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Retention of Records</w:t>
      </w:r>
      <w:r>
        <w:rPr>
          <w:rFonts w:ascii="Arial" w:cs="Arial" w:eastAsia="Arial" w:hAnsi="Arial"/>
          <w:sz w:val="16"/>
          <w:szCs w:val="16"/>
          <w:color w:val="auto"/>
        </w:rPr>
        <w:t>. A party intending to dispose of documentation of Oil States (or any Oil States affiliate) or Civeo (or any Civeo affiliate), including without limitation, books, records, Tax Returns and all supporting schedules and information relating thereto prior to the expiration of the statute of limitations (including any waivers or extensions thereof) of the taxable year or years to which such documentation relates, shall provide written notice to the other party describing the documentation to be destroyed or disposed of sixty (60) business days prior to taking such action. The other party may arrange to take delivery of the documentation described in the notice at its expense during the succeeding sixty (60) day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Estimated Tax Payments</w:t>
      </w:r>
      <w:r>
        <w:rPr>
          <w:rFonts w:ascii="Arial" w:cs="Arial" w:eastAsia="Arial" w:hAnsi="Arial"/>
          <w:sz w:val="18"/>
          <w:szCs w:val="18"/>
          <w:color w:val="auto"/>
        </w:rPr>
        <w:t>. As requested by Oil States, Civeo shall promptly, but not later than the date immediately preceding each Estimated Tax Installment Date with respect to a taxable period for which a Consolidated Return or a Combined Return will be filed, pay to Oil States on behalf of the Civeo Group an amount equal to the amount of any estimated Separate Tax Liability that Civeo would have otherwise been required to pay to a Tax Authority on such Estimated Tax Installment Date.</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True-Up Payments</w:t>
      </w:r>
      <w:r>
        <w:rPr>
          <w:rFonts w:ascii="Arial" w:cs="Arial" w:eastAsia="Arial" w:hAnsi="Arial"/>
          <w:sz w:val="16"/>
          <w:szCs w:val="16"/>
          <w:color w:val="auto"/>
        </w:rPr>
        <w:t xml:space="preserve">. Not later than fifteen (15) days following the provision of the Separate Tax Liability computation to Civeo as provided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Civeo will pay to Oil States, or Oil States will pay to Civeo or apply as a credit against future Tax Liability, as appropriate, an amount equal to the difference, if any, between the Civeo Separate Tax Liability and the aggregate amount paid by Civeo with respect to such period under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ind w:firstLine="648"/>
        <w:spacing w:after="0" w:line="274"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Redetermination Amounts</w:t>
      </w:r>
      <w:r>
        <w:rPr>
          <w:rFonts w:ascii="Arial" w:cs="Arial" w:eastAsia="Arial" w:hAnsi="Arial"/>
          <w:sz w:val="17"/>
          <w:szCs w:val="17"/>
          <w:color w:val="auto"/>
        </w:rPr>
        <w:t xml:space="preserve">. In the event of a redetermination of any Tax Item reflected on any Tax Return described in </w:t>
      </w:r>
      <w:r>
        <w:rPr>
          <w:rFonts w:ascii="Arial" w:cs="Arial" w:eastAsia="Arial" w:hAnsi="Arial"/>
          <w:sz w:val="17"/>
          <w:szCs w:val="17"/>
          <w:u w:val="single" w:color="auto"/>
          <w:color w:val="auto"/>
        </w:rPr>
        <w:t>Section 2.1(a)(i)</w:t>
      </w:r>
      <w:r>
        <w:rPr>
          <w:rFonts w:ascii="Arial" w:cs="Arial" w:eastAsia="Arial" w:hAnsi="Arial"/>
          <w:sz w:val="17"/>
          <w:szCs w:val="17"/>
          <w:color w:val="auto"/>
        </w:rPr>
        <w:t xml:space="preserve"> (other than Tax Items relating to Transaction Taxes), as a result of a refund of Taxes paid, a Final Determination or any settlement or compromise with any Tax Authority which may affect Civeo’s Separate Tax Liability, Oil States will prepare a revised pro forma Tax Return for the relevant taxable period reflecting the redetermination of such Tax Item as a result of such refund, Final Determination, settlement, or compromise. Civeo shall pay to Oil States, or Oil States shall pay to Civeo, as appropriate, an amount equal to the difference, if any, between the Separate Tax Liability based on such revised pro forma Tax Return and the Separate Tax Liability for such period as originally computed pursuant to this Agreement.</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Payments Under this Agreement</w:t>
      </w:r>
      <w:r>
        <w:rPr>
          <w:rFonts w:ascii="Arial" w:cs="Arial" w:eastAsia="Arial" w:hAnsi="Arial"/>
          <w:sz w:val="18"/>
          <w:szCs w:val="18"/>
          <w:color w:val="auto"/>
        </w:rPr>
        <w:t>. In the event that one party (the “</w:t>
      </w:r>
      <w:r>
        <w:rPr>
          <w:rFonts w:ascii="Arial" w:cs="Arial" w:eastAsia="Arial" w:hAnsi="Arial"/>
          <w:sz w:val="18"/>
          <w:szCs w:val="18"/>
          <w:b w:val="1"/>
          <w:bCs w:val="1"/>
          <w:i w:val="1"/>
          <w:iCs w:val="1"/>
          <w:color w:val="auto"/>
        </w:rPr>
        <w:t>Owing Party</w:t>
      </w:r>
      <w:r>
        <w:rPr>
          <w:rFonts w:ascii="Arial" w:cs="Arial" w:eastAsia="Arial" w:hAnsi="Arial"/>
          <w:sz w:val="18"/>
          <w:szCs w:val="18"/>
          <w:color w:val="auto"/>
        </w:rPr>
        <w:t>”) is required to make a payment to another party (the “</w:t>
      </w:r>
      <w:r>
        <w:rPr>
          <w:rFonts w:ascii="Arial" w:cs="Arial" w:eastAsia="Arial" w:hAnsi="Arial"/>
          <w:sz w:val="18"/>
          <w:szCs w:val="18"/>
          <w:b w:val="1"/>
          <w:bCs w:val="1"/>
          <w:i w:val="1"/>
          <w:iCs w:val="1"/>
          <w:color w:val="auto"/>
        </w:rPr>
        <w:t>Owed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pursuant to this Agreement, then such payments will be made according to this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66" w:lineRule="exact"/>
        <w:rPr>
          <w:sz w:val="20"/>
          <w:szCs w:val="20"/>
          <w:color w:val="auto"/>
        </w:rPr>
      </w:pPr>
    </w:p>
    <w:p>
      <w:pPr>
        <w:ind w:firstLine="1305"/>
        <w:spacing w:after="0" w:line="277" w:lineRule="auto"/>
        <w:tabs>
          <w:tab w:leader="none" w:pos="174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shall be made to the Owed Party within the time prescribed for payment in this Agreement, or if no period is prescribed, within twenty (20) days after delivery of written notice of payment owing together with a computation of the amounts due.</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178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Treatment of Payments</w:t>
      </w:r>
      <w:r>
        <w:rPr>
          <w:rFonts w:ascii="Arial" w:cs="Arial" w:eastAsia="Arial" w:hAnsi="Arial"/>
          <w:sz w:val="16"/>
          <w:szCs w:val="16"/>
          <w:color w:val="auto"/>
        </w:rPr>
        <w:t>. Unless otherwise required by any Final Determination, the Oil States Group and the Civeo Group agree to treat (i) any payment required by this Agreement as either a contribution by Oil States to Civeo or a distribution by Civeo to Oil States, as the case may be, occurring immediately prior to the Distribution, and (ii) any payment of interest or non-federal Taxes by or to a Tax Authority as taxable or deductible, as the case may be, to the party entitled under this Agreement to retain such payment or required under this Agreement to make such payment.</w:t>
      </w:r>
    </w:p>
    <w:p>
      <w:pPr>
        <w:spacing w:after="0" w:line="154" w:lineRule="exact"/>
        <w:rPr>
          <w:rFonts w:ascii="Arial" w:cs="Arial" w:eastAsia="Arial" w:hAnsi="Arial"/>
          <w:sz w:val="16"/>
          <w:szCs w:val="16"/>
          <w:color w:val="auto"/>
        </w:rPr>
      </w:pPr>
    </w:p>
    <w:p>
      <w:pPr>
        <w:jc w:val="both"/>
        <w:ind w:firstLine="1305"/>
        <w:spacing w:after="0" w:line="276" w:lineRule="auto"/>
        <w:tabs>
          <w:tab w:leader="none" w:pos="184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Payments pursuant to this Agreement that are not made within the period prescribed in this Agreement (the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and that are not otherwise setoff against amounts owed by one party to the other party will bear interest for the period from and including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immediately following the last date of the Payment Period through and including the date of payment at a per annum rate equal to the applicable rate for large corporate underpayments set forth in Section 6621(c) of the Code. Such interest will be payable at the same time as the payment to which it relates and will be calculated on the basis of a year of 365 days and the actual number of days for which due.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AUDITS AND TAX PROCEEDINGS</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Except as otherwise provided in this Agreement, the party responsible for filing a Tax Return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of this Agreement (the “</w:t>
      </w:r>
      <w:r>
        <w:rPr>
          <w:rFonts w:ascii="Arial" w:cs="Arial" w:eastAsia="Arial" w:hAnsi="Arial"/>
          <w:sz w:val="16"/>
          <w:szCs w:val="16"/>
          <w:b w:val="1"/>
          <w:bCs w:val="1"/>
          <w:i w:val="1"/>
          <w:iCs w:val="1"/>
          <w:color w:val="auto"/>
        </w:rPr>
        <w:t>Filing Party</w:t>
      </w:r>
      <w:r>
        <w:rPr>
          <w:rFonts w:ascii="Arial" w:cs="Arial" w:eastAsia="Arial" w:hAnsi="Arial"/>
          <w:sz w:val="16"/>
          <w:szCs w:val="16"/>
          <w:color w:val="auto"/>
        </w:rPr>
        <w:t>”) will have the exclusive right, in its sole discretion, to control, contest, and represent the interests of Oil States, any member of the Oil States Group, Civeo, and any member of the Civeo Group in any Audit relating to such Tax Return and to resolve, settle or agree to any deficiency, claim or adjustment proposed, asserted or assessed in connection with or as a result of any such Audit. The Filing Party’s rights will extend to any matter pertaining to the management and control of an Audit, including execution of waivers, choice of forum, scheduling of conferences and the resolution of any Tax Item. Any costs incurred in handling, settling, or contesting an Audit will be borne by the Filing Party. The Filing Party will not settle any Audit they control concerning a Tax Item of a Pre-Distribution Taxable Period on a basis that would materially increase a Tax Liability of the non-Filing Party with respect to a Pre-Distribution Taxable Period without obtaining such non-Filing Party’s consent, which consent may not be unreasonably withheld.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jc w:val="both"/>
        <w:ind w:firstLine="648"/>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xml:space="preserve">. Within ten (10) days after a party receives a written notice from a Tax Authority of a proposed adjustment to a Tax Item for a Pre-Distribution Taxable Period (irrespective of whether such proposed adjustment would reasonably be expected to give rise to an indemnification obligation or other liability (including a liability for Tax) under this Agreement), such party shall notify the other party of such proposed adjustment, and thereafter shall promptly forward to the other party copies of notices and material communications with any Tax Authority relating to such proposed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provide such notice will not release the Indemnifying Party from any of its obligations under this Agreement except to the extent that such Indemnifying Party is materially prejudiced by such failure.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Control of Transaction Tax Proceedings</w:t>
      </w:r>
      <w:r>
        <w:rPr>
          <w:rFonts w:ascii="Arial" w:cs="Arial" w:eastAsia="Arial" w:hAnsi="Arial"/>
          <w:sz w:val="18"/>
          <w:szCs w:val="18"/>
          <w:color w:val="auto"/>
        </w:rPr>
        <w:t>. Notwithstanding any provision in this Agreement to the contrary, Oil States will control all activities and strategic decisions with respect to any Tax proceedings relating to Transaction Taxes.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Oil States’ Indemnification Obligations</w:t>
      </w:r>
      <w:r>
        <w:rPr>
          <w:rFonts w:ascii="Arial" w:cs="Arial" w:eastAsia="Arial" w:hAnsi="Arial"/>
          <w:sz w:val="17"/>
          <w:szCs w:val="17"/>
          <w:color w:val="auto"/>
        </w:rPr>
        <w:t xml:space="preserve">. Except as otherwise provided in this Agreement, Oil States will indemnify and hold harmless Civeo and any member of the Civeo Group and any Civeo subsidiary for all Tax Liabilities (and any loss, cost, fine, penalty, damage or other expense of any kind, including reasonable attorneys’ fees and costs incurred in connection therewith) attributable to (i) any Taxes of Oil States or any member of the Oil States Consolidated Group imposed upon Civeo by reason of Civeo being severally liable for such Taxes pursuant to Treasury Regulation Section 1.1502-6 or any analogous provision of state or local law; (ii) Oil States’ portion of any Transfer Taxes as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and (iii) any Taxes of Civeo or its affiliates resulting from the breach of any obligation or covenant of Oil States under this Agreement.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Civeo’s Indemnification Obligations</w:t>
      </w:r>
      <w:r>
        <w:rPr>
          <w:rFonts w:ascii="Arial" w:cs="Arial" w:eastAsia="Arial" w:hAnsi="Arial"/>
          <w:sz w:val="17"/>
          <w:szCs w:val="17"/>
          <w:color w:val="auto"/>
        </w:rPr>
        <w:t xml:space="preserve">. Civeo will indemnify and hold harmless each of Oil States and any member of the Oil States Group for all Tax Losses (and any loss, cost, fine, penalty, damage or expense of any kind, including reasonable attorneys’ fees and costs incurred in connection therewith) attributable to (i) any Taxes of Civeo or the Civeo Group or any Civeo subsidiary for any Post-Distribution Taxable Period; (ii) Transaction Taxes, but only to the extent such Transaction Taxes arise from (w) a breach by Civeo or any member of the Civeo Group or any Civeo subsidiary of the representations, warranties, or covenants in this Agreement, (x) a Restricted Action or a Potential Disqualifying Action of Civeo or any member of the Civeo Group or any Civeo subsidiary, including any Restricted Action or Potential Disqualifying Action taken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that results in the imposition of any Transaction Taxes, (y) the inaccuracy of any factual statements or representations made by Civeo in its Officer’s Certificate or in any subsequent officer’s certificate or similar document, or (z) an action taken by Civeo or any member of the Civeo Group or any Civeo subsidiary which causes the Contribution or the Distribution to not have Tax-Free Status; (iii) Civeo’s portion of any Transfer Taxes as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and (iv) any Taxes resulting from the breach of any obligation or covenant of Civeo under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8" w:name="page89"/>
    <w:bookmarkEnd w:id="88"/>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u w:val="single" w:color="auto"/>
          <w:color w:val="auto"/>
        </w:rPr>
        <w:t>Indemnification Mechanics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1" w:lineRule="auto"/>
        <w:tabs>
          <w:tab w:leader="none" w:pos="18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If the Indemnifying Party is required to indemnify the Indemnified Party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Party shall submit its calculations of the amount required to be paid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showing such calculations in reasonably sufficient detail so as to permit the Indemnifying Party to understand the calculations. The Indemnifying Party shall pay to the Indemnified Party, no later than ten (10) business days after the Indemnifying Party receives the Indemnified Party’s calculations, the amount that the Indemnifying Party is required to pay the Indemnified Party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Indemnifying Party will not be required to make the indemnification payment if the Indemnifying Party disagrees with such calculations. In such case, the Indemnifying Party shall notify the Indemnified Party of its disagreement in writing within ten (10) business days of receiving such calculations. Any disagreement with respect to such indemnification payment will be resolved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20" w:firstLine="1305"/>
        <w:spacing w:after="0" w:line="277" w:lineRule="auto"/>
        <w:tabs>
          <w:tab w:leader="none" w:pos="17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Any claim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made no later than sixty (60) days after the expiration of the applicable statute of limitations for assessment of such Tax Liability.</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17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amount of any indemnification payment with respect to any Tax Liability will be reduced by any current Tax Benefits actually realized by the Indemnified Party in respect of such Tax Liability by the end of the taxable year in which the indemnity payment is made. The calculation of such Tax Benefit shall be included in the calculation required to be submitted pursuant to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If any indemnification payment hereunder is determined to be taxable to the Indemnified Party by any Tax Authority, the indemnity payment payable by the Indemnifying Party will be increased as necessary to ensure that, after all required Taxes on the indemnity payment are paid (including Taxes applicable to any increases in the indemnity payment under this </w:t>
      </w:r>
      <w:r>
        <w:rPr>
          <w:rFonts w:ascii="Arial" w:cs="Arial" w:eastAsia="Arial" w:hAnsi="Arial"/>
          <w:sz w:val="17"/>
          <w:szCs w:val="17"/>
          <w:u w:val="single" w:color="auto"/>
          <w:color w:val="auto"/>
        </w:rPr>
        <w:t>Section 9.3(c)</w:t>
      </w:r>
      <w:r>
        <w:rPr>
          <w:rFonts w:ascii="Arial" w:cs="Arial" w:eastAsia="Arial" w:hAnsi="Arial"/>
          <w:sz w:val="17"/>
          <w:szCs w:val="17"/>
          <w:color w:val="auto"/>
        </w:rPr>
        <w:t>), the Indemnified Party receives the amount it would have received if the indemnity payment was not taxable.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Dispute Resolution</w:t>
      </w:r>
      <w:r>
        <w:rPr>
          <w:rFonts w:ascii="Arial" w:cs="Arial" w:eastAsia="Arial" w:hAnsi="Arial"/>
          <w:sz w:val="17"/>
          <w:szCs w:val="17"/>
          <w:color w:val="auto"/>
        </w:rPr>
        <w:t>. In the event that Oil States and Civeo disagree as to the interpretation or application of any provision under this Agreement, the Parties will attempt to resolve in an amicable manner all disagreements and misunderstandings relating to their respective rights and obligations under this Agreement. In furtherance thereof, in the event of a dispute, controversy or claim arising out of or relating to this Agreement, including the validity, interpretation, breach or termination thereof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xml:space="preserve">”), the Tax departments of Oil States and Civeo shall negotiate in good faith to resolve the Dispute. If such good faith negotiations do not resolve the Dispute, then the Dispute shall be resolved pursuant to the arbitration provisions set forth in Article IV of the Separation and Distribution Agreement. Notwithstanding anything to the contrary in this Agreement, the Separation and Distribution Agreement, or any Ancillary Agreement, Oil States and Civeo are the only members of their respective Group entitled to commence a dispute resolution procedure under this Agreement, and each of Oil States and Civeo will cause its respective Group members not to commence any dispute resolution procedure other than through such Party as provided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9" w:name="page90"/>
    <w:bookmarkEnd w:id="89"/>
    <w:p>
      <w:pPr>
        <w:jc w:val="both"/>
        <w:ind w:firstLine="648"/>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Delaware, without reference to its conflicts of laws principles.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Changes in Law</w:t>
      </w:r>
      <w:r>
        <w:rPr>
          <w:rFonts w:ascii="Arial" w:cs="Arial" w:eastAsia="Arial" w:hAnsi="Arial"/>
          <w:sz w:val="18"/>
          <w:szCs w:val="18"/>
          <w:color w:val="auto"/>
        </w:rPr>
        <w:t>. Any reference to a provision of the Code or a law of another jurisdiction will include a reference to any applicable successor provision or law. If, due to any change in applicable law or regulations or their interpretation by any court of law or other governing body having jurisdiction subsequent to the date of this Agreement, performance of any provision of this Agreement or any transaction contemplated thereby becomes impracticable or impossible, the Parties hereto will use their commercially reasonable efforts to find and employ an alternative means to achieve the same or substantially the same result as that contemplated by such provision.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xml:space="preserve">. Each party will hold and cause its directors, officers, employees, advisors and consultants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to it by such other party or its representatives pursuant to this Agreement (except to the extent that such information can be shown to have been (i) in the public domain through no fault of such party, (ii) later lawfully acquired from other sources not known to be under a duty of confidentiality by the party to which it was furnished, or (iii) independently developed), and each party will not release or disclose such information to any other Person, except its directors, officers, employees, auditors, attorneys, financial advisors, bankers and other consultants who will be advised of and agree to be bound by the provisions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Each party will be deemed to have satisfied its obligation to hold confidential information concerning or supplied by the other party if it exercises the same care as it takes to preserve confidentiality for its own similar information.</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Amendment, Modification, or Termination</w:t>
      </w:r>
      <w:r>
        <w:rPr>
          <w:rFonts w:ascii="Arial" w:cs="Arial" w:eastAsia="Arial" w:hAnsi="Arial"/>
          <w:sz w:val="17"/>
          <w:szCs w:val="17"/>
          <w:color w:val="auto"/>
        </w:rPr>
        <w:t xml:space="preserve">. This Agreement may be amended, modified, supplemented or terminated only by a written agreement signed by all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indemnification obligations arising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Agreement for all taxable periods prior to any termination of this Agreement will survive until such indemnification obligations are satisfied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0" w:name="page91"/>
    <w:bookmarkEnd w:id="90"/>
    <w:p>
      <w:pPr>
        <w:ind w:left="660"/>
        <w:spacing w:after="0"/>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required or permitted to be given hereunder shall be in writing and will be deemed given upon</w:t>
      </w:r>
    </w:p>
    <w:p>
      <w:pPr>
        <w:spacing w:after="0" w:line="27" w:lineRule="exact"/>
        <w:rPr>
          <w:sz w:val="20"/>
          <w:szCs w:val="20"/>
          <w:color w:val="auto"/>
        </w:rPr>
      </w:pPr>
    </w:p>
    <w:p>
      <w:pPr>
        <w:jc w:val="both"/>
        <w:ind w:firstLine="8"/>
        <w:spacing w:after="0" w:line="254" w:lineRule="auto"/>
        <w:tabs>
          <w:tab w:leader="none" w:pos="2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transmitter’s confirmation of a receipt of a facsimile transmission (but only if followed by confirmed delivery of a standard overnight courier the following business day or if delivered by hand the following business day), (b) confirmed delivery of a standard overnight courier or when delivered by hand or (c) the expiration of five business days after the date mailed by certified or registered mail (return receipt requested), postage prepaid, to the Parties at the following addresses (or at such other addresses for a party as may be specified by like notice):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Oil States or any member of the Oil States Group,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4630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713-652-0499</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Civeo or any member of the Civeo Group,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to such other address as any party hereto may have furnished to the other Parties by a notice in writing in accordance with this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with the other transaction agreements and other documents referred to herein, constitutes the entire agreement between the Parties hereto with respect to the subject matter hereof and supersedes all previous negotiations, commitments and writings with respect to such subject matter. In the case of any conflict between the terms of this Agreement and the terms of any other transaction agreement, the terms of this Agreement will be applicable.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The Article and Section headings contained in this Agreement are solely for the purpose of reference, are not part of the agreement of the Parties hereto and should not in any way affect the meaning or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b w:val="1"/>
          <w:bCs w:val="1"/>
          <w:u w:val="single" w:color="auto"/>
          <w:color w:val="auto"/>
        </w:rPr>
        <w:t>Successors and Assigns; No Third-Party Beneficiaries</w:t>
      </w:r>
      <w:r>
        <w:rPr>
          <w:rFonts w:ascii="Arial" w:cs="Arial" w:eastAsia="Arial" w:hAnsi="Arial"/>
          <w:sz w:val="18"/>
          <w:szCs w:val="18"/>
          <w:color w:val="auto"/>
        </w:rPr>
        <w:t>. This Agreement and all of the provisions hereof will be binding upon and inure to the benefit of the Parties hereto and their successors and permitted assigns, but neither this Agreement nor any of the rights, interests and obligations hereunder may be assigned by any party hereto without the prior written consent of the other Parties. This Agreement is solely for the benefit of Oil States and Civeo and their respective subsidiaries, affiliates, successors and assigns, and is not intended to confer upon any third Parties any rights or remedies hereunder.</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Authorization</w:t>
      </w:r>
      <w:r>
        <w:rPr>
          <w:rFonts w:ascii="Arial" w:cs="Arial" w:eastAsia="Arial" w:hAnsi="Arial"/>
          <w:sz w:val="17"/>
          <w:szCs w:val="17"/>
          <w:color w:val="auto"/>
        </w:rPr>
        <w:t>. Each of Oil States and Civeo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agreement, instrument or order binding on such party.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1" w:name="page92"/>
    <w:bookmarkEnd w:id="91"/>
    <w:p>
      <w:pPr>
        <w:jc w:val="both"/>
        <w:ind w:firstLine="648"/>
        <w:spacing w:after="0" w:line="266"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of the Parties hereto irrevocably and unconditionally waives all right to trial by jury in any litigation, claim, action, suit, arbitration, inquiry, proceeding, investigation or counterclaim (whether based in contract, tort or otherwise) arising out of or relating to this Agreement or the actions of the Parties hereto in the negotiation, administration, performance and enforcement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Except as provided in this Agreement, no action taken pursuant to this Agreement, including any investigation by or on behalf of any party, will be deemed to constitute a waiver by the party taking such action of compliance with any representations, warranties, covenants or agreements contained in this Agreement. The waiver by any party hereto of a breach of any provision hereunder will not operate or be construed as a waiver of any prior or subsequent breach of the same or any other provision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The Parties hereto agree that irreparable damage would occur in the event any provision of this Agreement was not performed in accordance with the terms hereof and that the Parties will be entitled to specific performance of the terms hereof, in addition to any other remedy at law or in equity.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b w:val="1"/>
          <w:bCs w:val="1"/>
          <w:u w:val="single" w:color="auto"/>
          <w:color w:val="auto"/>
        </w:rPr>
        <w:t>Setoff</w:t>
      </w:r>
      <w:r>
        <w:rPr>
          <w:rFonts w:ascii="Arial" w:cs="Arial" w:eastAsia="Arial" w:hAnsi="Arial"/>
          <w:sz w:val="18"/>
          <w:szCs w:val="18"/>
          <w:color w:val="auto"/>
        </w:rPr>
        <w:t>. All payments to be made by any party under this Agreement may be netted against payments due to such party under this Agreement, but otherwise shall be made without setoff, counterclaim or withholding, all of which are hereby expressly waived.</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will in no way be affected, impaired or invalidated thereby, so long as the economic or legal substance of the transactions contemplated hereby is not affected in any manner adverse to any party.</w:t>
      </w:r>
    </w:p>
    <w:p>
      <w:pPr>
        <w:spacing w:after="0" w:line="15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This Agreement is effective as of the date hereof.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caused this Agreement to be executed by their duly authorized representatives.</w:t>
      </w:r>
    </w:p>
    <w:p>
      <w:pPr>
        <w:sectPr>
          <w:pgSz w:w="11900" w:h="16838" w:orient="portrait"/>
          <w:cols w:equalWidth="0" w:num="1">
            <w:col w:w="9559"/>
          </w:cols>
          <w:pgMar w:left="900" w:top="648" w:right="1440" w:bottom="1440" w:gutter="0" w:footer="0" w:header="0"/>
        </w:sectPr>
      </w:pPr>
    </w:p>
    <w:p>
      <w:pPr>
        <w:spacing w:after="0" w:line="316" w:lineRule="exact"/>
        <w:rPr>
          <w:sz w:val="20"/>
          <w:szCs w:val="20"/>
          <w:color w:val="auto"/>
        </w:rPr>
      </w:pPr>
    </w:p>
    <w:p>
      <w:pPr>
        <w:jc w:val="right"/>
        <w:ind w:right="1519"/>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-130175</wp:posOffset>
            </wp:positionV>
            <wp:extent cx="2512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25126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14605</wp:posOffset>
            </wp:positionV>
            <wp:extent cx="25126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-130175</wp:posOffset>
            </wp:positionV>
            <wp:extent cx="25126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25126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14605</wp:posOffset>
            </wp:positionV>
            <wp:extent cx="25126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TAX SHARING AGREEMENT</w:t>
      </w:r>
    </w:p>
    <w:p>
      <w:pPr>
        <w:sectPr>
          <w:pgSz w:w="11900" w:h="16838" w:orient="portrait"/>
          <w:cols w:equalWidth="0" w:num="1">
            <w:col w:w="9559"/>
          </w:cols>
          <w:pgMar w:left="900" w:top="648" w:right="1440" w:bottom="1440" w:gutter="0" w:footer="0" w:header="0"/>
          <w:type w:val="continuous"/>
        </w:sectPr>
      </w:pPr>
    </w:p>
    <w:bookmarkStart w:id="93" w:name="page94"/>
    <w:bookmarkEnd w:id="93"/>
    <w:p>
      <w:pPr>
        <w:jc w:val="right"/>
        <w:ind w:right="4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MATTERS AGREEMENT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OIL STATES INTERNATIONAL, INC.</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4520"/>
              <w:spacing w:after="0"/>
              <w:rPr>
                <w:sz w:val="20"/>
                <w:szCs w:val="20"/>
                <w:color w:val="auto"/>
              </w:rPr>
            </w:pPr>
            <w:r>
              <w:rPr>
                <w:rFonts w:ascii="Arial" w:cs="Arial" w:eastAsia="Arial" w:hAnsi="Arial"/>
                <w:sz w:val="18"/>
                <w:szCs w:val="18"/>
                <w:b w:val="1"/>
                <w:bCs w:val="1"/>
                <w:color w:val="auto"/>
              </w:rPr>
              <w:t>DATED AS OF</w:t>
            </w:r>
          </w:p>
        </w:tc>
        <w:tc>
          <w:tcPr>
            <w:tcW w:w="5380" w:type="dxa"/>
            <w:vAlign w:val="bottom"/>
          </w:tcPr>
          <w:p>
            <w:pPr>
              <w:jc w:val="right"/>
              <w:ind w:right="4450"/>
              <w:spacing w:after="0"/>
              <w:rPr>
                <w:sz w:val="20"/>
                <w:szCs w:val="20"/>
                <w:color w:val="auto"/>
              </w:rPr>
            </w:pPr>
            <w:r>
              <w:rPr>
                <w:rFonts w:ascii="Arial" w:cs="Arial" w:eastAsia="Arial" w:hAnsi="Arial"/>
                <w:sz w:val="18"/>
                <w:szCs w:val="18"/>
                <w:b w:val="1"/>
                <w:bCs w:val="1"/>
                <w:color w:val="auto"/>
              </w:rPr>
              <w:t>, 2014</w:t>
            </w:r>
          </w:p>
        </w:tc>
      </w:tr>
      <w:tr>
        <w:trPr>
          <w:trHeight w:val="780"/>
        </w:trPr>
        <w:tc>
          <w:tcPr>
            <w:tcW w:w="60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61"/>
        </w:trPr>
        <w:tc>
          <w:tcPr>
            <w:tcW w:w="608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GENERAL PRINCIPLES FOR ALLOCATION OF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Principles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8300" w:type="dxa"/>
            <w:vAlign w:val="bottom"/>
          </w:tcPr>
          <w:p>
            <w:pPr>
              <w:ind w:left="160"/>
              <w:spacing w:after="0"/>
              <w:rPr>
                <w:sz w:val="20"/>
                <w:szCs w:val="20"/>
                <w:color w:val="auto"/>
              </w:rPr>
            </w:pPr>
            <w:r>
              <w:rPr>
                <w:rFonts w:ascii="Arial" w:cs="Arial" w:eastAsia="Arial" w:hAnsi="Arial"/>
                <w:sz w:val="18"/>
                <w:szCs w:val="18"/>
                <w:color w:val="auto"/>
              </w:rPr>
              <w:t>Service Credit</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Administration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8300" w:type="dxa"/>
            <w:vAlign w:val="bottom"/>
          </w:tcPr>
          <w:p>
            <w:pPr>
              <w:ind w:left="160"/>
              <w:spacing w:after="0"/>
              <w:rPr>
                <w:sz w:val="20"/>
                <w:szCs w:val="20"/>
                <w:color w:val="auto"/>
              </w:rPr>
            </w:pPr>
            <w:r>
              <w:rPr>
                <w:rFonts w:ascii="Arial" w:cs="Arial" w:eastAsia="Arial" w:hAnsi="Arial"/>
                <w:sz w:val="18"/>
                <w:szCs w:val="18"/>
                <w:color w:val="auto"/>
              </w:rPr>
              <w:t>Retention of Civeo Group Plans</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Duplication or Acceleration of Benefits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1.6</w:t>
            </w:r>
          </w:p>
        </w:tc>
        <w:tc>
          <w:tcPr>
            <w:tcW w:w="8300" w:type="dxa"/>
            <w:vAlign w:val="bottom"/>
          </w:tcPr>
          <w:p>
            <w:pPr>
              <w:ind w:left="160"/>
              <w:spacing w:after="0"/>
              <w:rPr>
                <w:sz w:val="20"/>
                <w:szCs w:val="20"/>
                <w:color w:val="auto"/>
              </w:rPr>
            </w:pPr>
            <w:r>
              <w:rPr>
                <w:rFonts w:ascii="Arial" w:cs="Arial" w:eastAsia="Arial" w:hAnsi="Arial"/>
                <w:sz w:val="18"/>
                <w:szCs w:val="18"/>
                <w:color w:val="auto"/>
              </w:rPr>
              <w:t>No Expansion of Participation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300" w:type="dxa"/>
            <w:vAlign w:val="bottom"/>
          </w:tcPr>
          <w:p>
            <w:pPr>
              <w:jc w:val="center"/>
              <w:ind w:left="450"/>
              <w:spacing w:after="0" w:line="198" w:lineRule="exact"/>
              <w:rPr>
                <w:sz w:val="20"/>
                <w:szCs w:val="20"/>
                <w:color w:val="auto"/>
              </w:rPr>
            </w:pPr>
            <w:r>
              <w:rPr>
                <w:rFonts w:ascii="Arial" w:cs="Arial" w:eastAsia="Arial" w:hAnsi="Arial"/>
                <w:sz w:val="18"/>
                <w:szCs w:val="18"/>
                <w:b w:val="1"/>
                <w:bCs w:val="1"/>
                <w:color w:val="auto"/>
              </w:rPr>
              <w:t>ARTICLE II</w:t>
            </w: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300" w:type="dxa"/>
            <w:vAlign w:val="bottom"/>
          </w:tcPr>
          <w:p>
            <w:pPr>
              <w:jc w:val="center"/>
              <w:ind w:left="470"/>
              <w:spacing w:after="0"/>
              <w:rPr>
                <w:sz w:val="20"/>
                <w:szCs w:val="20"/>
                <w:color w:val="auto"/>
              </w:rPr>
            </w:pPr>
            <w:r>
              <w:rPr>
                <w:rFonts w:ascii="Arial" w:cs="Arial" w:eastAsia="Arial" w:hAnsi="Arial"/>
                <w:sz w:val="18"/>
                <w:szCs w:val="18"/>
                <w:b w:val="1"/>
                <w:bCs w:val="1"/>
                <w:color w:val="auto"/>
              </w:rPr>
              <w:t>DEFINITIONS</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83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2.2</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Interpretation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300" w:type="dxa"/>
            <w:vAlign w:val="bottom"/>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rPr>
              <w:t>ARTICLE III</w:t>
            </w:r>
          </w:p>
        </w:tc>
        <w:tc>
          <w:tcPr>
            <w:tcW w:w="2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300" w:type="dxa"/>
            <w:vAlign w:val="bottom"/>
            <w:shd w:val="clear" w:color="auto" w:fill="CCEEFF"/>
          </w:tcPr>
          <w:p>
            <w:pPr>
              <w:jc w:val="center"/>
              <w:ind w:left="450"/>
              <w:spacing w:after="0"/>
              <w:rPr>
                <w:sz w:val="20"/>
                <w:szCs w:val="20"/>
                <w:color w:val="auto"/>
              </w:rPr>
            </w:pPr>
            <w:r>
              <w:rPr>
                <w:rFonts w:ascii="Arial" w:cs="Arial" w:eastAsia="Arial" w:hAnsi="Arial"/>
                <w:sz w:val="18"/>
                <w:szCs w:val="18"/>
                <w:b w:val="1"/>
                <w:bCs w:val="1"/>
                <w:color w:val="auto"/>
              </w:rPr>
              <w:t>ASSIGNMENT OF EMPLOYEES</w:t>
            </w:r>
          </w:p>
        </w:tc>
        <w:tc>
          <w:tcPr>
            <w:tcW w:w="2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Active Employees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8300" w:type="dxa"/>
            <w:vAlign w:val="bottom"/>
          </w:tcPr>
          <w:p>
            <w:pPr>
              <w:ind w:left="160"/>
              <w:spacing w:after="0"/>
              <w:rPr>
                <w:sz w:val="20"/>
                <w:szCs w:val="20"/>
                <w:color w:val="auto"/>
              </w:rPr>
            </w:pPr>
            <w:r>
              <w:rPr>
                <w:rFonts w:ascii="Arial" w:cs="Arial" w:eastAsia="Arial" w:hAnsi="Arial"/>
                <w:sz w:val="18"/>
                <w:szCs w:val="18"/>
                <w:color w:val="auto"/>
              </w:rPr>
              <w:t>Former Employees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3.3</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Law Obligations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8300" w:type="dxa"/>
            <w:vAlign w:val="bottom"/>
          </w:tcPr>
          <w:p>
            <w:pPr>
              <w:ind w:left="160"/>
              <w:spacing w:after="0"/>
              <w:rPr>
                <w:sz w:val="20"/>
                <w:szCs w:val="20"/>
                <w:color w:val="auto"/>
              </w:rPr>
            </w:pPr>
            <w:r>
              <w:rPr>
                <w:rFonts w:ascii="Arial" w:cs="Arial" w:eastAsia="Arial" w:hAnsi="Arial"/>
                <w:sz w:val="18"/>
                <w:szCs w:val="18"/>
                <w:color w:val="auto"/>
              </w:rPr>
              <w:t>Employee Records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300" w:type="dxa"/>
            <w:vAlign w:val="bottom"/>
          </w:tcPr>
          <w:p>
            <w:pPr>
              <w:jc w:val="center"/>
              <w:ind w:left="470"/>
              <w:spacing w:after="0" w:line="198" w:lineRule="exact"/>
              <w:rPr>
                <w:sz w:val="20"/>
                <w:szCs w:val="20"/>
                <w:color w:val="auto"/>
              </w:rPr>
            </w:pPr>
            <w:r>
              <w:rPr>
                <w:rFonts w:ascii="Arial" w:cs="Arial" w:eastAsia="Arial" w:hAnsi="Arial"/>
                <w:sz w:val="18"/>
                <w:szCs w:val="18"/>
                <w:b w:val="1"/>
                <w:bCs w:val="1"/>
                <w:color w:val="auto"/>
              </w:rPr>
              <w:t>ARTICLE IV</w:t>
            </w: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30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EQUITY AWARDS</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8300" w:type="dxa"/>
            <w:vAlign w:val="bottom"/>
          </w:tcPr>
          <w:p>
            <w:pPr>
              <w:ind w:left="160"/>
              <w:spacing w:after="0"/>
              <w:rPr>
                <w:sz w:val="20"/>
                <w:szCs w:val="20"/>
                <w:color w:val="auto"/>
              </w:rPr>
            </w:pPr>
            <w:r>
              <w:rPr>
                <w:rFonts w:ascii="Arial" w:cs="Arial" w:eastAsia="Arial" w:hAnsi="Arial"/>
                <w:sz w:val="18"/>
                <w:szCs w:val="18"/>
                <w:color w:val="auto"/>
              </w:rPr>
              <w:t>General Principles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4.2</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83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4.4</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Stock Awards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4.5</w:t>
            </w:r>
          </w:p>
        </w:tc>
        <w:tc>
          <w:tcPr>
            <w:tcW w:w="8300" w:type="dxa"/>
            <w:vAlign w:val="bottom"/>
          </w:tcPr>
          <w:p>
            <w:pPr>
              <w:ind w:left="160"/>
              <w:spacing w:after="0"/>
              <w:rPr>
                <w:sz w:val="20"/>
                <w:szCs w:val="20"/>
                <w:color w:val="auto"/>
              </w:rPr>
            </w:pPr>
            <w:r>
              <w:rPr>
                <w:rFonts w:ascii="Arial" w:cs="Arial" w:eastAsia="Arial" w:hAnsi="Arial"/>
                <w:sz w:val="18"/>
                <w:szCs w:val="18"/>
                <w:color w:val="auto"/>
              </w:rPr>
              <w:t>Phantom Stock Awards</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4.6</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16(b) of the Exchange Act; Code Sections 162(m) and 409A</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4.7</w:t>
            </w:r>
          </w:p>
        </w:tc>
        <w:tc>
          <w:tcPr>
            <w:tcW w:w="8300" w:type="dxa"/>
            <w:vAlign w:val="bottom"/>
          </w:tcPr>
          <w:p>
            <w:pPr>
              <w:ind w:left="160"/>
              <w:spacing w:after="0"/>
              <w:rPr>
                <w:sz w:val="20"/>
                <w:szCs w:val="20"/>
                <w:color w:val="auto"/>
              </w:rPr>
            </w:pPr>
            <w:r>
              <w:rPr>
                <w:rFonts w:ascii="Arial" w:cs="Arial" w:eastAsia="Arial" w:hAnsi="Arial"/>
                <w:sz w:val="18"/>
                <w:szCs w:val="18"/>
                <w:color w:val="auto"/>
              </w:rPr>
              <w:t>Liabilities for Settlement of Awards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4.8</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4.9</w:t>
            </w:r>
          </w:p>
        </w:tc>
        <w:tc>
          <w:tcPr>
            <w:tcW w:w="8300" w:type="dxa"/>
            <w:vAlign w:val="bottom"/>
          </w:tcPr>
          <w:p>
            <w:pPr>
              <w:ind w:left="160"/>
              <w:spacing w:after="0"/>
              <w:rPr>
                <w:sz w:val="20"/>
                <w:szCs w:val="20"/>
                <w:color w:val="auto"/>
              </w:rPr>
            </w:pPr>
            <w:r>
              <w:rPr>
                <w:rFonts w:ascii="Arial" w:cs="Arial" w:eastAsia="Arial" w:hAnsi="Arial"/>
                <w:sz w:val="18"/>
                <w:szCs w:val="18"/>
                <w:color w:val="auto"/>
              </w:rPr>
              <w:t>Tax Reporting and Withholding for Equity-Based Awards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4.10</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Administrator</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8300" w:type="dxa"/>
            <w:vAlign w:val="bottom"/>
          </w:tcPr>
          <w:p>
            <w:pPr>
              <w:ind w:left="160"/>
              <w:spacing w:after="0"/>
              <w:rPr>
                <w:sz w:val="20"/>
                <w:szCs w:val="20"/>
                <w:color w:val="auto"/>
              </w:rPr>
            </w:pPr>
            <w:r>
              <w:rPr>
                <w:rFonts w:ascii="Arial" w:cs="Arial" w:eastAsia="Arial" w:hAnsi="Arial"/>
                <w:sz w:val="18"/>
                <w:szCs w:val="18"/>
                <w:color w:val="auto"/>
              </w:rPr>
              <w:t>Approval of Civeo New Equity Plan</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4.12</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Reporting of Pool of Windfall Tax Benefits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300" w:type="dxa"/>
            <w:vAlign w:val="bottom"/>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rPr>
              <w:t>ARTICLE V</w:t>
            </w:r>
          </w:p>
        </w:tc>
        <w:tc>
          <w:tcPr>
            <w:tcW w:w="2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300" w:type="dxa"/>
            <w:vAlign w:val="bottom"/>
            <w:shd w:val="clear" w:color="auto" w:fill="CCEEFF"/>
          </w:tcPr>
          <w:p>
            <w:pPr>
              <w:jc w:val="center"/>
              <w:ind w:left="470"/>
              <w:spacing w:after="0"/>
              <w:rPr>
                <w:sz w:val="20"/>
                <w:szCs w:val="20"/>
                <w:color w:val="auto"/>
              </w:rPr>
            </w:pPr>
            <w:r>
              <w:rPr>
                <w:rFonts w:ascii="Arial" w:cs="Arial" w:eastAsia="Arial" w:hAnsi="Arial"/>
                <w:sz w:val="18"/>
                <w:szCs w:val="18"/>
                <w:b w:val="1"/>
                <w:bCs w:val="1"/>
                <w:color w:val="auto"/>
              </w:rPr>
              <w:t>BONUS AND SHORT-TERM INCENTIVE PLANS</w:t>
            </w:r>
          </w:p>
        </w:tc>
        <w:tc>
          <w:tcPr>
            <w:tcW w:w="2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Establishment of Civeo Short- Term Incentive Plan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8300" w:type="dxa"/>
            <w:vAlign w:val="bottom"/>
          </w:tcPr>
          <w:p>
            <w:pPr>
              <w:ind w:left="160"/>
              <w:spacing w:after="0"/>
              <w:rPr>
                <w:sz w:val="20"/>
                <w:szCs w:val="20"/>
                <w:color w:val="auto"/>
              </w:rPr>
            </w:pPr>
            <w:r>
              <w:rPr>
                <w:rFonts w:ascii="Arial" w:cs="Arial" w:eastAsia="Arial" w:hAnsi="Arial"/>
                <w:sz w:val="18"/>
                <w:szCs w:val="18"/>
                <w:color w:val="auto"/>
              </w:rPr>
              <w:t>Treatment of OS Short- Term Incentive Plan</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 Liabilities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5" w:name="page96"/>
    <w:bookmarkEnd w:id="95"/>
    <w:p>
      <w:pPr>
        <w:jc w:val="center"/>
        <w:ind w:right="400"/>
        <w:spacing w:after="0"/>
        <w:rPr>
          <w:sz w:val="20"/>
          <w:szCs w:val="20"/>
          <w:color w:val="auto"/>
        </w:rPr>
      </w:pPr>
      <w:r>
        <w:rPr>
          <w:rFonts w:ascii="Arial" w:cs="Arial" w:eastAsia="Arial" w:hAnsi="Arial"/>
          <w:sz w:val="18"/>
          <w:szCs w:val="18"/>
          <w:b w:val="1"/>
          <w:bCs w:val="1"/>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U.S. QUALIFIED DEFINED CONTRIBUTION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Establishment of the Civeo 401(k) Plan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6.2</w:t>
            </w:r>
          </w:p>
        </w:tc>
        <w:tc>
          <w:tcPr>
            <w:tcW w:w="8820" w:type="dxa"/>
            <w:vAlign w:val="bottom"/>
          </w:tcPr>
          <w:p>
            <w:pPr>
              <w:ind w:left="160"/>
              <w:spacing w:after="0"/>
              <w:rPr>
                <w:sz w:val="20"/>
                <w:szCs w:val="20"/>
                <w:color w:val="auto"/>
              </w:rPr>
            </w:pPr>
            <w:r>
              <w:rPr>
                <w:rFonts w:ascii="Arial" w:cs="Arial" w:eastAsia="Arial" w:hAnsi="Arial"/>
                <w:sz w:val="18"/>
                <w:szCs w:val="18"/>
                <w:color w:val="auto"/>
              </w:rPr>
              <w:t>Transfer of OS 401(k) Plan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Continuation of Elections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6.4</w:t>
            </w:r>
          </w:p>
        </w:tc>
        <w:tc>
          <w:tcPr>
            <w:tcW w:w="8820" w:type="dxa"/>
            <w:vAlign w:val="bottom"/>
          </w:tcPr>
          <w:p>
            <w:pPr>
              <w:ind w:left="160"/>
              <w:spacing w:after="0"/>
              <w:rPr>
                <w:sz w:val="20"/>
                <w:szCs w:val="20"/>
                <w:color w:val="auto"/>
              </w:rPr>
            </w:pPr>
            <w:r>
              <w:rPr>
                <w:rFonts w:ascii="Arial" w:cs="Arial" w:eastAsia="Arial" w:hAnsi="Arial"/>
                <w:sz w:val="18"/>
                <w:szCs w:val="18"/>
                <w:color w:val="auto"/>
              </w:rPr>
              <w:t>Tax Qualified Status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ARTICLE VII</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20" w:type="dxa"/>
            <w:vAlign w:val="bottom"/>
          </w:tcPr>
          <w:p>
            <w:pPr>
              <w:jc w:val="center"/>
              <w:spacing w:after="0"/>
              <w:rPr>
                <w:sz w:val="20"/>
                <w:szCs w:val="20"/>
                <w:color w:val="auto"/>
              </w:rPr>
            </w:pPr>
            <w:r>
              <w:rPr>
                <w:rFonts w:ascii="Arial" w:cs="Arial" w:eastAsia="Arial" w:hAnsi="Arial"/>
                <w:sz w:val="18"/>
                <w:szCs w:val="18"/>
                <w:b w:val="1"/>
                <w:bCs w:val="1"/>
                <w:color w:val="auto"/>
              </w:rPr>
              <w:t>NONQUALIFIED DEFERRED COMPENSATION PLANS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7.1</w:t>
            </w:r>
          </w:p>
        </w:tc>
        <w:tc>
          <w:tcPr>
            <w:tcW w:w="8820" w:type="dxa"/>
            <w:vAlign w:val="bottom"/>
          </w:tcPr>
          <w:p>
            <w:pPr>
              <w:ind w:left="160"/>
              <w:spacing w:after="0"/>
              <w:rPr>
                <w:sz w:val="20"/>
                <w:szCs w:val="20"/>
                <w:color w:val="auto"/>
              </w:rPr>
            </w:pPr>
            <w:r>
              <w:rPr>
                <w:rFonts w:ascii="Arial" w:cs="Arial" w:eastAsia="Arial" w:hAnsi="Arial"/>
                <w:sz w:val="18"/>
                <w:szCs w:val="18"/>
                <w:color w:val="auto"/>
              </w:rPr>
              <w:t>Establishment of Civeo Deferred Compensation Plan</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of Liability and Responsibility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7.3</w:t>
            </w:r>
          </w:p>
        </w:tc>
        <w:tc>
          <w:tcPr>
            <w:tcW w:w="8820" w:type="dxa"/>
            <w:vAlign w:val="bottom"/>
          </w:tcPr>
          <w:p>
            <w:pPr>
              <w:ind w:left="160"/>
              <w:spacing w:after="0"/>
              <w:rPr>
                <w:sz w:val="20"/>
                <w:szCs w:val="20"/>
                <w:color w:val="auto"/>
              </w:rPr>
            </w:pPr>
            <w:r>
              <w:rPr>
                <w:rFonts w:ascii="Arial" w:cs="Arial" w:eastAsia="Arial" w:hAnsi="Arial"/>
                <w:sz w:val="18"/>
                <w:szCs w:val="18"/>
                <w:color w:val="auto"/>
              </w:rPr>
              <w:t>Continuation of Deferral Elections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Grantor Trusts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7.5</w:t>
            </w:r>
          </w:p>
        </w:tc>
        <w:tc>
          <w:tcPr>
            <w:tcW w:w="8820" w:type="dxa"/>
            <w:vAlign w:val="bottom"/>
          </w:tcPr>
          <w:p>
            <w:pPr>
              <w:ind w:left="160"/>
              <w:spacing w:after="0"/>
              <w:rPr>
                <w:sz w:val="20"/>
                <w:szCs w:val="20"/>
                <w:color w:val="auto"/>
              </w:rPr>
            </w:pPr>
            <w:r>
              <w:rPr>
                <w:rFonts w:ascii="Arial" w:cs="Arial" w:eastAsia="Arial" w:hAnsi="Arial"/>
                <w:sz w:val="18"/>
                <w:szCs w:val="18"/>
                <w:color w:val="auto"/>
              </w:rPr>
              <w:t>Section 409A</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ARTICLE VIII</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20" w:type="dxa"/>
            <w:vAlign w:val="bottom"/>
          </w:tcPr>
          <w:p>
            <w:pPr>
              <w:jc w:val="center"/>
              <w:spacing w:after="0"/>
              <w:rPr>
                <w:sz w:val="20"/>
                <w:szCs w:val="20"/>
                <w:color w:val="auto"/>
              </w:rPr>
            </w:pPr>
            <w:r>
              <w:rPr>
                <w:rFonts w:ascii="Arial" w:cs="Arial" w:eastAsia="Arial" w:hAnsi="Arial"/>
                <w:sz w:val="18"/>
                <w:szCs w:val="18"/>
                <w:b w:val="1"/>
                <w:bCs w:val="1"/>
                <w:color w:val="auto"/>
                <w:w w:val="99"/>
              </w:rPr>
              <w:t>WELFARE PLANS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8.1</w:t>
            </w:r>
          </w:p>
        </w:tc>
        <w:tc>
          <w:tcPr>
            <w:tcW w:w="8820" w:type="dxa"/>
            <w:vAlign w:val="bottom"/>
          </w:tcPr>
          <w:p>
            <w:pPr>
              <w:ind w:left="160"/>
              <w:spacing w:after="0"/>
              <w:rPr>
                <w:sz w:val="20"/>
                <w:szCs w:val="20"/>
                <w:color w:val="auto"/>
              </w:rPr>
            </w:pPr>
            <w:r>
              <w:rPr>
                <w:rFonts w:ascii="Arial" w:cs="Arial" w:eastAsia="Arial" w:hAnsi="Arial"/>
                <w:sz w:val="18"/>
                <w:szCs w:val="18"/>
                <w:color w:val="auto"/>
              </w:rPr>
              <w:t>Establishment of Civeo Welfare Plans</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Transitional Matters Under Civeo Welfare Plans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8.3</w:t>
            </w:r>
          </w:p>
        </w:tc>
        <w:tc>
          <w:tcPr>
            <w:tcW w:w="8820" w:type="dxa"/>
            <w:vAlign w:val="bottom"/>
          </w:tcPr>
          <w:p>
            <w:pPr>
              <w:ind w:left="160"/>
              <w:spacing w:after="0"/>
              <w:rPr>
                <w:sz w:val="20"/>
                <w:szCs w:val="20"/>
                <w:color w:val="auto"/>
              </w:rPr>
            </w:pPr>
            <w:r>
              <w:rPr>
                <w:rFonts w:ascii="Arial" w:cs="Arial" w:eastAsia="Arial" w:hAnsi="Arial"/>
                <w:sz w:val="18"/>
                <w:szCs w:val="18"/>
                <w:color w:val="auto"/>
              </w:rPr>
              <w:t>Benefit Elections and Designations and Continuity of Benefits</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Contracts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8.5</w:t>
            </w:r>
          </w:p>
        </w:tc>
        <w:tc>
          <w:tcPr>
            <w:tcW w:w="8820" w:type="dxa"/>
            <w:vAlign w:val="bottom"/>
          </w:tcPr>
          <w:p>
            <w:pPr>
              <w:ind w:left="160"/>
              <w:spacing w:after="0"/>
              <w:rPr>
                <w:sz w:val="20"/>
                <w:szCs w:val="20"/>
                <w:color w:val="auto"/>
              </w:rPr>
            </w:pPr>
            <w:r>
              <w:rPr>
                <w:rFonts w:ascii="Arial" w:cs="Arial" w:eastAsia="Arial" w:hAnsi="Arial"/>
                <w:sz w:val="18"/>
                <w:szCs w:val="18"/>
                <w:color w:val="auto"/>
              </w:rPr>
              <w:t>Third-Party Vendors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ARTICLE IX</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20" w:type="dxa"/>
            <w:vAlign w:val="bottom"/>
          </w:tcPr>
          <w:p>
            <w:pPr>
              <w:jc w:val="center"/>
              <w:spacing w:after="0"/>
              <w:rPr>
                <w:sz w:val="20"/>
                <w:szCs w:val="20"/>
                <w:color w:val="auto"/>
              </w:rPr>
            </w:pPr>
            <w:r>
              <w:rPr>
                <w:rFonts w:ascii="Arial" w:cs="Arial" w:eastAsia="Arial" w:hAnsi="Arial"/>
                <w:sz w:val="18"/>
                <w:szCs w:val="18"/>
                <w:b w:val="1"/>
                <w:bCs w:val="1"/>
                <w:color w:val="auto"/>
              </w:rPr>
              <w:t>WORKERS’ COMPENSATION AND UNEMPLOYMENT COMPENSATION</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9.1</w:t>
            </w:r>
          </w:p>
        </w:tc>
        <w:tc>
          <w:tcPr>
            <w:tcW w:w="8820" w:type="dxa"/>
            <w:vAlign w:val="bottom"/>
          </w:tcPr>
          <w:p>
            <w:pPr>
              <w:ind w:left="160"/>
              <w:spacing w:after="0"/>
              <w:rPr>
                <w:sz w:val="20"/>
                <w:szCs w:val="20"/>
                <w:color w:val="auto"/>
              </w:rPr>
            </w:pPr>
            <w:r>
              <w:rPr>
                <w:rFonts w:ascii="Arial" w:cs="Arial" w:eastAsia="Arial" w:hAnsi="Arial"/>
                <w:sz w:val="18"/>
                <w:szCs w:val="18"/>
                <w:color w:val="auto"/>
              </w:rPr>
              <w:t>Civeo Workers’ and Unemployment Compensation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Assignment of Contribution Rights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9.3</w:t>
            </w:r>
          </w:p>
        </w:tc>
        <w:tc>
          <w:tcPr>
            <w:tcW w:w="8820" w:type="dxa"/>
            <w:vAlign w:val="bottom"/>
          </w:tcPr>
          <w:p>
            <w:pPr>
              <w:ind w:left="160"/>
              <w:spacing w:after="0"/>
              <w:rPr>
                <w:sz w:val="20"/>
                <w:szCs w:val="20"/>
                <w:color w:val="auto"/>
              </w:rPr>
            </w:pPr>
            <w:r>
              <w:rPr>
                <w:rFonts w:ascii="Arial" w:cs="Arial" w:eastAsia="Arial" w:hAnsi="Arial"/>
                <w:sz w:val="18"/>
                <w:szCs w:val="18"/>
                <w:color w:val="auto"/>
              </w:rPr>
              <w:t>Collateral</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Cooperation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ARTICLE X</w:t>
            </w: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SEVERANCE</w:t>
            </w:r>
          </w:p>
        </w:tc>
        <w:tc>
          <w:tcPr>
            <w:tcW w:w="1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Establishment of Civeo Severance Program</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8820" w:type="dxa"/>
            <w:vAlign w:val="bottom"/>
          </w:tcPr>
          <w:p>
            <w:pPr>
              <w:ind w:left="160"/>
              <w:spacing w:after="0"/>
              <w:rPr>
                <w:sz w:val="20"/>
                <w:szCs w:val="20"/>
                <w:color w:val="auto"/>
              </w:rPr>
            </w:pPr>
            <w:r>
              <w:rPr>
                <w:rFonts w:ascii="Arial" w:cs="Arial" w:eastAsia="Arial" w:hAnsi="Arial"/>
                <w:sz w:val="18"/>
                <w:szCs w:val="18"/>
                <w:color w:val="auto"/>
              </w:rPr>
              <w:t>Liability for Severance</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ARTICLE XI</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20" w:type="dxa"/>
            <w:vAlign w:val="bottom"/>
          </w:tcPr>
          <w:p>
            <w:pPr>
              <w:ind w:left="2260"/>
              <w:spacing w:after="0"/>
              <w:rPr>
                <w:sz w:val="20"/>
                <w:szCs w:val="20"/>
                <w:color w:val="auto"/>
              </w:rPr>
            </w:pPr>
            <w:r>
              <w:rPr>
                <w:rFonts w:ascii="Arial" w:cs="Arial" w:eastAsia="Arial" w:hAnsi="Arial"/>
                <w:sz w:val="18"/>
                <w:szCs w:val="18"/>
                <w:b w:val="1"/>
                <w:bCs w:val="1"/>
                <w:color w:val="auto"/>
              </w:rPr>
              <w:t>BENEFIT ARRANGEMENTS AND OTHER MATTERS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11.1</w:t>
            </w:r>
          </w:p>
        </w:tc>
        <w:tc>
          <w:tcPr>
            <w:tcW w:w="8820" w:type="dxa"/>
            <w:vAlign w:val="bottom"/>
          </w:tcPr>
          <w:p>
            <w:pPr>
              <w:ind w:left="160"/>
              <w:spacing w:after="0"/>
              <w:rPr>
                <w:sz w:val="20"/>
                <w:szCs w:val="20"/>
                <w:color w:val="auto"/>
              </w:rPr>
            </w:pPr>
            <w:r>
              <w:rPr>
                <w:rFonts w:ascii="Arial" w:cs="Arial" w:eastAsia="Arial" w:hAnsi="Arial"/>
                <w:sz w:val="18"/>
                <w:szCs w:val="18"/>
                <w:color w:val="auto"/>
              </w:rPr>
              <w:t>Termination of Participation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11.2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Time Off</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11.3</w:t>
            </w:r>
          </w:p>
        </w:tc>
        <w:tc>
          <w:tcPr>
            <w:tcW w:w="8820" w:type="dxa"/>
            <w:vAlign w:val="bottom"/>
          </w:tcPr>
          <w:p>
            <w:pPr>
              <w:ind w:left="160"/>
              <w:spacing w:after="0"/>
              <w:rPr>
                <w:sz w:val="20"/>
                <w:szCs w:val="20"/>
                <w:color w:val="auto"/>
              </w:rPr>
            </w:pPr>
            <w:r>
              <w:rPr>
                <w:rFonts w:ascii="Arial" w:cs="Arial" w:eastAsia="Arial" w:hAnsi="Arial"/>
                <w:sz w:val="18"/>
                <w:szCs w:val="18"/>
                <w:color w:val="auto"/>
              </w:rPr>
              <w:t>Leaves of Absence</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11.4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 Bargaining Agreements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11.5</w:t>
            </w:r>
          </w:p>
        </w:tc>
        <w:tc>
          <w:tcPr>
            <w:tcW w:w="8820" w:type="dxa"/>
            <w:vAlign w:val="bottom"/>
          </w:tcPr>
          <w:p>
            <w:pPr>
              <w:ind w:left="160"/>
              <w:spacing w:after="0"/>
              <w:rPr>
                <w:sz w:val="20"/>
                <w:szCs w:val="20"/>
                <w:color w:val="auto"/>
              </w:rPr>
            </w:pPr>
            <w:r>
              <w:rPr>
                <w:rFonts w:ascii="Arial" w:cs="Arial" w:eastAsia="Arial" w:hAnsi="Arial"/>
                <w:sz w:val="18"/>
                <w:szCs w:val="18"/>
                <w:color w:val="auto"/>
              </w:rPr>
              <w:t>Restrictive Covenants in Employment and Other Agreements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8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ARTICLE XII</w:t>
            </w:r>
          </w:p>
        </w:tc>
        <w:tc>
          <w:tcPr>
            <w:tcW w:w="2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880" w:type="dxa"/>
            <w:vAlign w:val="bottom"/>
            <w:shd w:val="clear" w:color="auto" w:fill="CCEEFF"/>
          </w:tcPr>
          <w:p>
            <w:pPr>
              <w:jc w:val="center"/>
              <w:ind w:left="810"/>
              <w:spacing w:after="0"/>
              <w:rPr>
                <w:sz w:val="20"/>
                <w:szCs w:val="20"/>
                <w:color w:val="auto"/>
              </w:rPr>
            </w:pPr>
            <w:r>
              <w:rPr>
                <w:rFonts w:ascii="Arial" w:cs="Arial" w:eastAsia="Arial" w:hAnsi="Arial"/>
                <w:sz w:val="18"/>
                <w:szCs w:val="18"/>
                <w:b w:val="1"/>
                <w:bCs w:val="1"/>
                <w:color w:val="auto"/>
              </w:rPr>
              <w:t>[INTENTIONALLY OMITTED]</w:t>
            </w: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80" w:type="dxa"/>
            <w:vAlign w:val="bottom"/>
            <w:shd w:val="clear" w:color="auto" w:fill="CCEEFF"/>
          </w:tcPr>
          <w:p>
            <w:pPr>
              <w:jc w:val="center"/>
              <w:ind w:left="830"/>
              <w:spacing w:after="0" w:line="198" w:lineRule="exact"/>
              <w:rPr>
                <w:sz w:val="20"/>
                <w:szCs w:val="20"/>
                <w:color w:val="auto"/>
              </w:rPr>
            </w:pPr>
            <w:r>
              <w:rPr>
                <w:rFonts w:ascii="Arial" w:cs="Arial" w:eastAsia="Arial" w:hAnsi="Arial"/>
                <w:sz w:val="18"/>
                <w:szCs w:val="18"/>
                <w:b w:val="1"/>
                <w:bCs w:val="1"/>
                <w:color w:val="auto"/>
              </w:rPr>
              <w:t>ARTICLE XIII</w:t>
            </w:r>
          </w:p>
        </w:tc>
        <w:tc>
          <w:tcPr>
            <w:tcW w:w="2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880" w:type="dxa"/>
            <w:vAlign w:val="bottom"/>
            <w:shd w:val="clear" w:color="auto" w:fill="CCEEFF"/>
          </w:tcPr>
          <w:p>
            <w:pPr>
              <w:jc w:val="center"/>
              <w:ind w:left="810"/>
              <w:spacing w:after="0"/>
              <w:rPr>
                <w:sz w:val="20"/>
                <w:szCs w:val="20"/>
                <w:color w:val="auto"/>
              </w:rPr>
            </w:pPr>
            <w:r>
              <w:rPr>
                <w:rFonts w:ascii="Arial" w:cs="Arial" w:eastAsia="Arial" w:hAnsi="Arial"/>
                <w:sz w:val="18"/>
                <w:szCs w:val="18"/>
                <w:b w:val="1"/>
                <w:bCs w:val="1"/>
                <w:color w:val="auto"/>
              </w:rPr>
              <w:t>GENERAL PROVISIONS</w:t>
            </w:r>
          </w:p>
        </w:tc>
        <w:tc>
          <w:tcPr>
            <w:tcW w:w="2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13.1</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Preservation of Rights to Amend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13.2</w:t>
            </w:r>
          </w:p>
        </w:tc>
        <w:tc>
          <w:tcPr>
            <w:tcW w:w="788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13.3</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Complaints/Litigation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13.4</w:t>
            </w:r>
          </w:p>
        </w:tc>
        <w:tc>
          <w:tcPr>
            <w:tcW w:w="7880" w:type="dxa"/>
            <w:vAlign w:val="bottom"/>
          </w:tcPr>
          <w:p>
            <w:pPr>
              <w:ind w:left="180"/>
              <w:spacing w:after="0"/>
              <w:rPr>
                <w:sz w:val="20"/>
                <w:szCs w:val="20"/>
                <w:color w:val="auto"/>
              </w:rPr>
            </w:pPr>
            <w:r>
              <w:rPr>
                <w:rFonts w:ascii="Arial" w:cs="Arial" w:eastAsia="Arial" w:hAnsi="Arial"/>
                <w:sz w:val="18"/>
                <w:szCs w:val="18"/>
                <w:color w:val="auto"/>
              </w:rPr>
              <w:t>Reimbursement and Indemnification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13.5</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Compliance with Agreement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13.6</w:t>
            </w:r>
          </w:p>
        </w:tc>
        <w:tc>
          <w:tcPr>
            <w:tcW w:w="7880" w:type="dxa"/>
            <w:vAlign w:val="bottom"/>
          </w:tcPr>
          <w:p>
            <w:pPr>
              <w:ind w:left="180"/>
              <w:spacing w:after="0"/>
              <w:rPr>
                <w:sz w:val="20"/>
                <w:szCs w:val="20"/>
                <w:color w:val="auto"/>
              </w:rPr>
            </w:pPr>
            <w:r>
              <w:rPr>
                <w:rFonts w:ascii="Arial" w:cs="Arial" w:eastAsia="Arial" w:hAnsi="Arial"/>
                <w:sz w:val="18"/>
                <w:szCs w:val="18"/>
                <w:color w:val="auto"/>
              </w:rPr>
              <w:t>Fiduciary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13.7</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Entire Agreement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13.8</w:t>
            </w:r>
          </w:p>
        </w:tc>
        <w:tc>
          <w:tcPr>
            <w:tcW w:w="7880" w:type="dxa"/>
            <w:vAlign w:val="bottom"/>
          </w:tcPr>
          <w:p>
            <w:pPr>
              <w:ind w:left="180"/>
              <w:spacing w:after="0"/>
              <w:rPr>
                <w:sz w:val="20"/>
                <w:szCs w:val="20"/>
                <w:color w:val="auto"/>
              </w:rPr>
            </w:pPr>
            <w:r>
              <w:rPr>
                <w:rFonts w:ascii="Arial" w:cs="Arial" w:eastAsia="Arial" w:hAnsi="Arial"/>
                <w:sz w:val="18"/>
                <w:szCs w:val="18"/>
                <w:color w:val="auto"/>
              </w:rPr>
              <w:t>Binding Effect; No Third-Party Beneficiaries; Assignment</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13.9</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 Waivers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13.10</w:t>
            </w:r>
          </w:p>
        </w:tc>
        <w:tc>
          <w:tcPr>
            <w:tcW w:w="7880" w:type="dxa"/>
            <w:vAlign w:val="bottom"/>
          </w:tcPr>
          <w:p>
            <w:pPr>
              <w:ind w:left="180"/>
              <w:spacing w:after="0"/>
              <w:rPr>
                <w:sz w:val="20"/>
                <w:szCs w:val="20"/>
                <w:color w:val="auto"/>
              </w:rPr>
            </w:pPr>
            <w:r>
              <w:rPr>
                <w:rFonts w:ascii="Arial" w:cs="Arial" w:eastAsia="Arial" w:hAnsi="Arial"/>
                <w:sz w:val="18"/>
                <w:szCs w:val="18"/>
                <w:color w:val="auto"/>
              </w:rPr>
              <w:t>Remedies Cumulative</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13.11</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13.12</w:t>
            </w:r>
          </w:p>
        </w:tc>
        <w:tc>
          <w:tcPr>
            <w:tcW w:w="78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13.13</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Severability</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13.14</w:t>
            </w:r>
          </w:p>
        </w:tc>
        <w:tc>
          <w:tcPr>
            <w:tcW w:w="78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13.15</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Dispute Resolution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13.16</w:t>
            </w:r>
          </w:p>
        </w:tc>
        <w:tc>
          <w:tcPr>
            <w:tcW w:w="7880" w:type="dxa"/>
            <w:vAlign w:val="bottom"/>
          </w:tcPr>
          <w:p>
            <w:pPr>
              <w:ind w:left="180"/>
              <w:spacing w:after="0"/>
              <w:rPr>
                <w:sz w:val="20"/>
                <w:szCs w:val="20"/>
                <w:color w:val="auto"/>
              </w:rPr>
            </w:pPr>
            <w:r>
              <w:rPr>
                <w:rFonts w:ascii="Arial" w:cs="Arial" w:eastAsia="Arial" w:hAnsi="Arial"/>
                <w:sz w:val="18"/>
                <w:szCs w:val="18"/>
                <w:color w:val="auto"/>
              </w:rPr>
              <w:t>Performance</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13.17</w:t>
            </w: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13.18</w:t>
            </w:r>
          </w:p>
        </w:tc>
        <w:tc>
          <w:tcPr>
            <w:tcW w:w="7880" w:type="dxa"/>
            <w:vAlign w:val="bottom"/>
          </w:tcPr>
          <w:p>
            <w:pPr>
              <w:ind w:left="180"/>
              <w:spacing w:after="0"/>
              <w:rPr>
                <w:sz w:val="20"/>
                <w:szCs w:val="20"/>
                <w:color w:val="auto"/>
              </w:rPr>
            </w:pPr>
            <w:r>
              <w:rPr>
                <w:rFonts w:ascii="Arial" w:cs="Arial" w:eastAsia="Arial" w:hAnsi="Arial"/>
                <w:sz w:val="18"/>
                <w:szCs w:val="18"/>
                <w:color w:val="auto"/>
              </w:rPr>
              <w:t>Effect if Distribution Does Not Occur</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3.1(a) – Certain Civeo Group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3.1(h) – Collective Bargaining Agreements]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u w:val="single" w:color="auto"/>
          <w:color w:val="auto"/>
        </w:rPr>
        <w:t>EMPLOYEE MATTERS AGREEMENT</w:t>
      </w:r>
    </w:p>
    <w:p>
      <w:pPr>
        <w:spacing w:after="0" w:line="225" w:lineRule="exact"/>
        <w:rPr>
          <w:sz w:val="20"/>
          <w:szCs w:val="20"/>
          <w:color w:val="auto"/>
        </w:rPr>
      </w:pPr>
    </w:p>
    <w:p>
      <w:pPr>
        <w:ind w:left="660"/>
        <w:spacing w:after="0"/>
        <w:tabs>
          <w:tab w:leader="none" w:pos="812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EMPLOYEE MATTERS AGREEMENT</w:t>
      </w:r>
      <w:r>
        <w:rPr>
          <w:rFonts w:ascii="Arial" w:cs="Arial" w:eastAsia="Arial" w:hAnsi="Arial"/>
          <w:sz w:val="18"/>
          <w:szCs w:val="18"/>
          <w:color w:val="auto"/>
        </w:rPr>
        <w:t>, made and entered into effective as of</w:t>
      </w:r>
      <w:r>
        <w:rPr>
          <w:sz w:val="20"/>
          <w:szCs w:val="20"/>
          <w:color w:val="auto"/>
        </w:rPr>
        <w:tab/>
      </w:r>
      <w:r>
        <w:rPr>
          <w:rFonts w:ascii="Arial" w:cs="Arial" w:eastAsia="Arial" w:hAnsi="Arial"/>
          <w:sz w:val="16"/>
          <w:szCs w:val="16"/>
          <w:color w:val="auto"/>
        </w:rPr>
        <w:t>, 2014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 between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Oil States International, Inc., a Delaware corporation (“</w:t>
      </w:r>
      <w:r>
        <w:rPr>
          <w:rFonts w:ascii="Arial" w:cs="Arial" w:eastAsia="Arial" w:hAnsi="Arial"/>
          <w:sz w:val="17"/>
          <w:szCs w:val="17"/>
          <w:b w:val="1"/>
          <w:bCs w:val="1"/>
          <w:i w:val="1"/>
          <w:iCs w:val="1"/>
          <w:color w:val="auto"/>
        </w:rPr>
        <w:t>Oil States</w:t>
      </w:r>
      <w:r>
        <w:rPr>
          <w:rFonts w:ascii="Arial" w:cs="Arial" w:eastAsia="Arial" w:hAnsi="Arial"/>
          <w:sz w:val="17"/>
          <w:szCs w:val="17"/>
          <w:color w:val="auto"/>
        </w:rPr>
        <w:t>”), and Civeo Corporation, a Delaware corporation and wholly owned subsidiary of Oil States (“</w:t>
      </w:r>
      <w:r>
        <w:rPr>
          <w:rFonts w:ascii="Arial" w:cs="Arial" w:eastAsia="Arial" w:hAnsi="Arial"/>
          <w:sz w:val="17"/>
          <w:szCs w:val="17"/>
          <w:b w:val="1"/>
          <w:bCs w:val="1"/>
          <w:i w:val="1"/>
          <w:iCs w:val="1"/>
          <w:color w:val="auto"/>
        </w:rPr>
        <w:t>Civeo</w:t>
      </w:r>
      <w:r>
        <w:rPr>
          <w:rFonts w:ascii="Arial" w:cs="Arial" w:eastAsia="Arial" w:hAnsi="Arial"/>
          <w:sz w:val="17"/>
          <w:szCs w:val="17"/>
          <w:color w:val="auto"/>
        </w:rPr>
        <w:t>”). Oil States and Civeo are also referred to in this Agreement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has determined that it would be appropriate, desirable and in the best interests of Oil States and the shareholders of Oil</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to separate the Civeo business from Oil States;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herewith, Oil States and Civeo will enter into the Separation and Distribution Agreement, dated as of the date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in connection with the separation of the Civeo Business (as defined in the Separation Agreement) from Oil States and the Distribution of Civeo Common Stock to shareholders of Oil States;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Separation Agreement also provides for the execution and delivery of certain other agreements, including this Agreement,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facilitate and provide for the separation of Civeo and its subsidiaries from Oil States; and</w:t>
      </w:r>
    </w:p>
    <w:p>
      <w:pPr>
        <w:jc w:val="both"/>
        <w:ind w:firstLine="648"/>
        <w:spacing w:after="0" w:line="25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ensure an orderly transition under the Separation Agreement, it will be necessary for the Parties to allocate between them</w:t>
      </w:r>
      <w:r>
        <w:rPr>
          <w:rFonts w:ascii="Arial" w:cs="Arial" w:eastAsia="Arial" w:hAnsi="Arial"/>
          <w:sz w:val="18"/>
          <w:szCs w:val="18"/>
          <w:b w:val="1"/>
          <w:bCs w:val="1"/>
          <w:color w:val="auto"/>
        </w:rPr>
        <w:t xml:space="preserve"> </w:t>
      </w:r>
      <w:r>
        <w:rPr>
          <w:rFonts w:ascii="Arial" w:cs="Arial" w:eastAsia="Arial" w:hAnsi="Arial"/>
          <w:sz w:val="18"/>
          <w:szCs w:val="18"/>
          <w:color w:val="auto"/>
        </w:rPr>
        <w:t>Assets, Liabilities and responsibilities with respect to certain employee compensation and benefit plans and programs, and certain other employment-related matters.</w:t>
      </w:r>
    </w:p>
    <w:p>
      <w:pPr>
        <w:spacing w:after="0" w:line="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covenants and agreements set forth below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is hereby acknowledged, and intending to be legally bound hereby, the Parties hereby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PRINCIPLES FOR ALLOCATION OF LIABILITIES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b w:val="1"/>
          <w:bCs w:val="1"/>
          <w:u w:val="single" w:color="auto"/>
          <w:color w:val="auto"/>
        </w:rPr>
        <w:t>General Principles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312" w:lineRule="auto"/>
        <w:tabs>
          <w:tab w:leader="none" w:pos="17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member of the OS Group and each member of the Civeo Group shall take any and all reasonable action as shall be necessary or appropriate so that active participation in the OS 401(k) Plan, OS Welfare Plans and OS Benefit Plans by all Civeo Group Employees shall terminate in connection with the Distribution as and when provided under this Agreement (or, if not specifically provided under this Agreement, as of the Effective Time).</w:t>
      </w:r>
    </w:p>
    <w:p>
      <w:pPr>
        <w:spacing w:after="0" w:line="146" w:lineRule="exact"/>
        <w:rPr>
          <w:rFonts w:ascii="Arial" w:cs="Arial" w:eastAsia="Arial" w:hAnsi="Arial"/>
          <w:sz w:val="16"/>
          <w:szCs w:val="16"/>
          <w:color w:val="auto"/>
        </w:rPr>
      </w:pPr>
    </w:p>
    <w:p>
      <w:pPr>
        <w:jc w:val="both"/>
        <w:ind w:firstLine="1305"/>
        <w:spacing w:after="0" w:line="279" w:lineRule="auto"/>
        <w:tabs>
          <w:tab w:leader="none" w:pos="1768"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Except as otherwise provided in this Agreement, effective as of the Distribution Date, one or more members of the Civeo Group (as determined by Civeo) shall assume or continue the sponsorship of, and no member of the OS Group shall have any further Liability with respect to or under, the following agreements, obligations and Liabilities, and Civeo shall indemnify each member of the OS Group, and the officers, directors, and employees of each member of the OS Group, and hold them harmless with respect to such agreements, obligations or Liabilities: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8" w:name="page99"/>
    <w:bookmarkEnd w:id="98"/>
    <w:p>
      <w:pPr>
        <w:ind w:left="-540" w:firstLine="1293"/>
        <w:spacing w:after="0" w:line="277" w:lineRule="auto"/>
        <w:tabs>
          <w:tab w:leader="none" w:pos="11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individual agreements entered into between any member of the OS Group or Civeo Group and any Civeo Group Employee or Former Civeo Group Employee;</w:t>
      </w:r>
    </w:p>
    <w:p>
      <w:pPr>
        <w:spacing w:after="0" w:line="170" w:lineRule="exact"/>
        <w:rPr>
          <w:rFonts w:ascii="Arial" w:cs="Arial" w:eastAsia="Arial" w:hAnsi="Arial"/>
          <w:sz w:val="18"/>
          <w:szCs w:val="18"/>
          <w:color w:val="auto"/>
        </w:rPr>
      </w:pPr>
    </w:p>
    <w:p>
      <w:pPr>
        <w:ind w:left="-540" w:firstLine="1293"/>
        <w:spacing w:after="0" w:line="277" w:lineRule="auto"/>
        <w:tabs>
          <w:tab w:leader="none" w:pos="12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agreements entered into between any member of the OS Group or Civeo Group and any individual who is a consultant or an independent contractor providing services primarily for the benefit of the Civeo Business;</w:t>
      </w:r>
    </w:p>
    <w:p>
      <w:pPr>
        <w:spacing w:after="0" w:line="170" w:lineRule="exact"/>
        <w:rPr>
          <w:rFonts w:ascii="Arial" w:cs="Arial" w:eastAsia="Arial" w:hAnsi="Arial"/>
          <w:sz w:val="18"/>
          <w:szCs w:val="18"/>
          <w:color w:val="auto"/>
        </w:rPr>
      </w:pPr>
    </w:p>
    <w:p>
      <w:pPr>
        <w:jc w:val="both"/>
        <w:ind w:left="-540" w:firstLine="1293"/>
        <w:spacing w:after="0" w:line="279" w:lineRule="auto"/>
        <w:tabs>
          <w:tab w:leader="none" w:pos="1312"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and all collective bargaining agreements, collective agreements and trade union or works council agreements entered into between any member of the OS Group or Civeo Group and any labor union, trade union, works council or other representative of Civeo Group Employees (it being acknowledged and understood that Civeo shall be responsible for completing all successor employer applications, if any, with respect to agreements and for obtaining all required certifications with respect to such applications);</w:t>
      </w:r>
    </w:p>
    <w:p>
      <w:pPr>
        <w:spacing w:after="0" w:line="171" w:lineRule="exact"/>
        <w:rPr>
          <w:rFonts w:ascii="Arial" w:cs="Arial" w:eastAsia="Arial" w:hAnsi="Arial"/>
          <w:sz w:val="17"/>
          <w:szCs w:val="17"/>
          <w:color w:val="auto"/>
        </w:rPr>
      </w:pPr>
    </w:p>
    <w:p>
      <w:pPr>
        <w:jc w:val="both"/>
        <w:ind w:left="-540" w:firstLine="1293"/>
        <w:spacing w:after="0" w:line="279" w:lineRule="auto"/>
        <w:tabs>
          <w:tab w:leader="none" w:pos="13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and all wages, salaries, incentive compensation (as the same may be modified by this Agreement), commissions, bonuses, payment owed for any vacation or paid time off entitlement and any other compensation or benefits payable to or on behalf of any Civeo Group Employees or Former Civeo Group Employees on or after the Distribution Date, without regard to when such wages, salaries, incentive compensation, commissions, bonuses, or other compensation or benefits are or may have been earned;</w:t>
      </w:r>
    </w:p>
    <w:p>
      <w:pPr>
        <w:spacing w:after="0" w:line="171" w:lineRule="exact"/>
        <w:rPr>
          <w:rFonts w:ascii="Arial" w:cs="Arial" w:eastAsia="Arial" w:hAnsi="Arial"/>
          <w:sz w:val="17"/>
          <w:szCs w:val="17"/>
          <w:color w:val="auto"/>
        </w:rPr>
      </w:pPr>
    </w:p>
    <w:p>
      <w:pPr>
        <w:jc w:val="both"/>
        <w:ind w:left="-540" w:firstLine="1293"/>
        <w:spacing w:after="0" w:line="264" w:lineRule="auto"/>
        <w:tabs>
          <w:tab w:leader="none" w:pos="129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Liabilities and other obligations relating to any Benefit Plan that is sponsored, maintained or contributed to exclusively by a member or members of the Civeo Group or for the benefit of one or more Civeo Group Employees or Former Civeo Group Employees (whether or not such Liabilities relate to Civeo Group Employees or Former Civeo Group Employees);</w:t>
      </w:r>
    </w:p>
    <w:p>
      <w:pPr>
        <w:spacing w:after="0" w:line="181" w:lineRule="exact"/>
        <w:rPr>
          <w:rFonts w:ascii="Arial" w:cs="Arial" w:eastAsia="Arial" w:hAnsi="Arial"/>
          <w:sz w:val="18"/>
          <w:szCs w:val="18"/>
          <w:color w:val="auto"/>
        </w:rPr>
      </w:pPr>
    </w:p>
    <w:p>
      <w:pPr>
        <w:ind w:left="-540" w:firstLine="1293"/>
        <w:spacing w:after="0" w:line="277"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expenses and obligations related to relocation, repatriation, transfers or similar items incurred by or owed to any Civeo Group Employees or Former Civeo Group Employees that have not been paid prior to the Distribution Date;</w:t>
      </w:r>
    </w:p>
    <w:p>
      <w:pPr>
        <w:spacing w:after="0" w:line="170" w:lineRule="exact"/>
        <w:rPr>
          <w:rFonts w:ascii="Arial" w:cs="Arial" w:eastAsia="Arial" w:hAnsi="Arial"/>
          <w:sz w:val="18"/>
          <w:szCs w:val="18"/>
          <w:color w:val="auto"/>
        </w:rPr>
      </w:pPr>
    </w:p>
    <w:p>
      <w:pPr>
        <w:ind w:left="-540" w:right="20" w:firstLine="1293"/>
        <w:spacing w:after="0" w:line="277" w:lineRule="auto"/>
        <w:tabs>
          <w:tab w:leader="none" w:pos="13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and all immigration-related, visa, work application or similar rights, obligations and Liabilities related to any Civeo Group Employees and Former Civeo Group Employees;</w:t>
      </w:r>
    </w:p>
    <w:p>
      <w:pPr>
        <w:spacing w:after="0" w:line="170" w:lineRule="exact"/>
        <w:rPr>
          <w:rFonts w:ascii="Arial" w:cs="Arial" w:eastAsia="Arial" w:hAnsi="Arial"/>
          <w:sz w:val="18"/>
          <w:szCs w:val="18"/>
          <w:color w:val="auto"/>
        </w:rPr>
      </w:pPr>
    </w:p>
    <w:p>
      <w:pPr>
        <w:ind w:left="-540" w:firstLine="1293"/>
        <w:spacing w:after="0" w:line="277" w:lineRule="auto"/>
        <w:tabs>
          <w:tab w:leader="none" w:pos="14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employment Tax, superannuation, employment insurance, pension plan or similar Liabilities incurred or owed with respect to Civeo Group Employees and Former Civeo Group Employees; and</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99" w:name="page100"/>
    <w:bookmarkEnd w:id="99"/>
    <w:p>
      <w:pPr>
        <w:jc w:val="both"/>
        <w:ind w:left="660" w:firstLine="1293"/>
        <w:spacing w:after="0" w:line="273" w:lineRule="auto"/>
        <w:tabs>
          <w:tab w:leader="none" w:pos="244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any and all Liabilities and obligations whatsoever with respect to claims made by, on behalf of, or with respect to any Civeo Group Employees, Former Civeo Group Employees or independent contractors providing services primarily for the Civeo Business including any such Liability or obligation in connection with any labor or employment practice, workers’ compensation claims, labor or employment Laws (including the </w:t>
      </w:r>
      <w:r>
        <w:rPr>
          <w:rFonts w:ascii="Arial" w:cs="Arial" w:eastAsia="Arial" w:hAnsi="Arial"/>
          <w:sz w:val="17"/>
          <w:szCs w:val="17"/>
          <w:i w:val="1"/>
          <w:iCs w:val="1"/>
          <w:color w:val="auto"/>
        </w:rPr>
        <w:t>Alberta Human Rights Act</w:t>
      </w:r>
      <w:r>
        <w:rPr>
          <w:rFonts w:ascii="Arial" w:cs="Arial" w:eastAsia="Arial" w:hAnsi="Arial"/>
          <w:sz w:val="17"/>
          <w:szCs w:val="17"/>
          <w:color w:val="auto"/>
        </w:rPr>
        <w:t>), employee benefit plan, program or policy not otherwise expressly retained or assumed by any member of the OS Group pursuant to this Agreement, including such Liabilities relating to actions or omissions of or by any member of the Civeo Group or any officer, director, employee or agent thereof on or prior to the Distribution Date.</w:t>
      </w:r>
    </w:p>
    <w:p>
      <w:pPr>
        <w:spacing w:after="0" w:line="1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For the avoidance of doubt, if applicable Law requires Civeo or a member of the Civeo Group to enter into new agreements with the applicable Civeo Group Employee in order to assume new, equivalent and contractual obligations that would permit Civeo to satisfy the terms of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above, then Civeo or a member of the Civeo Group shall enter into such agreements.</w:t>
      </w:r>
    </w:p>
    <w:p>
      <w:pPr>
        <w:spacing w:after="0" w:line="181" w:lineRule="exact"/>
        <w:rPr>
          <w:sz w:val="20"/>
          <w:szCs w:val="20"/>
          <w:color w:val="auto"/>
        </w:rPr>
      </w:pPr>
    </w:p>
    <w:p>
      <w:pPr>
        <w:jc w:val="both"/>
        <w:ind w:firstLine="1305"/>
        <w:spacing w:after="0" w:line="273" w:lineRule="auto"/>
        <w:tabs>
          <w:tab w:leader="none" w:pos="1781"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otherwise provided in this Agreement, effective as of the Effective Time, no member of the Civeo Group shall have any further Liability for, and Oil States shall indemnify each member of the Civeo Group, and the officers, directors, and employees of each member of the Civeo Group, and hold them harmless with respect to any and all Liabilities and obligations whatsoever with respect to, claims made by or with respect to any OS Group Employees and Former OS Group Employees in connection with any employee benefit plan, program or policy not otherwise retained or assumed by any member of the Civeo Group pursuant to this Agreement, including such Liabilities relating to actions or omissions of or by any member of the OS Group or any officer, director, employee or agent thereof on, prior to or after the Distribution Date.</w:t>
      </w:r>
    </w:p>
    <w:p>
      <w:pPr>
        <w:spacing w:after="0" w:line="174"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b w:val="1"/>
          <w:bCs w:val="1"/>
          <w:u w:val="single" w:color="auto"/>
          <w:color w:val="auto"/>
        </w:rPr>
        <w:t>Service Credit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762"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 for Eligibility, Vesting, and Benefit Level Purposes</w:t>
      </w:r>
      <w:r>
        <w:rPr>
          <w:rFonts w:ascii="Arial" w:cs="Arial" w:eastAsia="Arial" w:hAnsi="Arial"/>
          <w:sz w:val="18"/>
          <w:szCs w:val="18"/>
          <w:color w:val="auto"/>
        </w:rPr>
        <w:t>. Except as otherwise provided in any other provision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Civeo 401(k) Plan, and the Civeo Welfare Plans shall, and Civeo shall cause each member of the Civeo Group to, recognize each Civeo Group Employee’s full service credit for purposes of eligibility, vesting, determination of level of benefits under any Civeo Benefit Plan for such Civeo Group Employee’s service with any member of the OS Group on or prior to the Effective Time, to the same extent such service would be credited if it had been performed for a member of the Civeo Group.</w:t>
      </w:r>
    </w:p>
    <w:p>
      <w:pPr>
        <w:spacing w:after="0" w:line="188" w:lineRule="exact"/>
        <w:rPr>
          <w:rFonts w:ascii="Arial" w:cs="Arial" w:eastAsia="Arial" w:hAnsi="Arial"/>
          <w:sz w:val="18"/>
          <w:szCs w:val="18"/>
          <w:color w:val="auto"/>
        </w:rPr>
      </w:pPr>
    </w:p>
    <w:p>
      <w:pPr>
        <w:jc w:val="both"/>
        <w:ind w:firstLine="1305"/>
        <w:spacing w:after="0" w:line="279" w:lineRule="auto"/>
        <w:tabs>
          <w:tab w:leader="none" w:pos="1772" w:val="left"/>
        </w:tabs>
        <w:numPr>
          <w:ilvl w:val="0"/>
          <w:numId w:val="79"/>
        </w:numPr>
        <w:rPr>
          <w:rFonts w:ascii="Arial" w:cs="Arial" w:eastAsia="Arial" w:hAnsi="Arial"/>
          <w:sz w:val="17"/>
          <w:szCs w:val="17"/>
          <w:color w:val="auto"/>
        </w:rPr>
      </w:pPr>
      <w:r>
        <w:rPr>
          <w:rFonts w:ascii="Arial" w:cs="Arial" w:eastAsia="Arial" w:hAnsi="Arial"/>
          <w:sz w:val="17"/>
          <w:szCs w:val="17"/>
          <w:i w:val="1"/>
          <w:iCs w:val="1"/>
          <w:u w:val="single" w:color="auto"/>
          <w:color w:val="auto"/>
        </w:rPr>
        <w:t>Evidence of Prior Servic</w:t>
      </w:r>
      <w:r>
        <w:rPr>
          <w:rFonts w:ascii="Arial" w:cs="Arial" w:eastAsia="Arial" w:hAnsi="Arial"/>
          <w:sz w:val="17"/>
          <w:szCs w:val="17"/>
          <w:u w:val="single" w:color="auto"/>
          <w:color w:val="auto"/>
        </w:rPr>
        <w:t>e</w:t>
      </w:r>
      <w:r>
        <w:rPr>
          <w:rFonts w:ascii="Arial" w:cs="Arial" w:eastAsia="Arial" w:hAnsi="Arial"/>
          <w:sz w:val="17"/>
          <w:szCs w:val="17"/>
          <w:color w:val="auto"/>
        </w:rPr>
        <w:t>. Notwithstanding anything to the contrary, but subject to applicable Law, upon reasonable request by one</w:t>
      </w:r>
      <w:r>
        <w:rPr>
          <w:rFonts w:ascii="Arial" w:cs="Arial" w:eastAsia="Arial" w:hAnsi="Arial"/>
          <w:sz w:val="17"/>
          <w:szCs w:val="17"/>
          <w:i w:val="1"/>
          <w:iCs w:val="1"/>
          <w:color w:val="auto"/>
        </w:rPr>
        <w:t xml:space="preserve"> </w:t>
      </w:r>
      <w:r>
        <w:rPr>
          <w:rFonts w:ascii="Arial" w:cs="Arial" w:eastAsia="Arial" w:hAnsi="Arial"/>
          <w:sz w:val="17"/>
          <w:szCs w:val="17"/>
          <w:color w:val="auto"/>
        </w:rPr>
        <w:t>Party to the other Party, the first Party will provide to the other Party copies of any records available to the first Party to document such service, plan participation and membership of such Employees and cooperate with the first Party to resolve any discrepancies or obtain any missing data for purposes of determining benefit eligibility, participation, vesting and determination of level of benefits with respect to any Employee.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ind w:left="66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b w:val="1"/>
          <w:bCs w:val="1"/>
          <w:u w:val="single" w:color="auto"/>
          <w:color w:val="auto"/>
        </w:rPr>
        <w:t>Plan Administration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48"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Transition Services</w:t>
      </w:r>
      <w:r>
        <w:rPr>
          <w:rFonts w:ascii="Arial" w:cs="Arial" w:eastAsia="Arial" w:hAnsi="Arial"/>
          <w:sz w:val="18"/>
          <w:szCs w:val="18"/>
          <w:color w:val="auto"/>
        </w:rPr>
        <w:t>. The Parties acknowledge that the OS Group or the Civeo Group may provide administrative services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other Party’s benefit programs for a transitional period under the terms of the Transition Services Agreement. The Parties agree to enter into a business associate or comparable agreement (if required by HIPAA or other applicable health information or privacy Laws) in connection with such Transition Services Agreement.</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853"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Participant Elections and Beneficiary Designations</w:t>
      </w:r>
      <w:r>
        <w:rPr>
          <w:rFonts w:ascii="Arial" w:cs="Arial" w:eastAsia="Arial" w:hAnsi="Arial"/>
          <w:sz w:val="18"/>
          <w:szCs w:val="18"/>
          <w:color w:val="auto"/>
        </w:rPr>
        <w:t>. All participant elections and beneficiary designations made under any plan</w:t>
      </w:r>
      <w:r>
        <w:rPr>
          <w:rFonts w:ascii="Arial" w:cs="Arial" w:eastAsia="Arial" w:hAnsi="Arial"/>
          <w:sz w:val="18"/>
          <w:szCs w:val="18"/>
          <w:i w:val="1"/>
          <w:iCs w:val="1"/>
          <w:color w:val="auto"/>
        </w:rPr>
        <w:t xml:space="preserve"> </w:t>
      </w:r>
      <w:r>
        <w:rPr>
          <w:rFonts w:ascii="Arial" w:cs="Arial" w:eastAsia="Arial" w:hAnsi="Arial"/>
          <w:sz w:val="18"/>
          <w:szCs w:val="18"/>
          <w:color w:val="auto"/>
        </w:rPr>
        <w:t>sponsored by a member of the OS Group prior to the Effective Time with respect to which Assets or Liabilities are transferred or allocated to plans maintained by a member of the Civeo Group in accordance with this Agreement shall continue in effect under the applicable Civeo Benefit Plan, including deferral, investment and payment form elections, dividend elections, coverage options and levels, beneficiary designations and the rights of alternate payees under qualified domestic relations orders, to the extent allowed by applicable Law.</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Retention of Civeo Group Plans</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any Benefit Plan is sponsored, maintained or contributed to exclusively by a member or members of the Civeo Group or for the benefit of one or more Civeo Group Employees or Former Civeo Group Employees, from and after the Effective Time, Civeo shall cause a member of the Civeo Group to assume or retain sponsorship of such Benefit Plan and all Liabilities relating thereto (whether or not such Liabilities relate to Civeo Group Employees or Former Civeo Group Employees).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b w:val="1"/>
          <w:bCs w:val="1"/>
          <w:u w:val="single" w:color="auto"/>
          <w:color w:val="auto"/>
        </w:rPr>
        <w:t>No Duplication or Acceleration of Benefits</w:t>
      </w:r>
      <w:r>
        <w:rPr>
          <w:rFonts w:ascii="Arial" w:cs="Arial" w:eastAsia="Arial" w:hAnsi="Arial"/>
          <w:sz w:val="18"/>
          <w:szCs w:val="18"/>
          <w:color w:val="auto"/>
        </w:rPr>
        <w:t>. Notwithstanding anything to the contrary in this Agreement, the Separation Agreement or any Transfer Document, no participant in the Civeo 401(k) Plan, Civeo Welfare Plans or other Benefit Plans of Civeo shall receive benefits that duplicate benefits provided by the corresponding OS Benefit Plan or arrangement. Furthermore, unless expressly provided for in this Agreement, the Separation Agreement or in any Transfer Document or required by applicable Law, no provision in this Agreement shall be construed to create any right to accelerate vesting or entitlements to any compensation or Benefit Plan on the part of any OS Group Employee, Former OS Group Employee, OS Director, Civeo Group Employee or Former Civeo Group Employee.</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b w:val="1"/>
          <w:bCs w:val="1"/>
          <w:u w:val="single" w:color="auto"/>
          <w:color w:val="auto"/>
        </w:rPr>
        <w:t>No Expansion of Participation</w:t>
      </w:r>
      <w:r>
        <w:rPr>
          <w:rFonts w:ascii="Arial" w:cs="Arial" w:eastAsia="Arial" w:hAnsi="Arial"/>
          <w:sz w:val="16"/>
          <w:szCs w:val="16"/>
          <w:color w:val="auto"/>
        </w:rPr>
        <w:t>. Unless otherwise expressly provided in this Agreement, as otherwise determined or agreed to by OS and Civeo, as required by applicable Law, or as explicitly set forth in a Civeo Benefit Plan, a Civeo Group Employee shall be entitled to participate in the Civeo Benefit Plans only to the extent that such Employee was entitled to participate in the corresponding OS Benefit Plan or Benefit Plan sponsored by a member of the Civeo Group as in effect immediately prior to the Distribution Date, with it being the intent of the Parties that this Agreement does not result in any expansion of the number of Civeo Group Employees participating or the participation rights therein that they had prior to the Effective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in this Agreement, the following terms have the meanings set forth in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Actual PSU Performance</w:t>
      </w:r>
      <w:r>
        <w:rPr>
          <w:rFonts w:ascii="Arial" w:cs="Arial" w:eastAsia="Arial" w:hAnsi="Arial"/>
          <w:sz w:val="18"/>
          <w:szCs w:val="18"/>
          <w:color w:val="auto"/>
        </w:rPr>
        <w:t>” means, with respect to an OS PSU, the actual attainment of the “Performance Objectives” subject to such OS PSU, as determined by the compensation committee of the board of directors of Oil States based upon performance through the end of the most recently-completed calendar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OS RSA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OS RSA Number</w:t>
      </w:r>
      <w:r>
        <w:rPr>
          <w:rFonts w:ascii="Arial" w:cs="Arial" w:eastAsia="Arial" w:hAnsi="Arial"/>
          <w:sz w:val="18"/>
          <w:szCs w:val="18"/>
          <w:color w:val="auto"/>
        </w:rPr>
        <w:t xml:space="preserve">” means, with respect to an OS Employee RSA, (a) the number of shares with respect to such OS Employee RSA which are outstanding and unvested as of immediately prior to the Effective Time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OS Equity Award Adjustment Ratio, rounded up to the nearest whole share of OS Common Stock, with the resulting product </w:t>
      </w:r>
      <w:r>
        <w:rPr>
          <w:rFonts w:ascii="Arial" w:cs="Arial" w:eastAsia="Arial" w:hAnsi="Arial"/>
          <w:sz w:val="18"/>
          <w:szCs w:val="18"/>
          <w:u w:val="single" w:color="auto"/>
          <w:color w:val="auto"/>
        </w:rPr>
        <w:t>reduced by</w:t>
      </w:r>
      <w:r>
        <w:rPr>
          <w:rFonts w:ascii="Arial" w:cs="Arial" w:eastAsia="Arial" w:hAnsi="Arial"/>
          <w:sz w:val="18"/>
          <w:szCs w:val="18"/>
          <w:color w:val="auto"/>
        </w:rPr>
        <w:t xml:space="preserve"> (c) the number of shares with respect to such OS Employee RSA which are outstanding and unvested as of immediately prior to the Effective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OS Equity Awards</w:t>
      </w:r>
      <w:r>
        <w:rPr>
          <w:rFonts w:ascii="Arial" w:cs="Arial" w:eastAsia="Arial" w:hAnsi="Arial"/>
          <w:sz w:val="16"/>
          <w:szCs w:val="16"/>
          <w:color w:val="auto"/>
        </w:rPr>
        <w:t>” means Adjusted OS DSAs, Adjusted OS Options, Adjusted OS Phantom Stock Awards and Adjusted OS RSAs.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OS Share Number</w:t>
      </w:r>
      <w:r>
        <w:rPr>
          <w:rFonts w:ascii="Arial" w:cs="Arial" w:eastAsia="Arial" w:hAnsi="Arial"/>
          <w:sz w:val="18"/>
          <w:szCs w:val="18"/>
          <w:color w:val="auto"/>
        </w:rPr>
        <w:t xml:space="preserve">” means, with respect to an Adjusted OS Equity Award, (a) the number of shares of OS Common Stock subject to the related OS Equity Award immediately prior to the Effective Time (assuming, in the case of any OS PSU, settlement based upon attainment of Actual PSU Performance)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OS Equity Award Adjustment Ratio, rounded (i) down to the nearest whole share of OS Common Stock in the case of any Adjusted OS Option and (ii) up to the nearest whole share of OS Common Stock in the case of any Adjusted OS Equity Award other than an Adjusted OS Option.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means this Employee Matters Agreement, together with all Schedules hereto and all amendments, modifications, and changes hereto entered into pursuant to </w:t>
      </w:r>
      <w:r>
        <w:rPr>
          <w:rFonts w:ascii="Arial" w:cs="Arial" w:eastAsia="Arial" w:hAnsi="Arial"/>
          <w:sz w:val="18"/>
          <w:szCs w:val="18"/>
          <w:u w:val="single" w:color="auto"/>
          <w:color w:val="auto"/>
        </w:rPr>
        <w:t>Section 13.9</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ASC 718</w:t>
      </w:r>
      <w:r>
        <w:rPr>
          <w:rFonts w:ascii="Arial" w:cs="Arial" w:eastAsia="Arial" w:hAnsi="Arial"/>
          <w:sz w:val="17"/>
          <w:szCs w:val="17"/>
          <w:color w:val="auto"/>
        </w:rPr>
        <w:t xml:space="preserve">” means Accounting Standards Codification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or any successor accounting standard.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 has the meaning set forth in the Separation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Management 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any contract, agreement, policy, practice, program, plan, trust, commitment or arrangement (whether written or unwritten) providing for benefits, perquisites or compensation of any nature to any Employee, or to any family member, dependent, or beneficiary of any such Employee, including pension plans, thrift plans, supplemental pension plans and welfare plans, and contracts, agreements, policies, practices, programs, plans, trusts, commitments and arrangements providing for terms of employment, fringe benefits, severance benefits, change in control protections or benefits, travel and accident, life, disability and accident insurance, tuition reimbursement, travel reimbursement, vacation, sick, personal or bereavement days, leaves of absences and holidays.</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any day other than a Saturday or Sunday or a day in which banking institutions in Houston, Texas are authorized or requested by law to close.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has the meaning set forth in the preamble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Adjusted Exercise Price</w:t>
      </w:r>
      <w:r>
        <w:rPr>
          <w:rFonts w:ascii="Arial" w:cs="Arial" w:eastAsia="Arial" w:hAnsi="Arial"/>
          <w:sz w:val="18"/>
          <w:szCs w:val="18"/>
          <w:color w:val="auto"/>
        </w:rPr>
        <w:t>” shall mean with respect to a Civeo Option, an amount equal to (A) the exercise price of the relevant OS Option as of the Effective Time divided by (B) the Civeo Equity Award Conversion Ratio, rounded up to the nearest whole cent.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Benefit Plan</w:t>
      </w:r>
      <w:r>
        <w:rPr>
          <w:rFonts w:ascii="Arial" w:cs="Arial" w:eastAsia="Arial" w:hAnsi="Arial"/>
          <w:sz w:val="16"/>
          <w:szCs w:val="16"/>
          <w:color w:val="auto"/>
        </w:rPr>
        <w:t>” means any Benefit Plan sponsored or maintained by a member of the Civeo Group immediately following the Effective Time.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Business</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CIC Severance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Common Stock</w:t>
      </w:r>
      <w:r>
        <w:rPr>
          <w:rFonts w:ascii="Arial" w:cs="Arial" w:eastAsia="Arial" w:hAnsi="Arial"/>
          <w:sz w:val="18"/>
          <w:szCs w:val="18"/>
          <w:color w:val="auto"/>
        </w:rPr>
        <w:t>” means the common stock, par value $0.01 per share, of Civeo.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Deferred Compensation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Deferred Compensation Beneficiary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Director</w:t>
      </w:r>
      <w:r>
        <w:rPr>
          <w:rFonts w:ascii="Arial" w:cs="Arial" w:eastAsia="Arial" w:hAnsi="Arial"/>
          <w:sz w:val="18"/>
          <w:szCs w:val="18"/>
          <w:color w:val="auto"/>
        </w:rPr>
        <w:t>” means any individual who is a non-employee member of the board of directors of Civeo immediately after the Effective Time who is not an OS Director.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4.4(a)(ii)</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DSA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Options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PSU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4.4(b)(ii)</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Employee RSA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Entity</w:t>
      </w:r>
      <w:r>
        <w:rPr>
          <w:rFonts w:ascii="Arial" w:cs="Arial" w:eastAsia="Arial" w:hAnsi="Arial"/>
          <w:sz w:val="18"/>
          <w:szCs w:val="18"/>
          <w:color w:val="auto"/>
        </w:rPr>
        <w:t>” means any member of the Civeo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Equity Awards</w:t>
      </w:r>
      <w:r>
        <w:rPr>
          <w:rFonts w:ascii="Arial" w:cs="Arial" w:eastAsia="Arial" w:hAnsi="Arial"/>
          <w:sz w:val="18"/>
          <w:szCs w:val="18"/>
          <w:color w:val="auto"/>
        </w:rPr>
        <w:t>” means Civeo DSAs, Civeo Options, Civeo Phantom Stock Awards and Civeo RSAs.</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Equity Award Conversion Ratio</w:t>
      </w:r>
      <w:r>
        <w:rPr>
          <w:rFonts w:ascii="Arial" w:cs="Arial" w:eastAsia="Arial" w:hAnsi="Arial"/>
          <w:sz w:val="18"/>
          <w:szCs w:val="18"/>
          <w:color w:val="auto"/>
        </w:rPr>
        <w:t>” means the quotient obtained by dividing the OS Pre-Distribution Value by the Civeo Stock Value.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FSA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Grantor Trust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Group</w:t>
      </w:r>
      <w:r>
        <w:rPr>
          <w:rFonts w:ascii="Arial" w:cs="Arial" w:eastAsia="Arial" w:hAnsi="Arial"/>
          <w:sz w:val="18"/>
          <w:szCs w:val="18"/>
          <w:color w:val="auto"/>
        </w:rPr>
        <w:t>” has the same meaning as the Civeo Group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Civeo Group Employee</w:t>
      </w:r>
      <w:r>
        <w:rPr>
          <w:rFonts w:ascii="Arial" w:cs="Arial" w:eastAsia="Arial" w:hAnsi="Arial"/>
          <w:sz w:val="17"/>
          <w:szCs w:val="17"/>
          <w:color w:val="auto"/>
        </w:rPr>
        <w:t>” means any individual who is employed by a member of the Civeo Group immediately after the Effective Time.</w:t>
      </w: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New Equity Plan</w:t>
      </w:r>
      <w:r>
        <w:rPr>
          <w:rFonts w:ascii="Arial" w:cs="Arial" w:eastAsia="Arial" w:hAnsi="Arial"/>
          <w:sz w:val="18"/>
          <w:szCs w:val="18"/>
          <w:color w:val="auto"/>
        </w:rPr>
        <w:t xml:space="preserve">” means the plan adopted by Civeo prior to the Effective Time and approved by Oil States, as sole shareholder of Civeo under which the Civeo Equity Awards described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issued.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RSA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Civeo Share Number</w:t>
      </w:r>
      <w:r>
        <w:rPr>
          <w:rFonts w:ascii="Arial" w:cs="Arial" w:eastAsia="Arial" w:hAnsi="Arial"/>
          <w:sz w:val="16"/>
          <w:szCs w:val="16"/>
          <w:color w:val="auto"/>
        </w:rPr>
        <w:t>” means, with respect to a Civeo Equity Award, (a) the number of shares of OS Common Stock subject to the related OS Equity Award immediately prior to the Effective Time (assuming, in the case of any OS PSU, settlement based upon attainment of Actual PSU Performance) multiplied by (b) the Civeo Equity Award Conversion Ratio, rounded (i) down to the nearest whole share of Civeo Common Stock in the case of any Civeo Option and (ii) up to the nearest whole share of Civeo Common Stock in the case of any Civeo Equity Award other than a Civeo Option.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Short-Term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Stock Value</w:t>
      </w:r>
      <w:r>
        <w:rPr>
          <w:rFonts w:ascii="Arial" w:cs="Arial" w:eastAsia="Arial" w:hAnsi="Arial"/>
          <w:sz w:val="18"/>
          <w:szCs w:val="18"/>
          <w:color w:val="auto"/>
        </w:rPr>
        <w:t>” means the closing price of a share of Civeo Common Stock trading on a “when issued” basis on the New York Stock Exchange on the Distribution Date.</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Welfare Plan</w:t>
      </w:r>
      <w:r>
        <w:rPr>
          <w:rFonts w:ascii="Arial" w:cs="Arial" w:eastAsia="Arial" w:hAnsi="Arial"/>
          <w:sz w:val="18"/>
          <w:szCs w:val="18"/>
          <w:color w:val="auto"/>
        </w:rPr>
        <w:t>” means any Welfare Plan sponsored or maintained by any one or more members of the Civeo Group immediately after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Civeo Welfare Plan Participants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4" w:name="page105"/>
    <w:bookmarkEnd w:id="10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U.S. Consolidated Omnibus Budget Reconciliation Act of 1985, as codified at Section 601 et seq. of ERISA and at Section 4980B of the Code.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Collective Bargaining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Compensation Transfer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Ratio</w:t>
      </w:r>
      <w:r>
        <w:rPr>
          <w:rFonts w:ascii="Arial" w:cs="Arial" w:eastAsia="Arial" w:hAnsi="Arial"/>
          <w:sz w:val="18"/>
          <w:szCs w:val="18"/>
          <w:color w:val="auto"/>
        </w:rPr>
        <w:t>” shall be two shares of Civeo Common Stock for every share of OS Common Stock.</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immediately before the effective time of the Distribution.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OS Group Employee, Former OS Group Employee, Former Civeo Group Employee or Civeo Group Employee.</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means the U.S. Employee Retirement Income Security Act of 1974, as amended, and the regulations promulgated thereunder.</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FMLA</w:t>
      </w:r>
      <w:r>
        <w:rPr>
          <w:rFonts w:ascii="Arial" w:cs="Arial" w:eastAsia="Arial" w:hAnsi="Arial"/>
          <w:sz w:val="18"/>
          <w:szCs w:val="18"/>
          <w:color w:val="auto"/>
        </w:rPr>
        <w:t>” means the U.S. Family and Medical Leave Act, as amended, and the regulations promulgated thereunder.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OS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Civeo Group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FSA Participation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3.1(f)</w:t>
      </w:r>
      <w:r>
        <w:rPr>
          <w:rFonts w:ascii="Arial" w:cs="Arial" w:eastAsia="Arial" w:hAnsi="Arial"/>
          <w:sz w:val="18"/>
          <w:szCs w:val="18"/>
          <w:color w:val="auto"/>
        </w:rPr>
        <w:t>.</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means the Health Insurance Portability and Accountability Act of 1996, as amended, and the regulations promulgated thereunder and any similar foreign, state, provincial or local Law.</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Indemnification and Release Agreement</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has the meaning set forth in the Separation Agreement.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has the meaning set forth in the preamble.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401(k) Plan</w:t>
      </w:r>
      <w:r>
        <w:rPr>
          <w:rFonts w:ascii="Arial" w:cs="Arial" w:eastAsia="Arial" w:hAnsi="Arial"/>
          <w:sz w:val="18"/>
          <w:szCs w:val="18"/>
          <w:color w:val="auto"/>
        </w:rPr>
        <w:t>” means the Oil States International, Inc. Retirement Plan.</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Adjusted Exercise Price</w:t>
      </w:r>
      <w:r>
        <w:rPr>
          <w:rFonts w:ascii="Arial" w:cs="Arial" w:eastAsia="Arial" w:hAnsi="Arial"/>
          <w:sz w:val="18"/>
          <w:szCs w:val="18"/>
          <w:color w:val="auto"/>
        </w:rPr>
        <w:t xml:space="preserve">” shall mean with respect to an Adjusted OS Option, an amount equal to (A) the exercise price of the relevant OS Option as of the Effective Time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OS Equity Award Exchange Ratio, rounded up to the nearest whole cent.</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Benefit Plan</w:t>
      </w:r>
      <w:r>
        <w:rPr>
          <w:rFonts w:ascii="Arial" w:cs="Arial" w:eastAsia="Arial" w:hAnsi="Arial"/>
          <w:sz w:val="18"/>
          <w:szCs w:val="18"/>
          <w:color w:val="auto"/>
        </w:rPr>
        <w:t>” means any Benefit Plan sponsored or maintained by a member of the OS Group immediately prior to the Effective Time other than any Benefit Plan sponsored or maintained exclusively by a member of the Civeo Group.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CIC Severance Plan</w:t>
      </w:r>
      <w:r>
        <w:rPr>
          <w:rFonts w:ascii="Arial" w:cs="Arial" w:eastAsia="Arial" w:hAnsi="Arial"/>
          <w:sz w:val="18"/>
          <w:szCs w:val="18"/>
          <w:color w:val="auto"/>
        </w:rPr>
        <w:t>” means the OSI Change of Control Severance Plan for Selected Members of Management, as amended.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Common Stock</w:t>
      </w:r>
      <w:r>
        <w:rPr>
          <w:rFonts w:ascii="Arial" w:cs="Arial" w:eastAsia="Arial" w:hAnsi="Arial"/>
          <w:sz w:val="18"/>
          <w:szCs w:val="18"/>
          <w:color w:val="auto"/>
        </w:rPr>
        <w:t>” means the common stock, par value $0.01 per share, of Oil States.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Deferred Compensation Plan</w:t>
      </w:r>
      <w:r>
        <w:rPr>
          <w:rFonts w:ascii="Arial" w:cs="Arial" w:eastAsia="Arial" w:hAnsi="Arial"/>
          <w:sz w:val="18"/>
          <w:szCs w:val="18"/>
          <w:color w:val="auto"/>
        </w:rPr>
        <w:t>” means the Oil States International, Inc. Deferred Compensation Plan.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Director</w:t>
      </w:r>
      <w:r>
        <w:rPr>
          <w:rFonts w:ascii="Arial" w:cs="Arial" w:eastAsia="Arial" w:hAnsi="Arial"/>
          <w:sz w:val="16"/>
          <w:szCs w:val="16"/>
          <w:color w:val="auto"/>
        </w:rPr>
        <w:t>” means any individual who is a non-employee member of the board of directors of Oil States immediately prior to the Effective Time.</w:t>
      </w:r>
    </w:p>
    <w:p>
      <w:pPr>
        <w:spacing w:after="0" w:line="2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DSAs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awards of deferred stock granted pursuant to the OS Equity Plan that are subject solely to serviced-based vesting, forfeiture and delivery conditions.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“OS Employee DSA</w:t>
      </w:r>
      <w:r>
        <w:rPr>
          <w:rFonts w:ascii="Arial" w:cs="Arial" w:eastAsia="Arial" w:hAnsi="Arial"/>
          <w:sz w:val="18"/>
          <w:szCs w:val="18"/>
          <w:color w:val="auto"/>
        </w:rPr>
        <w:t>” 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4.4(a)(i).</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Phantom Stock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Employee PSU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4.4(b)(i)</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“OS Employee RSA</w:t>
      </w:r>
      <w:r>
        <w:rPr>
          <w:rFonts w:ascii="Arial" w:cs="Arial" w:eastAsia="Arial" w:hAnsi="Arial"/>
          <w:sz w:val="18"/>
          <w:szCs w:val="18"/>
          <w:color w:val="auto"/>
        </w:rPr>
        <w:t>” 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Entity</w:t>
      </w:r>
      <w:r>
        <w:rPr>
          <w:rFonts w:ascii="Arial" w:cs="Arial" w:eastAsia="Arial" w:hAnsi="Arial"/>
          <w:sz w:val="18"/>
          <w:szCs w:val="18"/>
          <w:color w:val="auto"/>
        </w:rPr>
        <w:t>” means any member of the OS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Equity Awards</w:t>
      </w:r>
      <w:r>
        <w:rPr>
          <w:rFonts w:ascii="Arial" w:cs="Arial" w:eastAsia="Arial" w:hAnsi="Arial"/>
          <w:sz w:val="18"/>
          <w:szCs w:val="18"/>
          <w:color w:val="auto"/>
        </w:rPr>
        <w:t>” means OS DSAs, OS Options, OS Phantom Stock Awards, OS PSUs and OS RSAs.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Equity Award Adjustment Ratio</w:t>
      </w:r>
      <w:r>
        <w:rPr>
          <w:rFonts w:ascii="Arial" w:cs="Arial" w:eastAsia="Arial" w:hAnsi="Arial"/>
          <w:sz w:val="16"/>
          <w:szCs w:val="16"/>
          <w:color w:val="auto"/>
        </w:rPr>
        <w:t>” means the quotient obtained by dividing the OS Pre-Distribution Value by the OS Post-Distribution Value.</w:t>
      </w:r>
    </w:p>
    <w:p>
      <w:pPr>
        <w:spacing w:after="0" w:line="3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Equity Plans</w:t>
      </w:r>
      <w:r>
        <w:rPr>
          <w:rFonts w:ascii="Arial" w:cs="Arial" w:eastAsia="Arial" w:hAnsi="Arial"/>
          <w:sz w:val="18"/>
          <w:szCs w:val="18"/>
          <w:color w:val="auto"/>
        </w:rPr>
        <w:t>” means the Oil States International Inc. 2001 Equity Participation Plan, the Canadian Long Term Incentive Plan, and any other plan or agreement sponsored or maintained by OS immediately prior to the Distribution Date pursuant to which equity or equity-based awards are or may be granted (in each case, as amended from time to time).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Grantor Trust</w:t>
      </w:r>
      <w:r>
        <w:rPr>
          <w:rFonts w:ascii="Arial" w:cs="Arial" w:eastAsia="Arial" w:hAnsi="Arial"/>
          <w:sz w:val="18"/>
          <w:szCs w:val="18"/>
          <w:color w:val="auto"/>
        </w:rPr>
        <w:t>” means the Oil States International, Inc. Deferred Compensation Plan Trust.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Group</w:t>
      </w:r>
      <w:r>
        <w:rPr>
          <w:rFonts w:ascii="Arial" w:cs="Arial" w:eastAsia="Arial" w:hAnsi="Arial"/>
          <w:sz w:val="18"/>
          <w:szCs w:val="18"/>
          <w:color w:val="auto"/>
        </w:rPr>
        <w:t>” has the same meaning as Oil States Group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Group Employee</w:t>
      </w:r>
      <w:r>
        <w:rPr>
          <w:rFonts w:ascii="Arial" w:cs="Arial" w:eastAsia="Arial" w:hAnsi="Arial"/>
          <w:sz w:val="18"/>
          <w:szCs w:val="18"/>
          <w:color w:val="auto"/>
        </w:rPr>
        <w:t>” means any individual who is employed by a member of the OS Group immediately after the Effective Time.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Options</w:t>
      </w:r>
      <w:r>
        <w:rPr>
          <w:rFonts w:ascii="Arial" w:cs="Arial" w:eastAsia="Arial" w:hAnsi="Arial"/>
          <w:sz w:val="16"/>
          <w:szCs w:val="16"/>
          <w:color w:val="auto"/>
        </w:rPr>
        <w:t>” means exercisable and non-exercisable options to purchase shares of OS Common Stock granted pursuant to the OS Equity Plan.</w:t>
      </w:r>
    </w:p>
    <w:p>
      <w:pPr>
        <w:spacing w:after="0" w:line="3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Phantom Stock Award</w:t>
      </w:r>
      <w:r>
        <w:rPr>
          <w:rFonts w:ascii="Arial" w:cs="Arial" w:eastAsia="Arial" w:hAnsi="Arial"/>
          <w:sz w:val="18"/>
          <w:szCs w:val="18"/>
          <w:color w:val="auto"/>
        </w:rPr>
        <w:t>” means an award of cash-settled phantom stock with respect to OS Common Stock granted pursuant to the Canadian Long Term Incentive Plan.</w:t>
      </w:r>
    </w:p>
    <w:p>
      <w:pPr>
        <w:spacing w:after="0" w:line="2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Post-Distribution Stock Value</w:t>
      </w:r>
      <w:r>
        <w:rPr>
          <w:rFonts w:ascii="Arial" w:cs="Arial" w:eastAsia="Arial" w:hAnsi="Arial"/>
          <w:sz w:val="18"/>
          <w:szCs w:val="18"/>
          <w:color w:val="auto"/>
        </w:rPr>
        <w:t>” means the closing price of a share of OS Common Stock trading on an “ex dividend” basis on the New York Stock Exchange on the Distribution Date</w:t>
      </w:r>
    </w:p>
    <w:p>
      <w:pPr>
        <w:spacing w:after="0" w:line="2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Pre-Distribution Stock Value</w:t>
      </w:r>
      <w:r>
        <w:rPr>
          <w:rFonts w:ascii="Arial" w:cs="Arial" w:eastAsia="Arial" w:hAnsi="Arial"/>
          <w:sz w:val="18"/>
          <w:szCs w:val="18"/>
          <w:color w:val="auto"/>
        </w:rPr>
        <w:t>” means the sum of (a) the OS Post-Distribution Stock Value and (b) the product of the Civeo Stock Value and the Distribution Ratio.</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OS PSUs</w:t>
      </w:r>
      <w:r>
        <w:rPr>
          <w:rFonts w:ascii="Arial" w:cs="Arial" w:eastAsia="Arial" w:hAnsi="Arial"/>
          <w:sz w:val="16"/>
          <w:szCs w:val="16"/>
          <w:color w:val="auto"/>
        </w:rPr>
        <w:t>” means awards of deferred stock pursuant to an OS Equity Plan which are subject to performance-based vesting and forfeiture conditions.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RSAs</w:t>
      </w:r>
      <w:r>
        <w:rPr>
          <w:rFonts w:ascii="Arial" w:cs="Arial" w:eastAsia="Arial" w:hAnsi="Arial"/>
          <w:sz w:val="18"/>
          <w:szCs w:val="18"/>
          <w:color w:val="auto"/>
        </w:rPr>
        <w:t>” means restricted stock awards issued under any of the OS 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Short-Term Incentive Plan</w:t>
      </w:r>
      <w:r>
        <w:rPr>
          <w:rFonts w:ascii="Arial" w:cs="Arial" w:eastAsia="Arial" w:hAnsi="Arial"/>
          <w:sz w:val="18"/>
          <w:szCs w:val="18"/>
          <w:color w:val="auto"/>
        </w:rPr>
        <w:t>” means the Oil States International, Inc. Annual Incentive Compensation Plan.</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OS Welfare Plan</w:t>
      </w:r>
      <w:r>
        <w:rPr>
          <w:rFonts w:ascii="Arial" w:cs="Arial" w:eastAsia="Arial" w:hAnsi="Arial"/>
          <w:sz w:val="18"/>
          <w:szCs w:val="18"/>
          <w:color w:val="auto"/>
        </w:rPr>
        <w:t>” means any Welfare Plan sponsored or maintained by any one or more members of the OS Group as of immediately prior to the Effective Time.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Privacy Contract</w:t>
      </w:r>
      <w:r>
        <w:rPr>
          <w:rFonts w:ascii="Arial" w:cs="Arial" w:eastAsia="Arial" w:hAnsi="Arial"/>
          <w:sz w:val="18"/>
          <w:szCs w:val="18"/>
          <w:color w:val="auto"/>
        </w:rPr>
        <w:t>” means any contract entered into in connection with applicable privacy protection Laws or regulations.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has the meaning set forth in the recitals to this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has the meaning set forth in the Separation Agreement.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Document</w:t>
      </w:r>
      <w:r>
        <w:rPr>
          <w:rFonts w:ascii="Arial" w:cs="Arial" w:eastAsia="Arial" w:hAnsi="Arial"/>
          <w:sz w:val="18"/>
          <w:szCs w:val="18"/>
          <w:color w:val="auto"/>
        </w:rPr>
        <w:t>” has the meaning set forth in the Separation Agreement.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has the meaning set forth in the Separation Agreement.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w:t>
      </w:r>
      <w:r>
        <w:rPr>
          <w:rFonts w:ascii="Arial" w:cs="Arial" w:eastAsia="Arial" w:hAnsi="Arial"/>
          <w:sz w:val="18"/>
          <w:szCs w:val="18"/>
          <w:b w:val="1"/>
          <w:bCs w:val="1"/>
          <w:color w:val="auto"/>
        </w:rPr>
        <w:t>.</w:t>
      </w:r>
      <w:r>
        <w:rPr>
          <w:rFonts w:ascii="Arial" w:cs="Arial" w:eastAsia="Arial" w:hAnsi="Arial"/>
          <w:sz w:val="18"/>
          <w:szCs w:val="18"/>
          <w:color w:val="auto"/>
        </w:rPr>
        <w:t>” means the United States of America.</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w:t>
      </w:r>
      <w:r>
        <w:rPr>
          <w:rFonts w:ascii="Arial" w:cs="Arial" w:eastAsia="Arial" w:hAnsi="Arial"/>
          <w:sz w:val="18"/>
          <w:szCs w:val="18"/>
          <w:color w:val="auto"/>
        </w:rPr>
        <w:t>” means the U.S. Worker Adjustment and Retraining Notification Act, as amended, and the regulations promulgated thereunder, and any applicable foreign, state, provincial or local Law equivalent (including § 137 of the Employment Standards Code).</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Welfare Plan</w:t>
      </w:r>
      <w:r>
        <w:rPr>
          <w:rFonts w:ascii="Arial" w:cs="Arial" w:eastAsia="Arial" w:hAnsi="Arial"/>
          <w:sz w:val="18"/>
          <w:szCs w:val="18"/>
          <w:color w:val="auto"/>
        </w:rPr>
        <w:t>” means, where applicable, a “welfare plan” (as defined in Section 3(1) of ERISA) or a “cafeteria plan” under Section 125 of the Code, and any benefits offered thereunder, and any other plan offering health benefits (including medical, prescription drug, dental, vision, and mental health and substance abuse), disability benefits, or life, accidental death and disability, and business travel insurance, pre-tax premium conversion benefits, dependent care assistance programs, employee assistance programs, paid time off programs, contribution funding toward a health savings account, flexible spending accounts, or cashable credits.</w:t>
      </w:r>
    </w:p>
    <w:p>
      <w:pPr>
        <w:spacing w:after="0" w:line="23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In this Agreement, unless the context clearly indicates otherwise:</w:t>
      </w:r>
    </w:p>
    <w:p>
      <w:pPr>
        <w:spacing w:after="0" w:line="229" w:lineRule="exact"/>
        <w:rPr>
          <w:sz w:val="20"/>
          <w:szCs w:val="20"/>
          <w:color w:val="auto"/>
        </w:rPr>
      </w:pPr>
    </w:p>
    <w:p>
      <w:pPr>
        <w:ind w:left="1720" w:hanging="415"/>
        <w:spacing w:after="0"/>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words used in the singular include the plural and words used in the plural include the singular;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 word or phrase is defined in this Agreement, its other grammatical forms, as used in this Agreement, shall have a corresponding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meaning;</w:t>
      </w:r>
    </w:p>
    <w:p>
      <w:pPr>
        <w:spacing w:after="0" w:line="211" w:lineRule="exact"/>
        <w:rPr>
          <w:sz w:val="20"/>
          <w:szCs w:val="20"/>
          <w:color w:val="auto"/>
        </w:rPr>
      </w:pPr>
    </w:p>
    <w:p>
      <w:pPr>
        <w:ind w:left="1720" w:hanging="415"/>
        <w:spacing w:after="0"/>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reference to any gender includes the other gender and the neuter;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words “without limitation”;</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words “shall” and “will” are used interchangeably and have the same meaning;</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 “or” shall have the inclusive meaning represented by the phrase “and/or”;</w:t>
      </w:r>
    </w:p>
    <w:p>
      <w:pPr>
        <w:spacing w:after="0" w:line="225" w:lineRule="exact"/>
        <w:rPr>
          <w:rFonts w:ascii="Arial" w:cs="Arial" w:eastAsia="Arial" w:hAnsi="Arial"/>
          <w:sz w:val="18"/>
          <w:szCs w:val="18"/>
          <w:color w:val="auto"/>
        </w:rPr>
      </w:pPr>
    </w:p>
    <w:p>
      <w:pPr>
        <w:ind w:firstLine="1305"/>
        <w:spacing w:after="0" w:line="277" w:lineRule="auto"/>
        <w:tabs>
          <w:tab w:leader="none" w:pos="1742"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relative to the determination of any period of time, “from” means “from and including,” “to” means “to but excluding” and “through” means “through and including”;</w:t>
      </w:r>
    </w:p>
    <w:p>
      <w:pPr>
        <w:spacing w:after="0" w:line="170" w:lineRule="exact"/>
        <w:rPr>
          <w:rFonts w:ascii="Arial" w:cs="Arial" w:eastAsia="Arial" w:hAnsi="Arial"/>
          <w:sz w:val="18"/>
          <w:szCs w:val="18"/>
          <w:color w:val="auto"/>
        </w:rPr>
      </w:pPr>
    </w:p>
    <w:p>
      <w:pPr>
        <w:ind w:right="20" w:firstLine="1305"/>
        <w:spacing w:after="0" w:line="277" w:lineRule="auto"/>
        <w:tabs>
          <w:tab w:leader="none" w:pos="18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references to a specific time of day in this Agreement shall be based upon Central Standard Time or Central Daylight Savings Time, as applicable, on the date in question;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 specified;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8" w:name="page109"/>
    <w:bookmarkEnd w:id="108"/>
    <w:p>
      <w:pPr>
        <w:ind w:firstLine="1305"/>
        <w:spacing w:after="0" w:line="308" w:lineRule="auto"/>
        <w:tabs>
          <w:tab w:leader="none" w:pos="1736"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accounting terms used herein have the meanings historically ascribed to them by Oil States and its Subsidiaries, including Civeo for this purpose, in its and their internal accounting and financial policies and procedures in effect immediately prior to the date of this Agreement;</w:t>
      </w:r>
    </w:p>
    <w:p>
      <w:pPr>
        <w:spacing w:after="0" w:line="146" w:lineRule="exact"/>
        <w:rPr>
          <w:rFonts w:ascii="Arial" w:cs="Arial" w:eastAsia="Arial" w:hAnsi="Arial"/>
          <w:sz w:val="17"/>
          <w:szCs w:val="17"/>
          <w:color w:val="auto"/>
        </w:rPr>
      </w:pPr>
    </w:p>
    <w:p>
      <w:pPr>
        <w:ind w:right="20" w:firstLine="1305"/>
        <w:spacing w:after="0" w:line="277" w:lineRule="auto"/>
        <w:tabs>
          <w:tab w:leader="none" w:pos="1754"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reference to any Article, Section or Schedule means such Article or Section of, or such Schedule to, this Agreement, as the case may be, and references in any Section or definition to any clause means such clause of such Section or definition;</w:t>
      </w:r>
    </w:p>
    <w:p>
      <w:pPr>
        <w:spacing w:after="0" w:line="170" w:lineRule="exact"/>
        <w:rPr>
          <w:rFonts w:ascii="Arial" w:cs="Arial" w:eastAsia="Arial" w:hAnsi="Arial"/>
          <w:sz w:val="18"/>
          <w:szCs w:val="18"/>
          <w:color w:val="auto"/>
        </w:rPr>
      </w:pPr>
    </w:p>
    <w:p>
      <w:pPr>
        <w:ind w:firstLine="1305"/>
        <w:spacing w:after="0" w:line="277" w:lineRule="auto"/>
        <w:tabs>
          <w:tab w:leader="none" w:pos="17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words “this Agreement,” “herein,” “hereunder,” “hereof,” “hereto” and words of similar import shall be deemed references to this Agreement as a whole and not to any particular Section or other provision of this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 “commercially reasonable efforts” means efforts which are commercially reasonable to enable a Party, directly or indirectly, to satisfy a condition to or otherwise assist in the consummation of a desired result and which do not require the performing Party to expend funds or assume Liabilities other than expenditures and Liabilities which are customary and reasonable in nature and amount in the context of a series of related transactions similar to the Distribution;</w:t>
      </w:r>
    </w:p>
    <w:p>
      <w:pPr>
        <w:spacing w:after="0" w:line="186" w:lineRule="exact"/>
        <w:rPr>
          <w:rFonts w:ascii="Arial" w:cs="Arial" w:eastAsia="Arial" w:hAnsi="Arial"/>
          <w:sz w:val="18"/>
          <w:szCs w:val="18"/>
          <w:color w:val="auto"/>
        </w:rPr>
      </w:pPr>
    </w:p>
    <w:p>
      <w:pPr>
        <w:ind w:firstLine="1305"/>
        <w:spacing w:after="0" w:line="277" w:lineRule="auto"/>
        <w:tabs>
          <w:tab w:leader="none" w:pos="1889"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reference to any agreement, instrument or other document means such agreement, instrument or other document as amended, supplemented and modified from time to time to the extent permitted by the provisions thereof and not prohibited by this Agreement;</w:t>
      </w:r>
    </w:p>
    <w:p>
      <w:pPr>
        <w:spacing w:after="0" w:line="170" w:lineRule="exact"/>
        <w:rPr>
          <w:rFonts w:ascii="Arial" w:cs="Arial" w:eastAsia="Arial" w:hAnsi="Arial"/>
          <w:sz w:val="18"/>
          <w:szCs w:val="18"/>
          <w:color w:val="auto"/>
        </w:rPr>
      </w:pPr>
    </w:p>
    <w:p>
      <w:pPr>
        <w:ind w:firstLine="1305"/>
        <w:spacing w:after="0" w:line="342" w:lineRule="auto"/>
        <w:tabs>
          <w:tab w:leader="none" w:pos="17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reference to any Law (including statutes and ordinances) means such Law (including any and all rules and regulations promulgated thereunder) as amended, modified, codified or reenacted, in whole or in part, and in effect at the time of determining compliance or applicability;</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references to any Person include such Person’s successors and assigns but, if applicable, only if such successors and assigns are permitted by this Agreement; a reference to such Person’s “Affiliates” shall be deemed to mean such Person’s Affiliates following the Distribution and any reference to a third party shall be deemed to mean a Person who is not a Party or an Affiliate of a Party;</w:t>
      </w:r>
    </w:p>
    <w:p>
      <w:pPr>
        <w:spacing w:after="0" w:line="181" w:lineRule="exact"/>
        <w:rPr>
          <w:rFonts w:ascii="Arial" w:cs="Arial" w:eastAsia="Arial" w:hAnsi="Arial"/>
          <w:sz w:val="18"/>
          <w:szCs w:val="18"/>
          <w:color w:val="auto"/>
        </w:rPr>
      </w:pPr>
    </w:p>
    <w:p>
      <w:pPr>
        <w:ind w:firstLine="1305"/>
        <w:spacing w:after="0" w:line="277" w:lineRule="auto"/>
        <w:tabs>
          <w:tab w:leader="none" w:pos="18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there is any conflict between the provisions of the main body of this Agreement and the Schedules hereto, the provisions of the main body of this Agreement shall control unless explicitly stated otherwise in such Schedule;</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otherwise specified in this Agreement, all references to dollar amounts herein shall be in respect of lawful currency of the U.S.;</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17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titles to Articles and headings of Sections contained in this Agreement, in any Schedule and Exhibit and in the table of contents to this Agreement have been inserted for convenience of reference only and shall not be deemed to be a part of or to affect the meaning or interpretation of this Agreement;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ind w:right="20" w:firstLine="1305"/>
        <w:spacing w:after="0" w:line="342" w:lineRule="auto"/>
        <w:tabs>
          <w:tab w:leader="none" w:pos="172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portion of this Agreement obligating a Party to take any action or refrain from taking any action, as the case may be, shall mean that such Party shall also be obligated to cause its relevant Subsidiaries to take such action or refrain from taking such action, as the case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EMPLOYEES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b w:val="1"/>
          <w:bCs w:val="1"/>
          <w:u w:val="single" w:color="auto"/>
          <w:color w:val="auto"/>
        </w:rPr>
        <w:t>Active Employees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3" w:lineRule="auto"/>
        <w:tabs>
          <w:tab w:leader="none" w:pos="1762" w:val="left"/>
        </w:tabs>
        <w:numPr>
          <w:ilvl w:val="1"/>
          <w:numId w:val="85"/>
        </w:numPr>
        <w:rPr>
          <w:rFonts w:ascii="Arial" w:cs="Arial" w:eastAsia="Arial" w:hAnsi="Arial"/>
          <w:sz w:val="17"/>
          <w:szCs w:val="17"/>
          <w:color w:val="auto"/>
        </w:rPr>
      </w:pPr>
      <w:r>
        <w:rPr>
          <w:rFonts w:ascii="Arial" w:cs="Arial" w:eastAsia="Arial" w:hAnsi="Arial"/>
          <w:sz w:val="17"/>
          <w:szCs w:val="17"/>
          <w:i w:val="1"/>
          <w:iCs w:val="1"/>
          <w:u w:val="single" w:color="auto"/>
          <w:color w:val="auto"/>
        </w:rPr>
        <w:t>Civeo Group Employees</w:t>
      </w:r>
      <w:r>
        <w:rPr>
          <w:rFonts w:ascii="Arial" w:cs="Arial" w:eastAsia="Arial" w:hAnsi="Arial"/>
          <w:sz w:val="17"/>
          <w:szCs w:val="17"/>
          <w:color w:val="auto"/>
        </w:rPr>
        <w:t>. Except as otherwise set forth in this Agreement, effective not later than immediately prior to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the employment of each individual (i) who is employed by a Subsidiary of Civeo as of immediately prior to the Effective Time, (ii) whose employment duties are to be exclusively related to the Civeo Business immediately following the Effective Time or (iii) who is listed on </w:t>
      </w:r>
      <w:r>
        <w:rPr>
          <w:rFonts w:ascii="Arial" w:cs="Arial" w:eastAsia="Arial" w:hAnsi="Arial"/>
          <w:sz w:val="17"/>
          <w:szCs w:val="17"/>
          <w:u w:val="single" w:color="auto"/>
          <w:color w:val="auto"/>
        </w:rPr>
        <w:t>Schedule 3.1(a)</w:t>
      </w:r>
      <w:r>
        <w:rPr>
          <w:rFonts w:ascii="Arial" w:cs="Arial" w:eastAsia="Arial" w:hAnsi="Arial"/>
          <w:sz w:val="17"/>
          <w:szCs w:val="17"/>
          <w:color w:val="auto"/>
        </w:rPr>
        <w:t xml:space="preserve"> (collectively, the “</w:t>
      </w:r>
      <w:r>
        <w:rPr>
          <w:rFonts w:ascii="Arial" w:cs="Arial" w:eastAsia="Arial" w:hAnsi="Arial"/>
          <w:sz w:val="17"/>
          <w:szCs w:val="17"/>
          <w:b w:val="1"/>
          <w:bCs w:val="1"/>
          <w:i w:val="1"/>
          <w:iCs w:val="1"/>
          <w:color w:val="auto"/>
        </w:rPr>
        <w:t>Civeo Group Employees</w:t>
      </w:r>
      <w:r>
        <w:rPr>
          <w:rFonts w:ascii="Arial" w:cs="Arial" w:eastAsia="Arial" w:hAnsi="Arial"/>
          <w:sz w:val="17"/>
          <w:szCs w:val="17"/>
          <w:color w:val="auto"/>
        </w:rPr>
        <w:t>”) shall continue with a member of the Civeo Group or shall be assigned and transferred to a member of the Civeo Group (in each case, with such member as determined by Civeo). Each of the Parties agrees to execute, and to seek to have the applicable employees execute, such documentation, if any, as may be necessary to reflect such assignments and transfers.</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772" w:val="left"/>
        </w:tabs>
        <w:numPr>
          <w:ilvl w:val="1"/>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OS Group Employees</w:t>
      </w:r>
      <w:r>
        <w:rPr>
          <w:rFonts w:ascii="Arial" w:cs="Arial" w:eastAsia="Arial" w:hAnsi="Arial"/>
          <w:sz w:val="18"/>
          <w:szCs w:val="18"/>
          <w:color w:val="auto"/>
        </w:rPr>
        <w:t>. Except as otherwise set forth in this Agreement, effective not later than immediately prior to Effective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employment of each individual who is employed by a member of the OS Group and is not a Civeo Group Employee (collectively, the “</w:t>
      </w:r>
      <w:r>
        <w:rPr>
          <w:rFonts w:ascii="Arial" w:cs="Arial" w:eastAsia="Arial" w:hAnsi="Arial"/>
          <w:sz w:val="18"/>
          <w:szCs w:val="18"/>
          <w:b w:val="1"/>
          <w:bCs w:val="1"/>
          <w:i w:val="1"/>
          <w:iCs w:val="1"/>
          <w:color w:val="auto"/>
        </w:rPr>
        <w:t>OS 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shall continue with a member of the OS Group or shall be assigned and transferred to a member of the OS Group (in each case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States). Each of the Parties agrees to execute, and to seek to have the applicable employees execute, such documentation, if any, as may be necessary to reflect such assignments and transfers.</w:t>
      </w:r>
    </w:p>
    <w:p>
      <w:pPr>
        <w:spacing w:after="0" w:line="242" w:lineRule="exact"/>
        <w:rPr>
          <w:rFonts w:ascii="Arial" w:cs="Arial" w:eastAsia="Arial" w:hAnsi="Arial"/>
          <w:sz w:val="18"/>
          <w:szCs w:val="18"/>
          <w:color w:val="auto"/>
        </w:rPr>
      </w:pPr>
    </w:p>
    <w:p>
      <w:pPr>
        <w:jc w:val="both"/>
        <w:ind w:firstLine="1305"/>
        <w:spacing w:after="0" w:line="271" w:lineRule="auto"/>
        <w:tabs>
          <w:tab w:leader="none" w:pos="1829" w:val="left"/>
        </w:tabs>
        <w:numPr>
          <w:ilvl w:val="1"/>
          <w:numId w:val="85"/>
        </w:numPr>
        <w:rPr>
          <w:rFonts w:ascii="Arial" w:cs="Arial" w:eastAsia="Arial" w:hAnsi="Arial"/>
          <w:sz w:val="17"/>
          <w:szCs w:val="17"/>
          <w:color w:val="auto"/>
        </w:rPr>
      </w:pPr>
      <w:r>
        <w:rPr>
          <w:rFonts w:ascii="Arial" w:cs="Arial" w:eastAsia="Arial" w:hAnsi="Arial"/>
          <w:sz w:val="17"/>
          <w:szCs w:val="17"/>
          <w:i w:val="1"/>
          <w:iCs w:val="1"/>
          <w:u w:val="single" w:color="auto"/>
          <w:color w:val="auto"/>
        </w:rPr>
        <w:t>At-Will Status</w:t>
      </w:r>
      <w:r>
        <w:rPr>
          <w:rFonts w:ascii="Arial" w:cs="Arial" w:eastAsia="Arial" w:hAnsi="Arial"/>
          <w:sz w:val="17"/>
          <w:szCs w:val="17"/>
          <w:color w:val="auto"/>
        </w:rPr>
        <w:t>. Notwithstanding the above or any other provision of this Agreement, nothing in this Agreement shall create any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on the part of any member of the OS Group or any member of the Civeo Group to (i) continue the employment of any Employee or permit the return from a leave of absence for any period following the date of this Agreement or the Distribution Date (except as required by applicable Law) or</w:t>
      </w:r>
    </w:p>
    <w:p>
      <w:pPr>
        <w:ind w:left="280" w:hanging="272"/>
        <w:spacing w:after="0"/>
        <w:tabs>
          <w:tab w:leader="none" w:pos="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 the employment status of any Employee from “at will,” to the extent such Employee is an “at will” employee under applicable Law.</w:t>
      </w:r>
    </w:p>
    <w:p>
      <w:pPr>
        <w:spacing w:after="0" w:line="264" w:lineRule="exact"/>
        <w:rPr>
          <w:rFonts w:ascii="Arial" w:cs="Arial" w:eastAsia="Arial" w:hAnsi="Arial"/>
          <w:sz w:val="18"/>
          <w:szCs w:val="18"/>
          <w:color w:val="auto"/>
        </w:rPr>
      </w:pPr>
    </w:p>
    <w:p>
      <w:pPr>
        <w:jc w:val="both"/>
        <w:ind w:firstLine="1305"/>
        <w:spacing w:after="0" w:line="259" w:lineRule="auto"/>
        <w:tabs>
          <w:tab w:leader="none" w:pos="1893" w:val="left"/>
        </w:tabs>
        <w:numPr>
          <w:ilvl w:val="1"/>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Severance; Separation from Service</w:t>
      </w:r>
      <w:r>
        <w:rPr>
          <w:rFonts w:ascii="Arial" w:cs="Arial" w:eastAsia="Arial" w:hAnsi="Arial"/>
          <w:sz w:val="18"/>
          <w:szCs w:val="18"/>
          <w:color w:val="auto"/>
        </w:rPr>
        <w:t>. The Parties acknowledge and agree that the Distribution and the assignment, transfer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continuation of the employment of Employees as contemplated by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not be deemed a severance of employment or “separation from service” (as defined in Section 409A of the Code) of any Employee for purposes of this Agreement or any Benefit Plan of any member of the OS Group or any member of the Civeo Group.</w:t>
      </w:r>
    </w:p>
    <w:p>
      <w:pPr>
        <w:spacing w:after="0" w:line="240" w:lineRule="exact"/>
        <w:rPr>
          <w:rFonts w:ascii="Arial" w:cs="Arial" w:eastAsia="Arial" w:hAnsi="Arial"/>
          <w:sz w:val="18"/>
          <w:szCs w:val="18"/>
          <w:color w:val="auto"/>
        </w:rPr>
      </w:pPr>
    </w:p>
    <w:p>
      <w:pPr>
        <w:jc w:val="both"/>
        <w:ind w:firstLine="1305"/>
        <w:spacing w:after="0" w:line="264" w:lineRule="auto"/>
        <w:tabs>
          <w:tab w:leader="none" w:pos="1775" w:val="left"/>
        </w:tabs>
        <w:numPr>
          <w:ilvl w:val="1"/>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Not a Change of Control/Change in Control</w:t>
      </w:r>
      <w:r>
        <w:rPr>
          <w:rFonts w:ascii="Arial" w:cs="Arial" w:eastAsia="Arial" w:hAnsi="Arial"/>
          <w:sz w:val="18"/>
          <w:szCs w:val="18"/>
          <w:color w:val="auto"/>
        </w:rPr>
        <w:t>. The Parties acknowledge and agree that neither the consummation of the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transaction in connection with the Distribution shall be deemed a “change of control,” “change in control,” or term of similar import for purposes of any Benefit Plan of any member of the OS Group or any member of the Civeo Group.</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ind w:firstLine="1305"/>
        <w:spacing w:after="0" w:line="268" w:lineRule="auto"/>
        <w:tabs>
          <w:tab w:leader="none" w:pos="1877" w:val="left"/>
        </w:tabs>
        <w:numPr>
          <w:ilvl w:val="1"/>
          <w:numId w:val="87"/>
        </w:numPr>
        <w:rPr>
          <w:rFonts w:ascii="Arial" w:cs="Arial" w:eastAsia="Arial" w:hAnsi="Arial"/>
          <w:sz w:val="17"/>
          <w:szCs w:val="17"/>
          <w:color w:val="auto"/>
        </w:rPr>
      </w:pPr>
      <w:r>
        <w:rPr>
          <w:rFonts w:ascii="Arial" w:cs="Arial" w:eastAsia="Arial" w:hAnsi="Arial"/>
          <w:sz w:val="17"/>
          <w:szCs w:val="17"/>
          <w:i w:val="1"/>
          <w:iCs w:val="1"/>
          <w:u w:val="single" w:color="auto"/>
          <w:color w:val="auto"/>
        </w:rPr>
        <w:t>Payroll and Related Taxes</w:t>
      </w:r>
      <w:r>
        <w:rPr>
          <w:rFonts w:ascii="Arial" w:cs="Arial" w:eastAsia="Arial" w:hAnsi="Arial"/>
          <w:sz w:val="17"/>
          <w:szCs w:val="17"/>
          <w:color w:val="auto"/>
        </w:rPr>
        <w:t>. With respect to the portion of the tax year occurring prior to the day immediately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Date, OS will (i) be responsible for all payroll obligations, tax withholding and reporting obligations and (ii) furnish a Form W-2 or similar earnings statement to all Civeo Group Employees and Former Civeo Group Employees for such period. With respect to the remaining portion of such tax year, Civeo will (i) be responsible for all payroll obligations, tax withholding, and reporting obligations regarding Civeo Group Employees and (ii) furnish a Form W-2 or similar earnings statement to all Civeo Group Employees. With respect to each Civeo Group Employee, Oil States and Civeo shall, and shall cause their respective Affiliates to (to the extent permitted by applicable Law and practicable) (i) treat Civeo (or the applicable Civeo Entity) as a “successor employer” and OS (or the applicable OS Entity) as a “predecessor,” within the meaning of Sections 3121(a)(1) and 3306(b)(1) of the Code, to the extent appropriate, for purposes of taxes imposed under the United States Federal Insurance Contributions Act, as amended (“</w:t>
      </w:r>
      <w:r>
        <w:rPr>
          <w:rFonts w:ascii="Arial" w:cs="Arial" w:eastAsia="Arial" w:hAnsi="Arial"/>
          <w:sz w:val="17"/>
          <w:szCs w:val="17"/>
          <w:b w:val="1"/>
          <w:bCs w:val="1"/>
          <w:i w:val="1"/>
          <w:iCs w:val="1"/>
          <w:color w:val="auto"/>
        </w:rPr>
        <w:t>FICA</w:t>
      </w:r>
      <w:r>
        <w:rPr>
          <w:rFonts w:ascii="Arial" w:cs="Arial" w:eastAsia="Arial" w:hAnsi="Arial"/>
          <w:sz w:val="17"/>
          <w:szCs w:val="17"/>
          <w:color w:val="auto"/>
        </w:rPr>
        <w:t>”), or the United States Federal Unemployment Tax Act, as amended (“</w:t>
      </w:r>
      <w:r>
        <w:rPr>
          <w:rFonts w:ascii="Arial" w:cs="Arial" w:eastAsia="Arial" w:hAnsi="Arial"/>
          <w:sz w:val="17"/>
          <w:szCs w:val="17"/>
          <w:b w:val="1"/>
          <w:bCs w:val="1"/>
          <w:i w:val="1"/>
          <w:iCs w:val="1"/>
          <w:color w:val="auto"/>
        </w:rPr>
        <w:t>FUTA</w:t>
      </w:r>
      <w:r>
        <w:rPr>
          <w:rFonts w:ascii="Arial" w:cs="Arial" w:eastAsia="Arial" w:hAnsi="Arial"/>
          <w:sz w:val="17"/>
          <w:szCs w:val="17"/>
          <w:color w:val="auto"/>
        </w:rPr>
        <w:t>”), (b) cooperate with each other to avoid, to the extent possible, the restart of FICA and FUTA upon or following the Effective Time with respect to each such Civeo Group Employee for the tax year during which the Effective Time occurs, and (c) file tax returns, exchange wage payment information, and report wage payments made by the respective predecessor and successor employer on separate IRS Forms W-2 or similar earnings statements to each such Civeo Group Employee for the tax year in which the Effective Time occurs, in a manner provided in Section 4.02(l) of Revenue Procedure 2004-53.</w:t>
      </w:r>
    </w:p>
    <w:p>
      <w:pPr>
        <w:spacing w:after="0" w:line="241" w:lineRule="exact"/>
        <w:rPr>
          <w:rFonts w:ascii="Arial" w:cs="Arial" w:eastAsia="Arial" w:hAnsi="Arial"/>
          <w:sz w:val="17"/>
          <w:szCs w:val="17"/>
          <w:color w:val="auto"/>
        </w:rPr>
      </w:pPr>
    </w:p>
    <w:p>
      <w:pPr>
        <w:jc w:val="both"/>
        <w:ind w:firstLine="1305"/>
        <w:spacing w:after="0" w:line="274" w:lineRule="auto"/>
        <w:tabs>
          <w:tab w:leader="none" w:pos="1812" w:val="left"/>
        </w:tabs>
        <w:numPr>
          <w:ilvl w:val="1"/>
          <w:numId w:val="87"/>
        </w:numPr>
        <w:rPr>
          <w:rFonts w:ascii="Arial" w:cs="Arial" w:eastAsia="Arial" w:hAnsi="Arial"/>
          <w:sz w:val="17"/>
          <w:szCs w:val="17"/>
          <w:color w:val="auto"/>
        </w:rPr>
      </w:pPr>
      <w:r>
        <w:rPr>
          <w:rFonts w:ascii="Arial" w:cs="Arial" w:eastAsia="Arial" w:hAnsi="Arial"/>
          <w:sz w:val="17"/>
          <w:szCs w:val="17"/>
          <w:i w:val="1"/>
          <w:iCs w:val="1"/>
          <w:u w:val="single" w:color="auto"/>
          <w:color w:val="auto"/>
        </w:rPr>
        <w:t>Employment Contracts; Expatriate Obligations</w:t>
      </w:r>
      <w:r>
        <w:rPr>
          <w:rFonts w:ascii="Arial" w:cs="Arial" w:eastAsia="Arial" w:hAnsi="Arial"/>
          <w:sz w:val="17"/>
          <w:szCs w:val="17"/>
          <w:color w:val="auto"/>
        </w:rPr>
        <w:t>. Effective as of the Effective Time, Civeo will assume and honor, or will cause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Civeo Group to assume and honor, any agreements to which any Civeo Group Employee is party with any OS Entity, including any</w:t>
      </w:r>
    </w:p>
    <w:p>
      <w:pPr>
        <w:jc w:val="both"/>
        <w:ind w:firstLine="8"/>
        <w:spacing w:after="0" w:line="255" w:lineRule="auto"/>
        <w:tabs>
          <w:tab w:leader="none" w:pos="2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employment contract, executive agreement or consulting agreement, (ii) retention, severance or change of control arrangement or (iii) expatriate (including any international assignee) contract or arrangement (including agreements and obligations regarding repatriation, relocation, equalization of taxes and living standards in the host country).</w:t>
      </w:r>
    </w:p>
    <w:p>
      <w:pPr>
        <w:spacing w:after="0" w:line="244" w:lineRule="exact"/>
        <w:rPr>
          <w:rFonts w:ascii="Arial" w:cs="Arial" w:eastAsia="Arial" w:hAnsi="Arial"/>
          <w:sz w:val="18"/>
          <w:szCs w:val="18"/>
          <w:color w:val="auto"/>
        </w:rPr>
      </w:pPr>
    </w:p>
    <w:p>
      <w:pPr>
        <w:jc w:val="both"/>
        <w:ind w:firstLine="1305"/>
        <w:spacing w:after="0" w:line="293" w:lineRule="auto"/>
        <w:tabs>
          <w:tab w:leader="none" w:pos="1758" w:val="left"/>
        </w:tabs>
        <w:numPr>
          <w:ilvl w:val="1"/>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Collective Bargaining Agreements</w:t>
      </w:r>
      <w:r>
        <w:rPr>
          <w:rFonts w:ascii="Arial" w:cs="Arial" w:eastAsia="Arial" w:hAnsi="Arial"/>
          <w:sz w:val="16"/>
          <w:szCs w:val="16"/>
          <w:color w:val="auto"/>
        </w:rPr>
        <w:t>. Schedule 3.1(h) sets forth a list of collective bargaining agreements, collective agreements,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union or works council agreements and any other contractual or other obligation to a labor union, trade union, works council or other representative of any Civeo Group Employee relating to the Civeo Group Employees in effect on the date of this Agreement (collectively, the “</w:t>
      </w:r>
      <w:r>
        <w:rPr>
          <w:rFonts w:ascii="Arial" w:cs="Arial" w:eastAsia="Arial" w:hAnsi="Arial"/>
          <w:sz w:val="16"/>
          <w:szCs w:val="16"/>
          <w:b w:val="1"/>
          <w:bCs w:val="1"/>
          <w:i w:val="1"/>
          <w:iCs w:val="1"/>
          <w:color w:val="auto"/>
        </w:rPr>
        <w:t>Collective Bargaining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Prior to the Distribution Date, Oil States and Civeo will take or cause to be taken any actions necessary to cause a Civeo Entity to assume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 Bargaining Agreements to the maximum extent permitted by applicable Law. Nothing in this Agreement is intended to alter the provisions of any Collective Bargaining Agreement or modify in any way the obligations owed to the Employees covered by any such agreement.</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Former Employees</w:t>
      </w:r>
      <w:r>
        <w:rPr>
          <w:rFonts w:ascii="Arial" w:cs="Arial" w:eastAsia="Arial" w:hAnsi="Arial"/>
          <w:sz w:val="18"/>
          <w:szCs w:val="18"/>
          <w:color w:val="auto"/>
        </w:rPr>
        <w:t>. All former employees of the OS Group and its Subsidiaries who have an employment end date on or before the Effective Time who provided services primarily to the Civeo Business while employed by the OS Group and its Subsidiaries shall be “</w:t>
      </w:r>
      <w:r>
        <w:rPr>
          <w:rFonts w:ascii="Arial" w:cs="Arial" w:eastAsia="Arial" w:hAnsi="Arial"/>
          <w:sz w:val="18"/>
          <w:szCs w:val="18"/>
          <w:b w:val="1"/>
          <w:bCs w:val="1"/>
          <w:i w:val="1"/>
          <w:iCs w:val="1"/>
          <w:color w:val="auto"/>
        </w:rPr>
        <w:t>Former Civeo 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All former employees of the OS Group and its Subsidiaries who are not Former Civeo Group Employees shall be “</w:t>
      </w:r>
      <w:r>
        <w:rPr>
          <w:rFonts w:ascii="Arial" w:cs="Arial" w:eastAsia="Arial" w:hAnsi="Arial"/>
          <w:sz w:val="18"/>
          <w:szCs w:val="18"/>
          <w:b w:val="1"/>
          <w:bCs w:val="1"/>
          <w:i w:val="1"/>
          <w:iCs w:val="1"/>
          <w:color w:val="auto"/>
        </w:rPr>
        <w:t>Former OS Group Employees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ind w:left="660"/>
        <w:spacing w:after="0"/>
        <w:tabs>
          <w:tab w:leader="none" w:pos="16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b w:val="1"/>
          <w:bCs w:val="1"/>
          <w:u w:val="single" w:color="auto"/>
          <w:color w:val="auto"/>
        </w:rPr>
        <w:t>Employment Law Obligations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59" w:lineRule="auto"/>
        <w:tabs>
          <w:tab w:leader="none" w:pos="1802"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WARN Act</w:t>
      </w:r>
      <w:r>
        <w:rPr>
          <w:rFonts w:ascii="Arial" w:cs="Arial" w:eastAsia="Arial" w:hAnsi="Arial"/>
          <w:sz w:val="18"/>
          <w:szCs w:val="18"/>
          <w:color w:val="auto"/>
        </w:rPr>
        <w:t>. After the Effective Time, (i) Oil States shall be responsible for providing any necessary WARN notice and satisfying</w:t>
      </w:r>
      <w:r>
        <w:rPr>
          <w:rFonts w:ascii="Arial" w:cs="Arial" w:eastAsia="Arial" w:hAnsi="Arial"/>
          <w:sz w:val="18"/>
          <w:szCs w:val="18"/>
          <w:i w:val="1"/>
          <w:iCs w:val="1"/>
          <w:color w:val="auto"/>
        </w:rPr>
        <w:t xml:space="preserve"> </w:t>
      </w:r>
      <w:r>
        <w:rPr>
          <w:rFonts w:ascii="Arial" w:cs="Arial" w:eastAsia="Arial" w:hAnsi="Arial"/>
          <w:sz w:val="18"/>
          <w:szCs w:val="18"/>
          <w:color w:val="auto"/>
        </w:rPr>
        <w:t>WARN obligations with respect to any termination of employment of any OS Group Employee that occurs after the Effective Time and (ii) Civeo shall be responsible for providing any necessary WARN notice and satisfying WARN obligations with respect to any termination of employment of any Civeo Group Employee that occurs after the Effective Time.</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745" w:val="left"/>
        </w:tabs>
        <w:numPr>
          <w:ilvl w:val="0"/>
          <w:numId w:val="89"/>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Employment Laws</w:t>
      </w:r>
      <w:r>
        <w:rPr>
          <w:rFonts w:ascii="Arial" w:cs="Arial" w:eastAsia="Arial" w:hAnsi="Arial"/>
          <w:sz w:val="16"/>
          <w:szCs w:val="16"/>
          <w:color w:val="auto"/>
        </w:rPr>
        <w:t>. With respect to the time period occurring on and after the Distribution Date (i) each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OS Group shall be responsible for adopting and maintaining any policies or practices, and for all other actions and inactions, necessary to comply with employment-related Laws and requirements relating to the employment of OS Group Employees and the treatment of any applicable Former OS Group Employees in respect of their employment, and (ii) each member of the Civeo Group shall be responsible for adopting and maintaining any policies or practices, and for all other actions and inactions, necessary to comply with employment-related Laws and requirements relating to the employment of Civeo Group Employees and the treatment of any applicable Former Civeo Group Employees in respect of their employment.</w:t>
      </w:r>
    </w:p>
    <w:p>
      <w:pPr>
        <w:spacing w:after="0" w:line="16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5"/>
          <w:szCs w:val="15"/>
          <w:b w:val="1"/>
          <w:bCs w:val="1"/>
          <w:u w:val="single" w:color="auto"/>
          <w:color w:val="auto"/>
        </w:rPr>
        <w:t>Employee Records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9" w:lineRule="auto"/>
        <w:tabs>
          <w:tab w:leader="none" w:pos="1843" w:val="left"/>
        </w:tabs>
        <w:numPr>
          <w:ilvl w:val="0"/>
          <w:numId w:val="90"/>
        </w:numPr>
        <w:rPr>
          <w:rFonts w:ascii="Arial" w:cs="Arial" w:eastAsia="Arial" w:hAnsi="Arial"/>
          <w:sz w:val="17"/>
          <w:szCs w:val="17"/>
          <w:color w:val="auto"/>
        </w:rPr>
      </w:pPr>
      <w:r>
        <w:rPr>
          <w:rFonts w:ascii="Arial" w:cs="Arial" w:eastAsia="Arial" w:hAnsi="Arial"/>
          <w:sz w:val="17"/>
          <w:szCs w:val="17"/>
          <w:i w:val="1"/>
          <w:iCs w:val="1"/>
          <w:u w:val="single" w:color="auto"/>
          <w:color w:val="auto"/>
        </w:rPr>
        <w:t>Sharing of Information</w:t>
      </w:r>
      <w:r>
        <w:rPr>
          <w:rFonts w:ascii="Arial" w:cs="Arial" w:eastAsia="Arial" w:hAnsi="Arial"/>
          <w:sz w:val="17"/>
          <w:szCs w:val="17"/>
          <w:color w:val="auto"/>
        </w:rPr>
        <w:t>. Subject to any limitations imposed by applicable Law, Oil States and Civeo (acting directly or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OS Group or the Civeo Group, respectively) shall provide to the other and their respective agents and vendors all information necessary for the Parties to perform their respective duties under this Agreement. The Parties also hereby agree to enter into any business associate arrangements that may be required for the sharing of any Information pursuant to this Agreement to comply with the requirements of HIPAA.</w:t>
      </w:r>
    </w:p>
    <w:p>
      <w:pPr>
        <w:spacing w:after="0" w:line="171" w:lineRule="exact"/>
        <w:rPr>
          <w:rFonts w:ascii="Arial" w:cs="Arial" w:eastAsia="Arial" w:hAnsi="Arial"/>
          <w:sz w:val="17"/>
          <w:szCs w:val="17"/>
          <w:color w:val="auto"/>
        </w:rPr>
      </w:pPr>
    </w:p>
    <w:p>
      <w:pPr>
        <w:jc w:val="both"/>
        <w:ind w:firstLine="1305"/>
        <w:spacing w:after="0" w:line="269" w:lineRule="auto"/>
        <w:tabs>
          <w:tab w:leader="none" w:pos="1758" w:val="left"/>
        </w:tabs>
        <w:numPr>
          <w:ilvl w:val="0"/>
          <w:numId w:val="90"/>
        </w:numPr>
        <w:rPr>
          <w:rFonts w:ascii="Arial" w:cs="Arial" w:eastAsia="Arial" w:hAnsi="Arial"/>
          <w:sz w:val="17"/>
          <w:szCs w:val="17"/>
          <w:color w:val="auto"/>
        </w:rPr>
      </w:pPr>
      <w:r>
        <w:rPr>
          <w:rFonts w:ascii="Arial" w:cs="Arial" w:eastAsia="Arial" w:hAnsi="Arial"/>
          <w:sz w:val="17"/>
          <w:szCs w:val="17"/>
          <w:i w:val="1"/>
          <w:iCs w:val="1"/>
          <w:u w:val="single" w:color="auto"/>
          <w:color w:val="auto"/>
        </w:rPr>
        <w:t>Transfer of Personnel Records and Authorization</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any limitations imposed by applicable Law, as soon as administratively</w:t>
      </w:r>
      <w:r>
        <w:rPr>
          <w:rFonts w:ascii="Arial" w:cs="Arial" w:eastAsia="Arial" w:hAnsi="Arial"/>
          <w:sz w:val="17"/>
          <w:szCs w:val="17"/>
          <w:i w:val="1"/>
          <w:iCs w:val="1"/>
          <w:color w:val="auto"/>
        </w:rPr>
        <w:t xml:space="preserve"> </w:t>
      </w:r>
      <w:r>
        <w:rPr>
          <w:rFonts w:ascii="Arial" w:cs="Arial" w:eastAsia="Arial" w:hAnsi="Arial"/>
          <w:sz w:val="17"/>
          <w:szCs w:val="17"/>
          <w:color w:val="auto"/>
        </w:rPr>
        <w:t>feasible following the Distribution Date, Oil States shall transfer and assign to Civeo all personnel records, all immigration documents, including I-9 forms and work authorizations, all payroll deduction authorizations and elections, whether voluntary or mandated by Law, including but not limited to W-4 forms and deductions for benefits under the applicable Civeo Benefit Plan and all absence management records, Family and Medical Leave Act and employee leave records, insurance beneficiary designations, Flexible Spending Account enrollment confirmations, attendance, and return to work information (“</w:t>
      </w:r>
      <w:r>
        <w:rPr>
          <w:rFonts w:ascii="Arial" w:cs="Arial" w:eastAsia="Arial" w:hAnsi="Arial"/>
          <w:sz w:val="17"/>
          <w:szCs w:val="17"/>
          <w:b w:val="1"/>
          <w:bCs w:val="1"/>
          <w:i w:val="1"/>
          <w:iCs w:val="1"/>
          <w:color w:val="auto"/>
        </w:rPr>
        <w:t>Benefit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Management Records</w:t>
      </w:r>
      <w:r>
        <w:rPr>
          <w:rFonts w:ascii="Arial" w:cs="Arial" w:eastAsia="Arial" w:hAnsi="Arial"/>
          <w:sz w:val="17"/>
          <w:szCs w:val="17"/>
          <w:color w:val="auto"/>
        </w:rPr>
        <w:t>”) relating to Civeo Welfare Plan Participants. Subject to any limitations imposed by applicable Law, Oil States, however, may retain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originals of, copies of, or access to personnel Records, immigration records, payroll forms and Benefit Management Records as long as necessary to provide services to Civeo (acting pursuant to the Transition Services Agreement). Civeo will use personnel records, payroll forms and benefit management records for lawful purposes only, including calculation of withholdings from wages and personnel management. It is understood that following the Distribution Date, Oil States records so transferred and assigned may be maintained by Civeo (acting directly or through one of its Subsidiaries) pursuant to Civeo’s applicable records retention policy.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2" w:name="page113"/>
    <w:bookmarkEnd w:id="112"/>
    <w:p>
      <w:pPr>
        <w:jc w:val="both"/>
        <w:ind w:firstLine="1305"/>
        <w:spacing w:after="0" w:line="270" w:lineRule="auto"/>
        <w:tabs>
          <w:tab w:leader="none" w:pos="1816" w:val="left"/>
        </w:tabs>
        <w:numPr>
          <w:ilvl w:val="0"/>
          <w:numId w:val="91"/>
        </w:numPr>
        <w:rPr>
          <w:rFonts w:ascii="Arial" w:cs="Arial" w:eastAsia="Arial" w:hAnsi="Arial"/>
          <w:sz w:val="17"/>
          <w:szCs w:val="17"/>
          <w:color w:val="auto"/>
        </w:rPr>
      </w:pPr>
      <w:r>
        <w:rPr>
          <w:rFonts w:ascii="Arial" w:cs="Arial" w:eastAsia="Arial" w:hAnsi="Arial"/>
          <w:sz w:val="17"/>
          <w:szCs w:val="17"/>
          <w:i w:val="1"/>
          <w:iCs w:val="1"/>
          <w:u w:val="single" w:color="auto"/>
          <w:color w:val="auto"/>
        </w:rPr>
        <w:t>Access to Records</w:t>
      </w:r>
      <w:r>
        <w:rPr>
          <w:rFonts w:ascii="Arial" w:cs="Arial" w:eastAsia="Arial" w:hAnsi="Arial"/>
          <w:sz w:val="17"/>
          <w:szCs w:val="17"/>
          <w:color w:val="auto"/>
        </w:rPr>
        <w:t>. To the extent not inconsistent with this Agreement and any applicable Laws or Privacy Contracts,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Employee-related records after the Distribution Date will be provided to members of the OS Group and members of the Civeo Group pursuant to the terms and conditions of Article V of the Indemnification and Release Agreement. In addition, notwithstanding anything to the contrary, Civeo shall provide Oil States with reasonable access to those records necessary for its administration of any plans or programs on behalf of OS Group Employees and Former OS Group Employees after the Distribution Date as permitted by any applicable Laws or Privacy Contracts. Oil States shall also be permitted to retain copies of all restrictive covenant agreements with any Civeo Group Employee in which any member of the OS Group has a valid business interest. In addition, OS shall provide Civeo with reasonable access to those records necessary for its administration of any plans or programs on behalf of Civeo Group Employees and Former Civeo Group Employees after the Distribution Date as permitted by any applicable Laws or Privacy Contracts. Civeo shall also be permitted to retain copies of all restrictive covenant agreements with any OS Group Employee or Former OS Group Employee in which any member of the Civeo Group has a valid business interest.</w:t>
      </w:r>
    </w:p>
    <w:p>
      <w:pPr>
        <w:spacing w:after="0" w:line="231" w:lineRule="exact"/>
        <w:rPr>
          <w:rFonts w:ascii="Arial" w:cs="Arial" w:eastAsia="Arial" w:hAnsi="Arial"/>
          <w:sz w:val="17"/>
          <w:szCs w:val="17"/>
          <w:color w:val="auto"/>
        </w:rPr>
      </w:pPr>
    </w:p>
    <w:p>
      <w:pPr>
        <w:jc w:val="both"/>
        <w:ind w:firstLine="1305"/>
        <w:spacing w:after="0" w:line="259" w:lineRule="auto"/>
        <w:tabs>
          <w:tab w:leader="none" w:pos="1758"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Maintenance of Records</w:t>
      </w:r>
      <w:r>
        <w:rPr>
          <w:rFonts w:ascii="Arial" w:cs="Arial" w:eastAsia="Arial" w:hAnsi="Arial"/>
          <w:sz w:val="18"/>
          <w:szCs w:val="18"/>
          <w:color w:val="auto"/>
        </w:rPr>
        <w:t>. With respect to retaining, destroying, transferring, sharing, copying and permitting access to all Employee-related information, Oil States and Civeo shall comply with all applicable Laws and shall indemnify and hold harmless each other from and against any and all Liability, claims, actions, and damages that arise from a failure (by the indemnifying party or its Subsidiaries or their respective agents) to so comply with all applicable Laws or Privacy Contracts applicable to such information.</w:t>
      </w:r>
    </w:p>
    <w:p>
      <w:pPr>
        <w:spacing w:after="0" w:line="240" w:lineRule="exact"/>
        <w:rPr>
          <w:rFonts w:ascii="Arial" w:cs="Arial" w:eastAsia="Arial" w:hAnsi="Arial"/>
          <w:sz w:val="18"/>
          <w:szCs w:val="18"/>
          <w:color w:val="auto"/>
        </w:rPr>
      </w:pPr>
    </w:p>
    <w:p>
      <w:pPr>
        <w:jc w:val="both"/>
        <w:ind w:firstLine="1305"/>
        <w:spacing w:after="0" w:line="279" w:lineRule="auto"/>
        <w:tabs>
          <w:tab w:leader="none" w:pos="1883" w:val="left"/>
        </w:tabs>
        <w:numPr>
          <w:ilvl w:val="0"/>
          <w:numId w:val="91"/>
        </w:numPr>
        <w:rPr>
          <w:rFonts w:ascii="Arial" w:cs="Arial" w:eastAsia="Arial" w:hAnsi="Arial"/>
          <w:sz w:val="17"/>
          <w:szCs w:val="17"/>
          <w:color w:val="auto"/>
        </w:rPr>
      </w:pPr>
      <w:r>
        <w:rPr>
          <w:rFonts w:ascii="Arial" w:cs="Arial" w:eastAsia="Arial" w:hAnsi="Arial"/>
          <w:sz w:val="17"/>
          <w:szCs w:val="17"/>
          <w:i w:val="1"/>
          <w:iCs w:val="1"/>
          <w:u w:val="single" w:color="auto"/>
          <w:color w:val="auto"/>
        </w:rPr>
        <w:t>No Access to Computer Systems or Files</w:t>
      </w:r>
      <w:r>
        <w:rPr>
          <w:rFonts w:ascii="Arial" w:cs="Arial" w:eastAsia="Arial" w:hAnsi="Arial"/>
          <w:sz w:val="17"/>
          <w:szCs w:val="17"/>
          <w:color w:val="auto"/>
        </w:rPr>
        <w:t>. Except as set forth in the Indemnification and Release Agreement or any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no provision of this Agreement shall give (i) any member of the OS Group direct access to the computer systems or other files, records or databases of any member of the Civeo Group or (ii) any member of the Civeo Group direct access to the computer systems or other files, records or databases of any member of the OS Group, unless specifically permitted by the owner of such systems, files, records or databases.</w:t>
      </w:r>
    </w:p>
    <w:p>
      <w:pPr>
        <w:spacing w:after="0" w:line="225" w:lineRule="exact"/>
        <w:rPr>
          <w:rFonts w:ascii="Arial" w:cs="Arial" w:eastAsia="Arial" w:hAnsi="Arial"/>
          <w:sz w:val="17"/>
          <w:szCs w:val="17"/>
          <w:color w:val="auto"/>
        </w:rPr>
      </w:pPr>
    </w:p>
    <w:p>
      <w:pPr>
        <w:jc w:val="both"/>
        <w:ind w:firstLine="1305"/>
        <w:spacing w:after="0" w:line="259" w:lineRule="auto"/>
        <w:tabs>
          <w:tab w:leader="none" w:pos="1917"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Confidentiality</w:t>
      </w:r>
      <w:r>
        <w:rPr>
          <w:rFonts w:ascii="Arial" w:cs="Arial" w:eastAsia="Arial" w:hAnsi="Arial"/>
          <w:sz w:val="18"/>
          <w:szCs w:val="18"/>
          <w:color w:val="auto"/>
        </w:rPr>
        <w:t>. The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in addition to, and not in derogation of,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Indemnification and Release Agreement governing confidential information, including Section 5.8 of the Indemnification and Release Agreement. Except as otherwise set forth in this Agreement, all records and data relating to Employees shall, in each case, be subject to the confidentiality provisions of the Indemnification and Release Agreement and any other applicable agreement and applicable Law.</w:t>
      </w:r>
    </w:p>
    <w:p>
      <w:pPr>
        <w:spacing w:after="0" w:line="240" w:lineRule="exact"/>
        <w:rPr>
          <w:rFonts w:ascii="Arial" w:cs="Arial" w:eastAsia="Arial" w:hAnsi="Arial"/>
          <w:sz w:val="18"/>
          <w:szCs w:val="18"/>
          <w:color w:val="auto"/>
        </w:rPr>
      </w:pPr>
    </w:p>
    <w:p>
      <w:pPr>
        <w:jc w:val="both"/>
        <w:ind w:firstLine="1305"/>
        <w:spacing w:after="0" w:line="279" w:lineRule="auto"/>
        <w:tabs>
          <w:tab w:leader="none" w:pos="1785" w:val="left"/>
        </w:tabs>
        <w:numPr>
          <w:ilvl w:val="0"/>
          <w:numId w:val="91"/>
        </w:numPr>
        <w:rPr>
          <w:rFonts w:ascii="Arial" w:cs="Arial" w:eastAsia="Arial" w:hAnsi="Arial"/>
          <w:sz w:val="17"/>
          <w:szCs w:val="17"/>
          <w:color w:val="auto"/>
        </w:rPr>
      </w:pPr>
      <w:r>
        <w:rPr>
          <w:rFonts w:ascii="Arial" w:cs="Arial" w:eastAsia="Arial" w:hAnsi="Arial"/>
          <w:sz w:val="17"/>
          <w:szCs w:val="17"/>
          <w:i w:val="1"/>
          <w:iCs w:val="1"/>
          <w:u w:val="single" w:color="auto"/>
          <w:color w:val="auto"/>
        </w:rPr>
        <w:t>Cooperation</w:t>
      </w:r>
      <w:r>
        <w:rPr>
          <w:rFonts w:ascii="Arial" w:cs="Arial" w:eastAsia="Arial" w:hAnsi="Arial"/>
          <w:sz w:val="17"/>
          <w:szCs w:val="17"/>
          <w:color w:val="auto"/>
        </w:rPr>
        <w:t>. Each Party shall use commercially reasonable efforts to cooperate to share, retain, and maintain data and records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are necessary or appropriate to further the purposes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for each Party to administer its respective Benefit Plans to the extent consistent with this Agreement and applicable Law, and each Party agrees to cooperate as long as is reasonably necessary to further the purposes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Except as provided under any Transfer Document, no Party shall charge another Party a fee for such cooperation.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AWARDS</w:t>
      </w:r>
    </w:p>
    <w:p>
      <w:pPr>
        <w:spacing w:after="0" w:line="20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b w:val="1"/>
          <w:bCs w:val="1"/>
          <w:u w:val="single" w:color="auto"/>
          <w:color w:val="auto"/>
        </w:rPr>
        <w:t>General Principles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7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Oil States and Civeo shall take any and all reasonable actions as shall be necessary and appropriate to further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to the extent practicable, providing written notice or similar communication to each Employee who holds one or more awards granted under the OS Equity Plan informing such Employee of (i) the actions contemplated by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such awards and (ii) whether (and during what time period) any “blackout” period shall be imposed upon holders of awards granted under the OS Equity Plan during which time awards may not be exercised or settled, as the case may be.</w:t>
      </w:r>
    </w:p>
    <w:p>
      <w:pPr>
        <w:spacing w:after="0" w:line="188" w:lineRule="exact"/>
        <w:rPr>
          <w:rFonts w:ascii="Arial" w:cs="Arial" w:eastAsia="Arial" w:hAnsi="Arial"/>
          <w:sz w:val="18"/>
          <w:szCs w:val="18"/>
          <w:color w:val="auto"/>
        </w:rPr>
      </w:pPr>
    </w:p>
    <w:p>
      <w:pPr>
        <w:jc w:val="both"/>
        <w:ind w:firstLine="1305"/>
        <w:spacing w:after="0" w:line="273" w:lineRule="auto"/>
        <w:tabs>
          <w:tab w:leader="none" w:pos="1786" w:val="left"/>
        </w:tabs>
        <w:numPr>
          <w:ilvl w:val="0"/>
          <w:numId w:val="92"/>
        </w:numPr>
        <w:rPr>
          <w:rFonts w:ascii="Arial" w:cs="Arial" w:eastAsia="Arial" w:hAnsi="Arial"/>
          <w:sz w:val="17"/>
          <w:szCs w:val="17"/>
          <w:color w:val="auto"/>
        </w:rPr>
      </w:pPr>
      <w:r>
        <w:rPr>
          <w:rFonts w:ascii="Arial" w:cs="Arial" w:eastAsia="Arial" w:hAnsi="Arial"/>
          <w:sz w:val="17"/>
          <w:szCs w:val="17"/>
          <w:color w:val="auto"/>
        </w:rPr>
        <w:t>From and after the Distribution, (i) a grantee who has outstanding awards under the OS Equity Plan or the Civeo New Equity Plan shall be considered to have been employed by the applicable plan sponsor before and after the Distribution for purposes of (x) vesting and (y) determining the date of termination of employment as it applies to any such award and (ii) for purposes of determining whether any “change of control” has occurred with respect to any OS Equity Award or Civeo Equity Award, (x) a “change of control” shall only be deemed to have occurred for purposes of any award that is held by an OS Group Employee upon a “change of control” of Oil States and (y) a “change of control” shall only be deemed to have occurred for purposes of any award that is held by a Civeo Group Employee upon a “change of control” of Civeo.</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8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 award described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whether outstanding or to be issued, adjusted, substituted or cancelled by reason of or in connection with the Distribution, shall be adjusted, settled, cancelled, or exercisable, until in the judgment of the administrator of the applicable plan or program such action is consistent with all applicable Laws, including federal securities Laws. Any period of exercisability will not be extended on account of a period during which such an award is not exercisable pursuant to the preceding sentence.</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17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adjustment or conversion of OS Equity Awards pursuant to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intended to be effectuated in a manner so as to result in each Adjusted OS Equity Award, OS RSA or Civeo Equity Award, as applicable, having an aggregate “fair value” and an “intrinsic value” (in each case, within the meaning of ASC 718 and determined in accordance therewith), as of immediately following the Distribution, that shall be substantially identical to the fair value and intrinsic value of the related OS Equity Award immediately prior to the Distribution, subject to any differences in “fair value” or “intrinsic value” caused solely by rounding to avoid awards with respect to fractional shares of OS Common Stock or Civeo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4" w:name="page115"/>
    <w:bookmarkEnd w:id="114"/>
    <w:p>
      <w:pPr>
        <w:ind w:firstLine="1305"/>
        <w:spacing w:after="0" w:line="277" w:lineRule="auto"/>
        <w:tabs>
          <w:tab w:leader="none" w:pos="17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adjustment or conversion of OS Equity Awards shall be effectuated in a manner that is intended to avoid the imposition of any penalty or other taxes on the holders thereof pursuant to Section 409A of the Code.</w:t>
      </w:r>
    </w:p>
    <w:p>
      <w:pPr>
        <w:spacing w:after="0" w:line="166"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b w:val="1"/>
          <w:bCs w:val="1"/>
          <w:u w:val="single" w:color="auto"/>
          <w:color w:val="auto"/>
        </w:rPr>
        <w:t>Restricted Stock</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55" w:lineRule="auto"/>
        <w:tabs>
          <w:tab w:leader="none" w:pos="17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Rather than participate in the Distribution, each OS RSA that is outstanding, unvested and held by an OS Group Employee, Former OS Group Employee, OS Director, Civeo Director or Former Civeo Group Employee as of immediately prior to the Effective Time (an “</w:t>
      </w:r>
      <w:r>
        <w:rPr>
          <w:rFonts w:ascii="Arial" w:cs="Arial" w:eastAsia="Arial" w:hAnsi="Arial"/>
          <w:sz w:val="18"/>
          <w:szCs w:val="18"/>
          <w:b w:val="1"/>
          <w:bCs w:val="1"/>
          <w:i w:val="1"/>
          <w:iCs w:val="1"/>
          <w:color w:val="auto"/>
        </w:rPr>
        <w:t>OS Employee RSA</w:t>
      </w:r>
      <w:r>
        <w:rPr>
          <w:rFonts w:ascii="Arial" w:cs="Arial" w:eastAsia="Arial" w:hAnsi="Arial"/>
          <w:sz w:val="18"/>
          <w:szCs w:val="18"/>
          <w:color w:val="auto"/>
        </w:rPr>
        <w:t>”) shall, following the Effective Time, remain outstanding and the holder thereof shall receive, in lieu of any shares of Civeo Common Stock otherwise distributable in respect of such OS Employee RSA upon the Distribution, an additional number of OS RSAs (the “</w:t>
      </w:r>
      <w:r>
        <w:rPr>
          <w:rFonts w:ascii="Arial" w:cs="Arial" w:eastAsia="Arial" w:hAnsi="Arial"/>
          <w:sz w:val="18"/>
          <w:szCs w:val="18"/>
          <w:b w:val="1"/>
          <w:bCs w:val="1"/>
          <w:i w:val="1"/>
          <w:iCs w:val="1"/>
          <w:color w:val="auto"/>
        </w:rPr>
        <w:t>Additional OS RSAs</w:t>
      </w:r>
      <w:r>
        <w:rPr>
          <w:rFonts w:ascii="Arial" w:cs="Arial" w:eastAsia="Arial" w:hAnsi="Arial"/>
          <w:sz w:val="18"/>
          <w:szCs w:val="18"/>
          <w:color w:val="auto"/>
        </w:rPr>
        <w:t>”) equal to the Additional OS RSA Number. The Additional OS RSAs shall be granted under the same terms and conditions as the related OS Employee RSA. Following the Effective Time, the OS Employee RSAs and Additional OS RSAs shall remain subject to the same terms and conditions as applicable to the OS Employee RSA prior to the Effective Time.</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17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Rather than participate in the Distribution, each OS RSA that is outstanding, unvested and held by a Civeo Group Employee as of immediately prior to the Effective Time (a “</w:t>
      </w:r>
      <w:r>
        <w:rPr>
          <w:rFonts w:ascii="Arial" w:cs="Arial" w:eastAsia="Arial" w:hAnsi="Arial"/>
          <w:sz w:val="18"/>
          <w:szCs w:val="18"/>
          <w:b w:val="1"/>
          <w:bCs w:val="1"/>
          <w:i w:val="1"/>
          <w:iCs w:val="1"/>
          <w:color w:val="auto"/>
        </w:rPr>
        <w:t>Civeo Employee RSA</w:t>
      </w:r>
      <w:r>
        <w:rPr>
          <w:rFonts w:ascii="Arial" w:cs="Arial" w:eastAsia="Arial" w:hAnsi="Arial"/>
          <w:sz w:val="18"/>
          <w:szCs w:val="18"/>
          <w:color w:val="auto"/>
        </w:rPr>
        <w:t>”) shall be cancelled upon the Effective Time and such holder shall be entitled to receive as soon as practicable following the Effective Time, a number of restricted shares of Civeo Common Stock under the Civeo New Equity Plan equal to the Civeo Share Number (a “</w:t>
      </w:r>
      <w:r>
        <w:rPr>
          <w:rFonts w:ascii="Arial" w:cs="Arial" w:eastAsia="Arial" w:hAnsi="Arial"/>
          <w:sz w:val="18"/>
          <w:szCs w:val="18"/>
          <w:b w:val="1"/>
          <w:bCs w:val="1"/>
          <w:i w:val="1"/>
          <w:iCs w:val="1"/>
          <w:color w:val="auto"/>
        </w:rPr>
        <w:t>Civeo RSA</w:t>
      </w:r>
      <w:r>
        <w:rPr>
          <w:rFonts w:ascii="Arial" w:cs="Arial" w:eastAsia="Arial" w:hAnsi="Arial"/>
          <w:sz w:val="18"/>
          <w:szCs w:val="18"/>
          <w:color w:val="auto"/>
        </w:rPr>
        <w:t xml:space="preserve">”). Each Civeo RSA described in the preceding sentence shall be subject to substantially the same terms and conditions after the Effective Time as the terms and conditions applicable to the corresponding Civeo Employee RSA immediately prior to the Effective Time (including vesting);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 the vesting of each Civeo RSA shall be determined based upon continued service with the Civeo Group rather than the OS Group.</w:t>
      </w:r>
    </w:p>
    <w:p>
      <w:pPr>
        <w:spacing w:after="0" w:line="18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b w:val="1"/>
          <w:bCs w:val="1"/>
          <w:u w:val="single" w:color="auto"/>
          <w:color w:val="auto"/>
        </w:rPr>
        <w:t>Stock Options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3" w:lineRule="auto"/>
        <w:tabs>
          <w:tab w:leader="none" w:pos="172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Each OS Option whether or not exercisable that is outstanding and held by an OS Group Employee, Former OS Group Employee, OS Director, Civeo Director or Former Civeo Group Employee (an </w:t>
      </w:r>
      <w:r>
        <w:rPr>
          <w:rFonts w:ascii="Arial" w:cs="Arial" w:eastAsia="Arial" w:hAnsi="Arial"/>
          <w:sz w:val="17"/>
          <w:szCs w:val="17"/>
          <w:b w:val="1"/>
          <w:bCs w:val="1"/>
          <w:i w:val="1"/>
          <w:iCs w:val="1"/>
          <w:color w:val="auto"/>
        </w:rPr>
        <w:t>“OS Employee Option</w:t>
      </w:r>
      <w:r>
        <w:rPr>
          <w:rFonts w:ascii="Arial" w:cs="Arial" w:eastAsia="Arial" w:hAnsi="Arial"/>
          <w:sz w:val="17"/>
          <w:szCs w:val="17"/>
          <w:color w:val="auto"/>
        </w:rPr>
        <w:t>”) as of immediately prior to the Effective Time shall, upon the Effective Time, be adjusted such that (i) the number of shares of OS Common Stock subject to such OS Employee Option is the Adjusted OS Share Number (following such adjustment, the OS Employee Option shall be an “</w:t>
      </w:r>
      <w:r>
        <w:rPr>
          <w:rFonts w:ascii="Arial" w:cs="Arial" w:eastAsia="Arial" w:hAnsi="Arial"/>
          <w:sz w:val="17"/>
          <w:szCs w:val="17"/>
          <w:b w:val="1"/>
          <w:bCs w:val="1"/>
          <w:i w:val="1"/>
          <w:iCs w:val="1"/>
          <w:color w:val="auto"/>
        </w:rPr>
        <w:t>Adjusted OS Option</w:t>
      </w:r>
      <w:r>
        <w:rPr>
          <w:rFonts w:ascii="Arial" w:cs="Arial" w:eastAsia="Arial" w:hAnsi="Arial"/>
          <w:sz w:val="17"/>
          <w:szCs w:val="17"/>
          <w:color w:val="auto"/>
        </w:rPr>
        <w:t>”) and (ii) the per share exercise price of such Adjusted OS Option is the OS Adjusted Exercise Price. Other than as described in the preceding sentence, following the Effective Time the Adjusted OS Option shall remain subject to the same terms and conditions as applicable to the OS Employee Option prior to the Effective Time.</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74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Each OS Option whether or not exercisable that is outstanding and held by a Civeo Group Employee (a </w:t>
      </w:r>
      <w:r>
        <w:rPr>
          <w:rFonts w:ascii="Arial" w:cs="Arial" w:eastAsia="Arial" w:hAnsi="Arial"/>
          <w:sz w:val="17"/>
          <w:szCs w:val="17"/>
          <w:b w:val="1"/>
          <w:bCs w:val="1"/>
          <w:i w:val="1"/>
          <w:iCs w:val="1"/>
          <w:color w:val="auto"/>
        </w:rPr>
        <w:t>“Civeo Employe Option</w:t>
      </w:r>
      <w:r>
        <w:rPr>
          <w:rFonts w:ascii="Arial" w:cs="Arial" w:eastAsia="Arial" w:hAnsi="Arial"/>
          <w:sz w:val="17"/>
          <w:szCs w:val="17"/>
          <w:color w:val="auto"/>
        </w:rPr>
        <w:t>”) as of immediately prior to the Effective Time shall, upon the Effective Time, be converted into an option to purchase a number of shares of Civeo Common Stock granted under the Civeo New Equity Plan equal to the Civeo Share Number (a “</w:t>
      </w:r>
      <w:r>
        <w:rPr>
          <w:rFonts w:ascii="Arial" w:cs="Arial" w:eastAsia="Arial" w:hAnsi="Arial"/>
          <w:sz w:val="17"/>
          <w:szCs w:val="17"/>
          <w:b w:val="1"/>
          <w:bCs w:val="1"/>
          <w:i w:val="1"/>
          <w:iCs w:val="1"/>
          <w:color w:val="auto"/>
        </w:rPr>
        <w:t>Civeo Option</w:t>
      </w:r>
      <w:r>
        <w:rPr>
          <w:rFonts w:ascii="Arial" w:cs="Arial" w:eastAsia="Arial" w:hAnsi="Arial"/>
          <w:sz w:val="17"/>
          <w:szCs w:val="17"/>
          <w:color w:val="auto"/>
        </w:rPr>
        <w:t xml:space="preserve">”) with an exercise price per share of Civeo Common Stock equal to the Civeo Adjusted Exercise Price. Each Civeo Option described in the preceding sentence shall be subject to the same terms and conditions after the Effective Time as the terms and conditions applicable to the corresponding Civeo Employee Option immediately prior to the Effective Time (including vesting);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from and after the Effective Time the vesting and exercisability of each Civeo Option shall be determined based upon continued service with the Civeo Group rather than the OS Group.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ind w:firstLine="1305"/>
        <w:spacing w:after="0" w:line="308" w:lineRule="auto"/>
        <w:tabs>
          <w:tab w:leader="none" w:pos="173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The adjustments described in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with respect to OS Options shall be effected in a manner that is consistent with Section 409A of the Code and, with respect to any OS Options “incentive stock options”, in a manner consistent with Section 424(a) of the Code.</w:t>
      </w:r>
    </w:p>
    <w:p>
      <w:pPr>
        <w:spacing w:after="0" w:line="19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b w:val="1"/>
          <w:bCs w:val="1"/>
          <w:u w:val="single" w:color="auto"/>
          <w:color w:val="auto"/>
        </w:rPr>
        <w:t>Deferred Stock Awards</w:t>
      </w:r>
      <w:r>
        <w:rPr>
          <w:rFonts w:ascii="Arial" w:cs="Arial" w:eastAsia="Arial" w:hAnsi="Arial"/>
          <w:sz w:val="16"/>
          <w:szCs w:val="16"/>
          <w:color w:val="auto"/>
        </w:rPr>
        <w:t>.</w:t>
      </w:r>
    </w:p>
    <w:p>
      <w:pPr>
        <w:spacing w:after="0" w:line="229" w:lineRule="exact"/>
        <w:rPr>
          <w:sz w:val="20"/>
          <w:szCs w:val="20"/>
          <w:color w:val="auto"/>
        </w:rPr>
      </w:pPr>
    </w:p>
    <w:p>
      <w:pPr>
        <w:ind w:left="1720" w:hanging="415"/>
        <w:spacing w:after="0"/>
        <w:tabs>
          <w:tab w:leader="none" w:pos="1720" w:val="left"/>
        </w:tabs>
        <w:numPr>
          <w:ilvl w:val="0"/>
          <w:numId w:val="97"/>
        </w:numPr>
        <w:rPr>
          <w:rFonts w:ascii="Arial" w:cs="Arial" w:eastAsia="Arial" w:hAnsi="Arial"/>
          <w:sz w:val="18"/>
          <w:szCs w:val="18"/>
          <w:color w:val="auto"/>
        </w:rPr>
      </w:pPr>
      <w:r>
        <w:rPr>
          <w:rFonts w:ascii="Arial" w:cs="Arial" w:eastAsia="Arial" w:hAnsi="Arial"/>
          <w:sz w:val="18"/>
          <w:szCs w:val="18"/>
          <w:i w:val="1"/>
          <w:iCs w:val="1"/>
          <w:u w:val="single" w:color="auto"/>
          <w:color w:val="auto"/>
        </w:rPr>
        <w:t>Time-Based Deferred Stock Awards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left="660" w:firstLine="1293"/>
        <w:spacing w:after="0" w:line="276" w:lineRule="auto"/>
        <w:tabs>
          <w:tab w:leader="none" w:pos="2425" w:val="left"/>
        </w:tabs>
        <w:numPr>
          <w:ilvl w:val="1"/>
          <w:numId w:val="97"/>
        </w:numPr>
        <w:rPr>
          <w:rFonts w:ascii="Arial" w:cs="Arial" w:eastAsia="Arial" w:hAnsi="Arial"/>
          <w:sz w:val="17"/>
          <w:szCs w:val="17"/>
          <w:color w:val="auto"/>
        </w:rPr>
      </w:pPr>
      <w:r>
        <w:rPr>
          <w:rFonts w:ascii="Arial" w:cs="Arial" w:eastAsia="Arial" w:hAnsi="Arial"/>
          <w:sz w:val="17"/>
          <w:szCs w:val="17"/>
          <w:color w:val="auto"/>
        </w:rPr>
        <w:t>Each OS DSA that is outstanding and held by an OS Group Employee, Former OS Group Employee, OS Director, Civeo Director or Former Civeo Group Employee as of immediately prior to the Effective Time (an “</w:t>
      </w:r>
      <w:r>
        <w:rPr>
          <w:rFonts w:ascii="Arial" w:cs="Arial" w:eastAsia="Arial" w:hAnsi="Arial"/>
          <w:sz w:val="17"/>
          <w:szCs w:val="17"/>
          <w:b w:val="1"/>
          <w:bCs w:val="1"/>
          <w:i w:val="1"/>
          <w:iCs w:val="1"/>
          <w:color w:val="auto"/>
        </w:rPr>
        <w:t>OS Employee DSA</w:t>
      </w:r>
      <w:r>
        <w:rPr>
          <w:rFonts w:ascii="Arial" w:cs="Arial" w:eastAsia="Arial" w:hAnsi="Arial"/>
          <w:sz w:val="17"/>
          <w:szCs w:val="17"/>
          <w:color w:val="auto"/>
        </w:rPr>
        <w:t>”) shall, upon the Effective Time, be adjusted such that the number of shares of OS Common Stock subject to such OS DSA is the Adjusted OS Share Number (such adjusted OS DSA, an “</w:t>
      </w:r>
      <w:r>
        <w:rPr>
          <w:rFonts w:ascii="Arial" w:cs="Arial" w:eastAsia="Arial" w:hAnsi="Arial"/>
          <w:sz w:val="17"/>
          <w:szCs w:val="17"/>
          <w:b w:val="1"/>
          <w:bCs w:val="1"/>
          <w:i w:val="1"/>
          <w:iCs w:val="1"/>
          <w:color w:val="auto"/>
        </w:rPr>
        <w:t>Adjusted OS DSA”</w:t>
      </w:r>
      <w:r>
        <w:rPr>
          <w:rFonts w:ascii="Arial" w:cs="Arial" w:eastAsia="Arial" w:hAnsi="Arial"/>
          <w:sz w:val="17"/>
          <w:szCs w:val="17"/>
          <w:color w:val="auto"/>
        </w:rPr>
        <w:t>). Other than as described in the preceding sentence, following the Effective Time the Adjusted OS DSA shall remain subject to the same terms and conditions as applicable to the OS DSA prior to the Effective Time.</w:t>
      </w:r>
    </w:p>
    <w:p>
      <w:pPr>
        <w:spacing w:after="0" w:line="172" w:lineRule="exact"/>
        <w:rPr>
          <w:rFonts w:ascii="Arial" w:cs="Arial" w:eastAsia="Arial" w:hAnsi="Arial"/>
          <w:sz w:val="17"/>
          <w:szCs w:val="17"/>
          <w:color w:val="auto"/>
        </w:rPr>
      </w:pPr>
    </w:p>
    <w:p>
      <w:pPr>
        <w:jc w:val="both"/>
        <w:ind w:left="660" w:firstLine="1293"/>
        <w:spacing w:after="0" w:line="293" w:lineRule="auto"/>
        <w:tabs>
          <w:tab w:leader="none" w:pos="24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OS DSA, that is outstanding and held by a Civeo Group Employee as of immediately prior to the Effective Time (a “</w:t>
      </w:r>
      <w:r>
        <w:rPr>
          <w:rFonts w:ascii="Arial" w:cs="Arial" w:eastAsia="Arial" w:hAnsi="Arial"/>
          <w:sz w:val="16"/>
          <w:szCs w:val="16"/>
          <w:b w:val="1"/>
          <w:bCs w:val="1"/>
          <w:i w:val="1"/>
          <w:iCs w:val="1"/>
          <w:color w:val="auto"/>
        </w:rPr>
        <w:t>Civeo Employee DSA</w:t>
      </w:r>
      <w:r>
        <w:rPr>
          <w:rFonts w:ascii="Arial" w:cs="Arial" w:eastAsia="Arial" w:hAnsi="Arial"/>
          <w:sz w:val="16"/>
          <w:szCs w:val="16"/>
          <w:color w:val="auto"/>
        </w:rPr>
        <w:t>”) shall, upon the Effective Time, be converted into a time-based deferred stock award granted under the Civeo New Equity Plan with respect to a number of shares of Civeo Common Stock equal to the Civeo Share Number (a “</w:t>
      </w:r>
      <w:r>
        <w:rPr>
          <w:rFonts w:ascii="Arial" w:cs="Arial" w:eastAsia="Arial" w:hAnsi="Arial"/>
          <w:sz w:val="16"/>
          <w:szCs w:val="16"/>
          <w:b w:val="1"/>
          <w:bCs w:val="1"/>
          <w:i w:val="1"/>
          <w:iCs w:val="1"/>
          <w:color w:val="auto"/>
        </w:rPr>
        <w:t>Civeo DSA</w:t>
      </w:r>
      <w:r>
        <w:rPr>
          <w:rFonts w:ascii="Arial" w:cs="Arial" w:eastAsia="Arial" w:hAnsi="Arial"/>
          <w:sz w:val="16"/>
          <w:szCs w:val="16"/>
          <w:color w:val="auto"/>
        </w:rPr>
        <w:t xml:space="preserve">”). Each Civeo DSA described in the preceding sentence shall be subject to substantially the same terms and conditions after the Effective Time as the terms and conditions applicable to the corresponding Civeo Employee DSA immediately prior to the Effective Time (including vesting);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from and after the Effective Time the vesting of each Civeo DSA shall be determined based upon continued service with the Civeo Group rather than the OS Group.</w:t>
      </w:r>
    </w:p>
    <w:p>
      <w:pPr>
        <w:spacing w:after="0" w:line="164" w:lineRule="exact"/>
        <w:rPr>
          <w:rFonts w:ascii="Arial" w:cs="Arial" w:eastAsia="Arial" w:hAnsi="Arial"/>
          <w:sz w:val="16"/>
          <w:szCs w:val="16"/>
          <w:color w:val="auto"/>
        </w:rPr>
      </w:pPr>
    </w:p>
    <w:p>
      <w:pPr>
        <w:ind w:left="1740" w:hanging="435"/>
        <w:spacing w:after="0"/>
        <w:tabs>
          <w:tab w:leader="none" w:pos="1740" w:val="left"/>
        </w:tabs>
        <w:numPr>
          <w:ilvl w:val="0"/>
          <w:numId w:val="97"/>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Performance-Based Deferred Stock Awards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left="660" w:firstLine="1293"/>
        <w:spacing w:after="0" w:line="291" w:lineRule="auto"/>
        <w:tabs>
          <w:tab w:leader="none" w:pos="243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Each OS PSU that is outstanding and held by an OS Group Employee, Former OS Group Employee, OS Director, Civeo Director or Former Civeo Group Employee as of immediately prior to the Effective Time (an “</w:t>
      </w:r>
      <w:r>
        <w:rPr>
          <w:rFonts w:ascii="Arial" w:cs="Arial" w:eastAsia="Arial" w:hAnsi="Arial"/>
          <w:sz w:val="16"/>
          <w:szCs w:val="16"/>
          <w:b w:val="1"/>
          <w:bCs w:val="1"/>
          <w:i w:val="1"/>
          <w:iCs w:val="1"/>
          <w:color w:val="auto"/>
        </w:rPr>
        <w:t>OS Employee PSU</w:t>
      </w:r>
      <w:r>
        <w:rPr>
          <w:rFonts w:ascii="Arial" w:cs="Arial" w:eastAsia="Arial" w:hAnsi="Arial"/>
          <w:sz w:val="16"/>
          <w:szCs w:val="16"/>
          <w:color w:val="auto"/>
        </w:rPr>
        <w:t xml:space="preserve">”) shall, upon the Effective Time, be converted into a number of time-vested OS RSAs equal to the Adjusted OS Share Number. Other than as described in the preceding sentence, following the Effective Time, the resulting OS RSAs shall remain subject to substantially the same terms and conditions as applicable to the OS PSU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from and after the Effective Time no further “Performance Objectives” shall apply and vesting of such OS RSAs shall be determined based upon continued service with the OS Group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OS RSAs shall have such other rights as are generally applicable to other OS RSAs (including, without limitation, any such rights relating to voting and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6" w:name="page117"/>
    <w:bookmarkEnd w:id="116"/>
    <w:p>
      <w:pPr>
        <w:jc w:val="both"/>
        <w:ind w:left="660" w:firstLine="1293"/>
        <w:spacing w:after="0" w:line="271" w:lineRule="auto"/>
        <w:tabs>
          <w:tab w:leader="none" w:pos="2477"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Each OS PSU that is outstanding and held by a Civeo Group Employee as of immediately prior to the Effective Time (a “</w:t>
      </w:r>
      <w:r>
        <w:rPr>
          <w:rFonts w:ascii="Arial" w:cs="Arial" w:eastAsia="Arial" w:hAnsi="Arial"/>
          <w:sz w:val="17"/>
          <w:szCs w:val="17"/>
          <w:b w:val="1"/>
          <w:bCs w:val="1"/>
          <w:i w:val="1"/>
          <w:iCs w:val="1"/>
          <w:color w:val="auto"/>
        </w:rPr>
        <w:t>Civeo Employee PSU</w:t>
      </w:r>
      <w:r>
        <w:rPr>
          <w:rFonts w:ascii="Arial" w:cs="Arial" w:eastAsia="Arial" w:hAnsi="Arial"/>
          <w:sz w:val="17"/>
          <w:szCs w:val="17"/>
          <w:color w:val="auto"/>
        </w:rPr>
        <w:t xml:space="preserve">”) shall, upon the Effective Time, be terminated at the Effective Time with the holder thereof entitled to receive, as soon as practicable following the Effective Time, a number of time-vested Civeo RSAs granted pursuant to the Civeo New Equity Plan equal to the Civeo Share Number. Other than as described in the preceding sentence, following the Effective Time the Civeo RSAs shall remain subject to substantially the same terms and conditions as applicable to the OS PSU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from and after the Effective Time no further “Performance Objectives” shall apply and vesting of such Civeo RSAs shall be determined solely based upon continued service with the Civeo Group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Civeo RSAs shall have such other rights as are generally applicable to other Civeo RSAs (including, without limitation, any such rights relating to voting and dividends).</w:t>
      </w:r>
    </w:p>
    <w:p>
      <w:pPr>
        <w:spacing w:after="0" w:line="17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b w:val="1"/>
          <w:bCs w:val="1"/>
          <w:u w:val="single" w:color="auto"/>
          <w:color w:val="auto"/>
        </w:rPr>
        <w:t>Phantom Stock Awards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7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OS Phantom Stock Award that is outstanding and held by an OS Group Employee, Former OS Group Employee, OS Director, Civeo Director or Former Civeo Group Employee as of immediately prior to the Effective Time (an “</w:t>
      </w:r>
      <w:r>
        <w:rPr>
          <w:rFonts w:ascii="Arial" w:cs="Arial" w:eastAsia="Arial" w:hAnsi="Arial"/>
          <w:sz w:val="18"/>
          <w:szCs w:val="18"/>
          <w:b w:val="1"/>
          <w:bCs w:val="1"/>
          <w:i w:val="1"/>
          <w:iCs w:val="1"/>
          <w:color w:val="auto"/>
        </w:rPr>
        <w:t>OS Employee Phantom Stock Award</w:t>
      </w:r>
      <w:r>
        <w:rPr>
          <w:rFonts w:ascii="Arial" w:cs="Arial" w:eastAsia="Arial" w:hAnsi="Arial"/>
          <w:sz w:val="18"/>
          <w:szCs w:val="18"/>
          <w:color w:val="auto"/>
        </w:rPr>
        <w:t>”) shall, upon the Effective Time, be adjusted such that the number of shares of OS Common Stock subject to such OS Phantom Stock Award is the Adjusted OS Share Number (such adjusted OS Phantom Stock Award, an “</w:t>
      </w:r>
      <w:r>
        <w:rPr>
          <w:rFonts w:ascii="Arial" w:cs="Arial" w:eastAsia="Arial" w:hAnsi="Arial"/>
          <w:sz w:val="18"/>
          <w:szCs w:val="18"/>
          <w:b w:val="1"/>
          <w:bCs w:val="1"/>
          <w:i w:val="1"/>
          <w:iCs w:val="1"/>
          <w:color w:val="auto"/>
        </w:rPr>
        <w:t>Adjusted OS Phantom Stock Award</w:t>
      </w:r>
      <w:r>
        <w:rPr>
          <w:rFonts w:ascii="Arial" w:cs="Arial" w:eastAsia="Arial" w:hAnsi="Arial"/>
          <w:sz w:val="18"/>
          <w:szCs w:val="18"/>
          <w:color w:val="auto"/>
        </w:rPr>
        <w:t>”). Other than as described in the preceding sentence, following the Effective Time the Adjusted OS Phantom Stock Award shall remain subject to the same terms and conditions as applicable to the OS Phantom Stock Award prior to the Effective Time.</w:t>
      </w:r>
    </w:p>
    <w:p>
      <w:pPr>
        <w:spacing w:after="0" w:line="193" w:lineRule="exact"/>
        <w:rPr>
          <w:rFonts w:ascii="Arial" w:cs="Arial" w:eastAsia="Arial" w:hAnsi="Arial"/>
          <w:sz w:val="18"/>
          <w:szCs w:val="18"/>
          <w:color w:val="auto"/>
        </w:rPr>
      </w:pPr>
    </w:p>
    <w:p>
      <w:pPr>
        <w:jc w:val="both"/>
        <w:ind w:firstLine="1305"/>
        <w:spacing w:after="0" w:line="255" w:lineRule="auto"/>
        <w:tabs>
          <w:tab w:leader="none" w:pos="17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OS Phantom Stock Award, that is outstanding and held by a Civeo Group Employee or Former Civeo Group Employee as of immediately prior to the Effective Time (a “</w:t>
      </w:r>
      <w:r>
        <w:rPr>
          <w:rFonts w:ascii="Arial" w:cs="Arial" w:eastAsia="Arial" w:hAnsi="Arial"/>
          <w:sz w:val="18"/>
          <w:szCs w:val="18"/>
          <w:b w:val="1"/>
          <w:bCs w:val="1"/>
          <w:i w:val="1"/>
          <w:iCs w:val="1"/>
          <w:color w:val="auto"/>
        </w:rPr>
        <w:t>Civeo Employee Phantom Stock Award</w:t>
      </w:r>
      <w:r>
        <w:rPr>
          <w:rFonts w:ascii="Arial" w:cs="Arial" w:eastAsia="Arial" w:hAnsi="Arial"/>
          <w:sz w:val="18"/>
          <w:szCs w:val="18"/>
          <w:color w:val="auto"/>
        </w:rPr>
        <w:t>”) shall, upon the Effective Time, be converted into a cash-settled phantom stock award with respect to a number of shares of Civeo Common Stock equal to the Civeo Share Number (a “</w:t>
      </w:r>
      <w:r>
        <w:rPr>
          <w:rFonts w:ascii="Arial" w:cs="Arial" w:eastAsia="Arial" w:hAnsi="Arial"/>
          <w:sz w:val="18"/>
          <w:szCs w:val="18"/>
          <w:b w:val="1"/>
          <w:bCs w:val="1"/>
          <w:i w:val="1"/>
          <w:iCs w:val="1"/>
          <w:color w:val="auto"/>
        </w:rPr>
        <w:t>Civeo Phantom Stock Award</w:t>
      </w:r>
      <w:r>
        <w:rPr>
          <w:rFonts w:ascii="Arial" w:cs="Arial" w:eastAsia="Arial" w:hAnsi="Arial"/>
          <w:sz w:val="18"/>
          <w:szCs w:val="18"/>
          <w:color w:val="auto"/>
        </w:rPr>
        <w:t xml:space="preserve">”). Each Civeo Phantom Stock Award described in the preceding sentence shall be subject to the same terms and conditions after the Effective Time as the terms and conditions applicable to the corresponding Civeo Employee Phantom Stock Award immediately prior to the Effective Time (including vesting);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 the vesting of each Civeo Phantom Stock Award shall be determined based upon continued service with the Civeo Group rather than the OS Group.</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b w:val="1"/>
          <w:bCs w:val="1"/>
          <w:u w:val="single" w:color="auto"/>
          <w:color w:val="auto"/>
        </w:rPr>
        <w:t>Section 16(b) of the Exchange Act; Code Sections 162(m) and 409A</w:t>
      </w:r>
      <w:r>
        <w:rPr>
          <w:rFonts w:ascii="Arial" w:cs="Arial" w:eastAsia="Arial" w:hAnsi="Arial"/>
          <w:sz w:val="16"/>
          <w:szCs w:val="16"/>
          <w:color w:val="auto"/>
        </w:rPr>
        <w:t>. (a) By approving the adoption of this Agreement, the respective Boards of Directors of each of Oil States and Civeo intend to exempt from the short-swing profit recovery provisions of Section 16(b) of the Exchange Act, by reason of the application of Rule 16b-3 thereunder, all acquisitions and dispositions of equity incentive awards by directors and officers of each of Oil States and Civeo, and the respective Boards of Directors of Oil States and Civeo also intend expressly to approve, in respect of any equity-based award, the use of any method for the payment of an exercise price and the satisfaction of any applicable Tax withholding (specifically including the actual or constructive tendering of shares in payment of an exercise price and the withholding of option shares from delivery in satisfaction of applicable Tax withholding requirements) to the extent such method is permitted under the applicable OS Equity Plan, Civeo New Equity Plan and award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7" w:name="page118"/>
    <w:bookmarkEnd w:id="117"/>
    <w:p>
      <w:pPr>
        <w:jc w:val="both"/>
        <w:ind w:firstLine="1305"/>
        <w:spacing w:after="0" w:line="255" w:lineRule="auto"/>
        <w:tabs>
          <w:tab w:leader="none" w:pos="18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(including the treatment of supplemental and deferred compensation plans, outstanding long-term incentive awards and annual incentive awards as described herein), Oil States and Civeo agree to negotiate in good faith regarding the need for any treatment different from that otherwise provided herein to ensure that (i) a federal income tax deduction for the payment of such supplemental or deferred compensation or long-term incentive award, annual incentive award or other compensation is, to the extent prescribed under the terms of the applicable plan and award agreement, not limited by reason of Section 162(m) of the Code, and (ii) the treatment of such supplemental or deferred compensation or long-term incentive award, annual incentive award or other compensation does not cause the imposition of a penalty tax under Section 409A of the Code.</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b w:val="1"/>
          <w:bCs w:val="1"/>
          <w:u w:val="single" w:color="auto"/>
          <w:color w:val="auto"/>
        </w:rPr>
        <w:t>Liabilities for Settlement of Awards</w:t>
      </w:r>
      <w:r>
        <w:rPr>
          <w:rFonts w:ascii="Arial" w:cs="Arial" w:eastAsia="Arial" w:hAnsi="Arial"/>
          <w:sz w:val="18"/>
          <w:szCs w:val="18"/>
          <w:color w:val="auto"/>
        </w:rPr>
        <w:t xml:space="preserve">. Except as provided for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from and after the Effective Time (a) Oil States shall be responsible for all Liabilities associated with OS Equity Awards, including any option exercise, share delivery, registration or other obligations related to the exercise, vesting or settlement of the OS Equity Awards and (b) Civeo shall be responsible for all Liabilities associated with Civeo Equity Awards, including any option exercise, share delivery, registration or other obligations related to the exercise, vesting or settlement of the Civeo Equity Awards.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b w:val="1"/>
          <w:bCs w:val="1"/>
          <w:u w:val="single" w:color="auto"/>
          <w:color w:val="auto"/>
        </w:rPr>
        <w:t>Form S-8</w:t>
      </w:r>
      <w:r>
        <w:rPr>
          <w:rFonts w:ascii="Arial" w:cs="Arial" w:eastAsia="Arial" w:hAnsi="Arial"/>
          <w:sz w:val="17"/>
          <w:szCs w:val="17"/>
          <w:color w:val="auto"/>
        </w:rPr>
        <w:t>. Upon or as soon as reasonably practicable after the Effective Time and subject to applicable Law, Civeo shall prepare and file with the SEC a registration statement on Form S-8 (or another appropriate form) registering under the Securities Act the offering of a number of shares of Civeo Common Stock at a minimum equal to the number of shares subject to Civeo RSAs, Civeo Options, Civeo DSAs and Civeo PSUs. Civeo shall use commercially reasonable efforts to cause any such registration statement to be kept effective (and the current status of the prospectus or prospectuses required thereby to be maintained) as long as any Civeo RSAs, Civeo Options, Civeo DSAs and Civeo PSUs remain outstanding.</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b w:val="1"/>
          <w:bCs w:val="1"/>
          <w:u w:val="single" w:color="auto"/>
          <w:color w:val="auto"/>
        </w:rPr>
        <w:t>Tax Reporting and Withholding for Equity-Based Awards</w:t>
      </w:r>
      <w:r>
        <w:rPr>
          <w:rFonts w:ascii="Arial" w:cs="Arial" w:eastAsia="Arial" w:hAnsi="Arial"/>
          <w:sz w:val="17"/>
          <w:szCs w:val="17"/>
          <w:color w:val="auto"/>
        </w:rPr>
        <w:t>. Oil States (or one of its Subsidiaries) will be responsible for all income, payroll, or other tax reporting related to income of OS Group Employees or Former OS Group Employees from equity-based awards, and Civeo (or one of its Subsidiaries) will be responsible for all income, payroll, or other tax reporting related to income of Civeo Group Employees and Former Civeo Group Employees from equity-based awards. Similarly, Oil States will be responsible for all income, payroll, or other tax reporting related to income of its non-employee directors from equity-based awards, and Civeo will be responsible for all income, payroll, or other tax reporting related to income of its non-employee directors from equity-based awards. Further, Oil States (or one of its Subsidiaries) shall be responsible for remitting applicable tax withholdings for OS Group Employees and Former OS Group Employees to each applicable taxing authority, and Civeo (or one of its Subsidiaries) shall be responsible for remitting applicable tax withholdings for Civeo Group Employees and Former Civeo Group Employees to each applicable taxing authority. Oil States and Civeo acknowledge and agree that the parties will cooperate with each other and with third-party providers to effectuate withholding and remittance of taxes, as well as required tax reporting, in a timely, efficient, and appropriate manner.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8" w:name="page119"/>
    <w:bookmarkEnd w:id="118"/>
    <w:p>
      <w:pPr>
        <w:jc w:val="both"/>
        <w:ind w:firstLine="648"/>
        <w:spacing w:after="0" w:line="266"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b w:val="1"/>
          <w:bCs w:val="1"/>
          <w:u w:val="single" w:color="auto"/>
          <w:color w:val="auto"/>
        </w:rPr>
        <w:t>Plan Administrator</w:t>
      </w:r>
      <w:r>
        <w:rPr>
          <w:rFonts w:ascii="Arial" w:cs="Arial" w:eastAsia="Arial" w:hAnsi="Arial"/>
          <w:sz w:val="18"/>
          <w:szCs w:val="18"/>
          <w:color w:val="auto"/>
        </w:rPr>
        <w:t xml:space="preserve">. Each of Civeo and OS agree that, unless otherwise agreed by the other Party in writing, it will use E*TRADE for at least one year following the Effective Time to administer all employee equity awards that are outstanding immediately following the Effective Time (including all such equity awards that are adjusted in accordance with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b w:val="1"/>
          <w:bCs w:val="1"/>
          <w:u w:val="single" w:color="auto"/>
          <w:color w:val="auto"/>
        </w:rPr>
        <w:t>Approval of Civeo New Equity Plan</w:t>
      </w:r>
      <w:r>
        <w:rPr>
          <w:rFonts w:ascii="Arial" w:cs="Arial" w:eastAsia="Arial" w:hAnsi="Arial"/>
          <w:sz w:val="16"/>
          <w:szCs w:val="16"/>
          <w:color w:val="auto"/>
        </w:rPr>
        <w:t>. Not later than the Effective Time, Civeo shall, or shall have caused a Civeo Entity to, have adopted the Civeo New Equity Plan. The Civeo New Equity Plan shall be approved prior to the Effective Time by Oil States, as the sole shareholder of Civeo.</w:t>
      </w:r>
    </w:p>
    <w:p>
      <w:pPr>
        <w:spacing w:after="0" w:line="1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b w:val="1"/>
          <w:bCs w:val="1"/>
          <w:u w:val="single" w:color="auto"/>
          <w:color w:val="auto"/>
        </w:rPr>
        <w:t>Reporting of Pool of Windfall Tax Benefits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applies only for purposes of the financial statement reporting of Oil States and Civeo subsequent to the Distribution Date. For the pool of windfall tax benefits generated by OS Equity Awards settled prior to the Effective Time and resulted from OS Equity Awards which were issued to Civeo Group Employees, it is agreed such amounts will be carved out of the Oil States pool of windfall tax benefits and allocated to Civeo. Such amounts will be communicated to Civeo by Oil States at the Distribution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BONUS AND SHORT-TERM INCENTIVE PLANS</w:t>
      </w: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u w:val="single" w:color="auto"/>
          <w:color w:val="auto"/>
        </w:rPr>
        <w:t>Establishment of Civeo Short- Term Incentive Plan</w:t>
      </w:r>
      <w:r>
        <w:rPr>
          <w:rFonts w:ascii="Arial" w:cs="Arial" w:eastAsia="Arial" w:hAnsi="Arial"/>
          <w:sz w:val="17"/>
          <w:szCs w:val="17"/>
          <w:color w:val="auto"/>
        </w:rPr>
        <w:t>. Not later than the Effective Time, Civeo shall, or shall cause another Civeo Entity to, adopt a plan that will provide annual bonus and short-term cash incentive compensation opportunities for Civeo Group Employees that are substantially similar to the opportunities provided to such Civeo Group Employees under the OS Short-Term Incentive Plan immediately prior to the Effective Time (the “</w:t>
      </w:r>
      <w:r>
        <w:rPr>
          <w:rFonts w:ascii="Arial" w:cs="Arial" w:eastAsia="Arial" w:hAnsi="Arial"/>
          <w:sz w:val="17"/>
          <w:szCs w:val="17"/>
          <w:b w:val="1"/>
          <w:bCs w:val="1"/>
          <w:i w:val="1"/>
          <w:iCs w:val="1"/>
          <w:color w:val="auto"/>
        </w:rPr>
        <w:t>Civeo Short-Term Incentive Plan</w:t>
      </w:r>
      <w:r>
        <w:rPr>
          <w:rFonts w:ascii="Arial" w:cs="Arial" w:eastAsia="Arial" w:hAnsi="Arial"/>
          <w:sz w:val="17"/>
          <w:szCs w:val="17"/>
          <w:color w:val="auto"/>
        </w:rPr>
        <w:t xml:space="preserve">”), subject to Civeo’s right to amend such plan after the Effective Time in accordance with the terms thereof. The Civeo Short-Term Incentive Plan shall be approved prior to the Effective Time by Oil States, as the sole shareholder of Civeo, and Civeo Group Employees shall participate in such Civeo Short-Term Incentive Plan immediately following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service with Oil States shall be credited for the purposes of determining whether such Civeo Group Employee had been a participant in the Civeo Short-Term Incentive Plan during the applicable performance period. For the plan year in which the Effective Time occurs, Civeo shall assume all short-term incentive awards relating to Civeo Group Employees and Former Civeo Group Employees and, for the avoidance of doubt, shall assume any related performance targets established by the OS Group prior to the Spin-Off which relate to the Civeo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9" w:name="page120"/>
    <w:bookmarkEnd w:id="119"/>
    <w:p>
      <w:pPr>
        <w:jc w:val="both"/>
        <w:ind w:firstLine="648"/>
        <w:spacing w:after="0" w:line="28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b w:val="1"/>
          <w:bCs w:val="1"/>
          <w:u w:val="single" w:color="auto"/>
          <w:color w:val="auto"/>
        </w:rPr>
        <w:t>Treatment of OS Short- Term Incentive Plan</w:t>
      </w:r>
      <w:r>
        <w:rPr>
          <w:rFonts w:ascii="Arial" w:cs="Arial" w:eastAsia="Arial" w:hAnsi="Arial"/>
          <w:sz w:val="17"/>
          <w:szCs w:val="17"/>
          <w:color w:val="auto"/>
        </w:rPr>
        <w:t>. From and after the Effective Time, Civeo Group Employees and Former Civeo Group Employees shall cease participation in the annual bonus and short-term cash incentive compensation opportunities of the OS Short-Term Incentive Plan and shall, for the avoidance of doubt, not be entitled to any benefits thereunder for the year in which the Effective Time occurs.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Plan Liabilities</w:t>
      </w:r>
      <w:r>
        <w:rPr>
          <w:rFonts w:ascii="Arial" w:cs="Arial" w:eastAsia="Arial" w:hAnsi="Arial"/>
          <w:sz w:val="18"/>
          <w:szCs w:val="18"/>
          <w:color w:val="auto"/>
        </w:rPr>
        <w:t>. For the avoidance of doubt, (i) the Civeo Group shall be solely responsible for funding, paying, and discharging all obligations relating to any annual cash incentive awards that any Civeo Group Employee or Former Civeo Group Employee is eligible to receive under any Civeo Group annual bonus and other short-term incentive compensation plans with respect to payments made beginning at or after the Effective Time, including the Civeo Short-Term Incentive Plan, and no member of the OS Group shall have any obligations with respect thereto, and (ii) the OS Group shall be solely responsible for funding, paying, and discharging all obligations relating to any annual cash incentive awards that any OS Group Employee or Former OS Group Employee is eligible to receive under any OS annual bonus and other short-term incentive compensation plans with respect to payments made beginning at or after the Effective Time, including the OS Short-Term Incentive Plan, and no member of the Civeo Group shall have any obligations with respect thereto.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QUALIFIED DEFINED CONTRIBUTION PLANS</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b w:val="1"/>
          <w:bCs w:val="1"/>
          <w:u w:val="single" w:color="auto"/>
          <w:color w:val="auto"/>
        </w:rPr>
        <w:t>Establishment of the Civeo 401(k) Plan</w:t>
      </w:r>
      <w:r>
        <w:rPr>
          <w:rFonts w:ascii="Arial" w:cs="Arial" w:eastAsia="Arial" w:hAnsi="Arial"/>
          <w:sz w:val="16"/>
          <w:szCs w:val="16"/>
          <w:color w:val="auto"/>
        </w:rPr>
        <w:t>. As of the Effective Time, Civeo shall, or shall cause another Civeo Entity to, establish a defined contribution plan and trust for the benefit of Civeo Group Employees (the “</w:t>
      </w:r>
      <w:r>
        <w:rPr>
          <w:rFonts w:ascii="Arial" w:cs="Arial" w:eastAsia="Arial" w:hAnsi="Arial"/>
          <w:sz w:val="16"/>
          <w:szCs w:val="16"/>
          <w:b w:val="1"/>
          <w:bCs w:val="1"/>
          <w:i w:val="1"/>
          <w:iCs w:val="1"/>
          <w:color w:val="auto"/>
        </w:rPr>
        <w:t>Civeo 401(k) Plan</w:t>
      </w:r>
      <w:r>
        <w:rPr>
          <w:rFonts w:ascii="Arial" w:cs="Arial" w:eastAsia="Arial" w:hAnsi="Arial"/>
          <w:sz w:val="16"/>
          <w:szCs w:val="16"/>
          <w:color w:val="auto"/>
        </w:rPr>
        <w:t>”) with terms substantially similar to the terms of the OS 401(k) Plan. Civeo shall be responsible for taking all necessary, reasonable, and appropriate action to establish, maintain, and administer the Civeo 401(k) Plan so that it is qualified under Section 401(a) of the Code and that the related trust thereunder is exempt under Section 501(a) of the Code. Civeo (acting directly or through its Affiliates) shall be responsible for any and all Liabilities and other obligations with respect to the Civeo 401(k) Plan.</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b w:val="1"/>
          <w:bCs w:val="1"/>
          <w:u w:val="single" w:color="auto"/>
          <w:color w:val="auto"/>
        </w:rPr>
        <w:t>Transfer of OS 401(k) Plan Assets</w:t>
      </w:r>
      <w:r>
        <w:rPr>
          <w:rFonts w:ascii="Arial" w:cs="Arial" w:eastAsia="Arial" w:hAnsi="Arial"/>
          <w:sz w:val="16"/>
          <w:szCs w:val="16"/>
          <w:color w:val="auto"/>
        </w:rPr>
        <w:t>. Not later than thirty (30) days following the Distribution Date (or such later time as mutually agreed by the Parties), Oil States shall cause the accounts (including any outstanding loan balances) in the OS 401(k) Plan attributable to Civeo Group Employees and Former Civeo Group Employees who will participate in the Civeo 401(k) Plan (the “</w:t>
      </w:r>
      <w:r>
        <w:rPr>
          <w:rFonts w:ascii="Arial" w:cs="Arial" w:eastAsia="Arial" w:hAnsi="Arial"/>
          <w:sz w:val="16"/>
          <w:szCs w:val="16"/>
          <w:b w:val="1"/>
          <w:bCs w:val="1"/>
          <w:i w:val="1"/>
          <w:iCs w:val="1"/>
          <w:color w:val="auto"/>
        </w:rPr>
        <w:t>Civeo 401(k) Plan Participants</w:t>
      </w:r>
      <w:r>
        <w:rPr>
          <w:rFonts w:ascii="Arial" w:cs="Arial" w:eastAsia="Arial" w:hAnsi="Arial"/>
          <w:sz w:val="16"/>
          <w:szCs w:val="16"/>
          <w:color w:val="auto"/>
        </w:rPr>
        <w:t xml:space="preserve">”) and all of the Assets in the OS 401(k) Plan related thereto to be transferred in-kind to the Civeo 401(k) Plan, and Civeo shall cause the Civeo 401(k) Plan to accept such transfer of accounts and underlying Assets and, effective as of the date of such transfer, to assume and to fully perform, pay, and discharge, all obligations of the OS 401(k) Plan relating to the accounts of the Civeo 401(k) Plan Participants (to the extent the Assets related to those accounts are actually transferred from the OS 401(k) Plan to the Civeo 401(k) Plan) following the Distribution Date. The transfer of Assets shall be conducted in accordance with Section 414(l) of the Code, Treasury Regulation Section 1.414(1)-1, and Section 208 of ERISA. The Parties shall cooperate in good faith to coordinate any necessary withholding for repayment of any outstanding loan balances attributable to the accounts of the Civeo Group during the period from the Distribution Date through the date of the transfer of Assets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and payment of such amounts to the OS 401(k)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0" w:name="page121"/>
    <w:bookmarkEnd w:id="120"/>
    <w:p>
      <w:pPr>
        <w:jc w:val="both"/>
        <w:ind w:firstLine="648"/>
        <w:spacing w:after="0" w:line="26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Continuation of Elections</w:t>
      </w:r>
      <w:r>
        <w:rPr>
          <w:rFonts w:ascii="Arial" w:cs="Arial" w:eastAsia="Arial" w:hAnsi="Arial"/>
          <w:sz w:val="18"/>
          <w:szCs w:val="18"/>
          <w:color w:val="auto"/>
        </w:rPr>
        <w:t>. As of the Distribution Date, Civeo (acting directly or through members of the Civeo Group) shall cause the Civeo 401(k) Plan to recognize and maintain all OS 401(k) Plan elections, including, but not limited to, deferral, investment, and payment form elections, beneficiary designations, and the rights of alternate payees under qualified domestic relations orders with respect to Civeo Group Employees to the extent such election or designation is available under the Civeo 401(k) Plan.</w:t>
      </w:r>
    </w:p>
    <w:p>
      <w:pPr>
        <w:spacing w:after="0" w:line="2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u w:val="single" w:color="auto"/>
          <w:color w:val="auto"/>
        </w:rPr>
        <w:t>Tax Qualified Status</w:t>
      </w:r>
      <w:r>
        <w:rPr>
          <w:rFonts w:ascii="Arial" w:cs="Arial" w:eastAsia="Arial" w:hAnsi="Arial"/>
          <w:sz w:val="17"/>
          <w:szCs w:val="17"/>
          <w:i w:val="1"/>
          <w:iCs w:val="1"/>
          <w:color w:val="auto"/>
        </w:rPr>
        <w:t>.</w:t>
      </w:r>
      <w:r>
        <w:rPr>
          <w:rFonts w:ascii="Arial" w:cs="Arial" w:eastAsia="Arial" w:hAnsi="Arial"/>
          <w:sz w:val="17"/>
          <w:szCs w:val="17"/>
          <w:color w:val="auto"/>
        </w:rPr>
        <w:t xml:space="preserve"> Civeo will take all steps and make any necessary filings with the IRS to establish and maintain the Civeo 401(k) Plan so that it is qualified under Section 401(a) of the Code and the related trust is tax-exempt under Section 501(a) of the Code, including seeking and obtaining a favorable determination letter from the IRS as to such qualification. Furthermore, no later than thirty (30) days prior to the Distribution Date, Oil States and Civeo (each acting directly or through their respective Affiliates) shall, to the extent necessary, file IRS Form 5310-A regarding the transfer of Assets and Liabilities from the OS 401(k) Plan to the Civeo 401(k) Plan as discussed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PLANS</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b w:val="1"/>
          <w:bCs w:val="1"/>
          <w:u w:val="single" w:color="auto"/>
          <w:color w:val="auto"/>
        </w:rPr>
        <w:t>Establishment of Civeo Deferred Compensation Plan</w:t>
      </w:r>
      <w:r>
        <w:rPr>
          <w:rFonts w:ascii="Arial" w:cs="Arial" w:eastAsia="Arial" w:hAnsi="Arial"/>
          <w:sz w:val="16"/>
          <w:szCs w:val="16"/>
          <w:color w:val="auto"/>
        </w:rPr>
        <w:t>. As soon as practicable following the Distribution Date and in no event later than December 31, 2014, Civeo shall, or shall cause another Civeo Entity to, establish and adopt a deferred compensation plan for its key employees and directors (the “</w:t>
      </w:r>
      <w:r>
        <w:rPr>
          <w:rFonts w:ascii="Arial" w:cs="Arial" w:eastAsia="Arial" w:hAnsi="Arial"/>
          <w:sz w:val="16"/>
          <w:szCs w:val="16"/>
          <w:b w:val="1"/>
          <w:bCs w:val="1"/>
          <w:i w:val="1"/>
          <w:iCs w:val="1"/>
          <w:color w:val="auto"/>
        </w:rPr>
        <w:t>Civeo Deferred Compensation Plan</w:t>
      </w:r>
      <w:r>
        <w:rPr>
          <w:rFonts w:ascii="Arial" w:cs="Arial" w:eastAsia="Arial" w:hAnsi="Arial"/>
          <w:sz w:val="16"/>
          <w:szCs w:val="16"/>
          <w:color w:val="auto"/>
        </w:rPr>
        <w:t>”) to provide each Civeo Group Employee, Civeo Director or Former Civeo Group Employee who was a participant in the OS Deferred Compensation Plan as of immediately prior to the Effective Time (the “</w:t>
      </w:r>
      <w:r>
        <w:rPr>
          <w:rFonts w:ascii="Arial" w:cs="Arial" w:eastAsia="Arial" w:hAnsi="Arial"/>
          <w:sz w:val="16"/>
          <w:szCs w:val="16"/>
          <w:b w:val="1"/>
          <w:bCs w:val="1"/>
          <w:i w:val="1"/>
          <w:iCs w:val="1"/>
          <w:color w:val="auto"/>
        </w:rPr>
        <w:t>Civeo Deferred Compensation Beneficiaries</w:t>
      </w:r>
      <w:r>
        <w:rPr>
          <w:rFonts w:ascii="Arial" w:cs="Arial" w:eastAsia="Arial" w:hAnsi="Arial"/>
          <w:sz w:val="16"/>
          <w:szCs w:val="16"/>
          <w:color w:val="auto"/>
        </w:rPr>
        <w:t>”) benefits following the establishment of such Civeo Deferred Compensation Plan which are substantially similar to those available to such person under the OS Deferred Compensation Plan as of immediately prior to the Effective Time. As of the Effective Time, the Civeo Group Employees, Civeo Directors and Former Civeo Group Employees shall cease to actively participate in the OS Deferred Compensation Plan and shall not be entitled to defer additional amounts or receive additional benefits (other than earnings on amounts already-deferred) pursuant to the OS Deferred Compensation Plan. The Parties agree that, for purposes of the OS Deferred Compensation Plan, the employment of a Civeo Deferred Compensation Beneficiary shall not be considered to have terminated (and, for the avoidance of doubt, such Civeo Deferred Compensation Beneficiary shall not be deemed to have incurred a “separation from service”) as a result of the Distribution or the transfer of employment from Oil States (or an OS Entity) to Civeo (or a Civeo Entity), and such employment shall only be considered to terminate for purposes of the Civeo Deferred Compensation Plan when the employment of such Civeo Deferred Compensation Beneficiary with the Civeo Group terminates in accordance with the terms of the Civeo Deferred Compensation Plans and applicable Laws.</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b w:val="1"/>
          <w:bCs w:val="1"/>
          <w:u w:val="single" w:color="auto"/>
          <w:color w:val="auto"/>
        </w:rPr>
        <w:t>Transfer of Liability and Responsibility</w:t>
      </w:r>
      <w:r>
        <w:rPr>
          <w:rFonts w:ascii="Arial" w:cs="Arial" w:eastAsia="Arial" w:hAnsi="Arial"/>
          <w:sz w:val="16"/>
          <w:szCs w:val="16"/>
          <w:i w:val="1"/>
          <w:iCs w:val="1"/>
          <w:color w:val="auto"/>
        </w:rPr>
        <w:t>.</w:t>
      </w:r>
      <w:r>
        <w:rPr>
          <w:rFonts w:ascii="Arial" w:cs="Arial" w:eastAsia="Arial" w:hAnsi="Arial"/>
          <w:sz w:val="16"/>
          <w:szCs w:val="16"/>
          <w:color w:val="auto"/>
        </w:rPr>
        <w:t xml:space="preserve"> As soon as practicable and not later than 30 days following the date upon which the Civeo Deferred Compensation Plan is established, Civeo or a member of the Civeo Group shall assume all of the Liabilities and obligations in respect of Civeo Deferred Compensation Beneficiaries under the OS Deferred Compensation Plan (the date of such assumption, the “</w:t>
      </w:r>
      <w:r>
        <w:rPr>
          <w:rFonts w:ascii="Arial" w:cs="Arial" w:eastAsia="Arial" w:hAnsi="Arial"/>
          <w:sz w:val="16"/>
          <w:szCs w:val="16"/>
          <w:b w:val="1"/>
          <w:bCs w:val="1"/>
          <w:i w:val="1"/>
          <w:iCs w:val="1"/>
          <w:color w:val="auto"/>
        </w:rPr>
        <w:t>Deferred Compensation Transfer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From and after the Deferred Compensation Transfer Date, Civeo or a member of the Civeo Group shall have sole responsibility for the administration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Civeo Deferred Compensation Plan and the payment of benefits thereunder to or on behalf of Civeo Deferred Compensation Beneficiaries, and no member of the OS Group shall have any Liability or responsibility therefor. Oil States shall have sole responsibility for the administration of the OS Deferred Compensation Plan and the payment of benefits thereunder to or on behalf of OS Group Employees and Former OS Group Employees, and no member of the Civeo Group shall have any liability or responsibility therefor. During the period commencing on the Distribution Date and ending on the Deferred Compensation Transfer Date, deferred compensation amounts attributable to amounts deferred by Civeo Deferred Compensation Beneficiaries prior to the Effective Time shall remain under the OS Deferred Compensation Plan and Oil States shall be primarily responsible for the payment of all such benefits thereunder to Civeo Deferred Compensation Beneficiaries;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OS or a member of the OS Group incurs any such Liabilities, Civeo or a member of the Civeo Group shall indemnify and hold harmless OS and the OS Group for all such Liabilities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there is a payment of benefits pursuant to the OS Deferred Compensation Plan to a Civeo Deferred Compensation Beneficiary, such Liabilities shall be reduced by the portion of the Assets held in the OS Grantor Trust attributable to such OS Deferred Compensation Beneficiary’s benefit (as reasonably determined by Oil States). The Parties acknowledge the complexity of the implementation of the transfers of Assets and Liabilities described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agree to cooperate in good faith to implement the assignment to, and assumption by, the Civeo Group of the Assets and Liabilities relating to the OS Deferred Compensation Plan as set forth herein. In the event the Parties mutually agree that an alternative procedure for implementing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is appropriate and consistent with the principles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such alternative procedure shall be followed.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1" w:name="page122"/>
    <w:bookmarkEnd w:id="121"/>
    <w:p>
      <w:pPr>
        <w:jc w:val="both"/>
        <w:ind w:firstLine="648"/>
        <w:spacing w:after="0" w:line="261"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b w:val="1"/>
          <w:bCs w:val="1"/>
          <w:u w:val="single" w:color="auto"/>
          <w:color w:val="auto"/>
        </w:rPr>
        <w:t>Continuation of Deferral Elections</w:t>
      </w:r>
      <w:r>
        <w:rPr>
          <w:rFonts w:ascii="Arial" w:cs="Arial" w:eastAsia="Arial" w:hAnsi="Arial"/>
          <w:sz w:val="18"/>
          <w:szCs w:val="18"/>
          <w:color w:val="auto"/>
        </w:rPr>
        <w:t>. As of the Distribution Date, Civeo (acting directly or through members of the Civeo Group) shall, or shall cause the appropriate member of the Civero Group to, assume and recognize (or continue to recognize) all current deferral elections applicable to Civeo Deferred Compensation Beneficiaries, with all such amounts deferred thereunder during the period from and after the Distribution Date treated as having been deferred pursuant to the Civeo Deferred Compensation Plan.</w:t>
      </w:r>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b w:val="1"/>
          <w:bCs w:val="1"/>
          <w:u w:val="single" w:color="auto"/>
          <w:color w:val="auto"/>
        </w:rPr>
        <w:t>Grantor Trusts</w:t>
      </w:r>
      <w:r>
        <w:rPr>
          <w:rFonts w:ascii="Arial" w:cs="Arial" w:eastAsia="Arial" w:hAnsi="Arial"/>
          <w:sz w:val="17"/>
          <w:szCs w:val="17"/>
          <w:color w:val="auto"/>
        </w:rPr>
        <w:t>. Prior to the Deferred Compensation Transfer Date, Civeo shall, or shall cause a member of the Civeo Group to, adopt a grantor trust in a form that is substantially comparable to the OS Grantor Trust as in effect immediately prior to the Effective Time (the “</w:t>
      </w:r>
      <w:r>
        <w:rPr>
          <w:rFonts w:ascii="Arial" w:cs="Arial" w:eastAsia="Arial" w:hAnsi="Arial"/>
          <w:sz w:val="17"/>
          <w:szCs w:val="17"/>
          <w:b w:val="1"/>
          <w:bCs w:val="1"/>
          <w:i w:val="1"/>
          <w:iCs w:val="1"/>
          <w:color w:val="auto"/>
        </w:rPr>
        <w:t>Civeo Grantor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Subject to obtaining any required consents, in connection with the assumption of the Liabilities under the OS Deferred Compensation Plan in respect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Civeo Deferred Compensation Beneficiaries, Oil States shall (or shall cause a member of the OS Group to), on the Deferred Compensation Transfer Date, transfer Assets to the Civeo Grantor Trust in an amount equal to the funded percentage of such Liabilities (as reasonably determined by Oil States) as of the Effective Time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any Assets used to fund benefits payable to Civeo Deferred Compensation Beneficiaries during the period commencing on the Distribution Date and ending on the Deferred Compensation Transfer Date. OS and Civeo agree to cooperate in good faith to obtain any consents required to effectuate the transfer of Assets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2" w:name="page123"/>
    <w:bookmarkEnd w:id="122"/>
    <w:p>
      <w:pPr>
        <w:jc w:val="both"/>
        <w:ind w:firstLine="648"/>
        <w:spacing w:after="0" w:line="258"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agree in good faith to discharge their respective obligations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a manner that is consistent with the terms of the OS Deferred Compensation Plan and applicable Laws (including Section 409A of the Code). In the event the Parties determine that the actions described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may result in a Civeo Deferred Compensation Beneficiary becoming subject to additional taxes pursuant to Section 409A of the Code, the Parties agree to cooperate in good faith to modify the procedures described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prevent such Civeo Deferred Compensation Beneficiary from becoming subject to such additional tax.</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WELFARE PLANS</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b w:val="1"/>
          <w:bCs w:val="1"/>
          <w:u w:val="single" w:color="auto"/>
          <w:color w:val="auto"/>
        </w:rPr>
        <w:t>Establishment of Civeo Welfare Plans</w:t>
      </w:r>
      <w:r>
        <w:rPr>
          <w:rFonts w:ascii="Arial" w:cs="Arial" w:eastAsia="Arial" w:hAnsi="Arial"/>
          <w:sz w:val="16"/>
          <w:szCs w:val="16"/>
          <w:color w:val="auto"/>
        </w:rPr>
        <w:t>. On or prior to the Effective Time, Civeo shall, or shall cause another Civeo Entity to, establish and adopt Civeo Welfare Plans which will provide welfare benefits to each Civeo Group Employee and Former Civeo Group Employee and who is, as of the Effective Date a participant in any of the OS Welfare Plans (and their eligible spouses and dependents, as the case may be) (collectively, the “</w:t>
      </w:r>
      <w:r>
        <w:rPr>
          <w:rFonts w:ascii="Arial" w:cs="Arial" w:eastAsia="Arial" w:hAnsi="Arial"/>
          <w:sz w:val="16"/>
          <w:szCs w:val="16"/>
          <w:b w:val="1"/>
          <w:bCs w:val="1"/>
          <w:i w:val="1"/>
          <w:iCs w:val="1"/>
          <w:color w:val="auto"/>
        </w:rPr>
        <w:t>Civeo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Welfare Plan Participants</w:t>
      </w:r>
      <w:r>
        <w:rPr>
          <w:rFonts w:ascii="Arial" w:cs="Arial" w:eastAsia="Arial" w:hAnsi="Arial"/>
          <w:sz w:val="16"/>
          <w:szCs w:val="16"/>
          <w:color w:val="auto"/>
        </w:rPr>
        <w:t>”) under terms and conditions that are substantially similar to the OS Welfare Plans. Coverage and benefits under the Civeo Welfare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shall then be provided to the Civeo Welfare Plan Participants on an uninterrupted basis under the newly established Civeo Welfare Plans which shall contain substantially the same terms and conditions as in effect under the corresponding OS Welfare Plans immediately prior to the Effective Time. Civeo Welfare Plan Participants shall cease to be eligible for coverage under the OS Welfare Plans at the Effective Time. For the avoidance of doubt, Civeo Welfare Plan Participants shall not participate in any OS Welfare Plans after the time set forth in the immediately preceding sentence, and OS Group Employees and Former OS Group Employees shall not participate in any Civeo Welfare Plans at any time.</w:t>
      </w:r>
    </w:p>
    <w:p>
      <w:pPr>
        <w:spacing w:after="0" w:line="16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b w:val="1"/>
          <w:bCs w:val="1"/>
          <w:u w:val="single" w:color="auto"/>
          <w:color w:val="auto"/>
        </w:rPr>
        <w:t>Transitional Matters Under Civeo Welfare Plans</w:t>
      </w:r>
      <w:r>
        <w:rPr>
          <w:rFonts w:ascii="Arial" w:cs="Arial" w:eastAsia="Arial" w:hAnsi="Arial"/>
          <w:sz w:val="16"/>
          <w:szCs w:val="16"/>
          <w:color w:val="auto"/>
        </w:rPr>
        <w:t>.</w:t>
      </w:r>
    </w:p>
    <w:p>
      <w:pPr>
        <w:spacing w:after="0" w:line="283" w:lineRule="exact"/>
        <w:rPr>
          <w:sz w:val="20"/>
          <w:szCs w:val="20"/>
          <w:color w:val="auto"/>
        </w:rPr>
      </w:pPr>
    </w:p>
    <w:p>
      <w:pPr>
        <w:jc w:val="both"/>
        <w:ind w:firstLine="1305"/>
        <w:spacing w:after="0" w:line="272" w:lineRule="auto"/>
        <w:tabs>
          <w:tab w:leader="none" w:pos="1735" w:val="left"/>
        </w:tabs>
        <w:numPr>
          <w:ilvl w:val="0"/>
          <w:numId w:val="101"/>
        </w:numPr>
        <w:rPr>
          <w:rFonts w:ascii="Arial" w:cs="Arial" w:eastAsia="Arial" w:hAnsi="Arial"/>
          <w:sz w:val="17"/>
          <w:szCs w:val="17"/>
          <w:color w:val="auto"/>
        </w:rPr>
      </w:pPr>
      <w:r>
        <w:rPr>
          <w:rFonts w:ascii="Arial" w:cs="Arial" w:eastAsia="Arial" w:hAnsi="Arial"/>
          <w:sz w:val="17"/>
          <w:szCs w:val="17"/>
          <w:i w:val="1"/>
          <w:iCs w:val="1"/>
          <w:u w:val="single" w:color="auto"/>
          <w:color w:val="auto"/>
        </w:rPr>
        <w:t>Liability for Claims Incurred</w:t>
      </w:r>
      <w:r>
        <w:rPr>
          <w:rFonts w:ascii="Arial" w:cs="Arial" w:eastAsia="Arial" w:hAnsi="Arial"/>
          <w:sz w:val="17"/>
          <w:szCs w:val="17"/>
          <w:color w:val="auto"/>
        </w:rPr>
        <w:t>. Oil States or a member of the OS Group shall be liable for all claims for benefits (other than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disability, medical and flexible spending accounts) by Civeo Welfare Plan Participants under the OS Welfare Plans arising out of occurrences on or prior to the Effective Time. Oil States or a member of the OS Group shall be liable for claims for short-term disability benefits by Civeo Welfare Plan Participants under OS Welfare Plans with respect to payments otherwise due on or prior to the Effective Time. Oil States or a member of the OS Group shall be liable for claims for medical benefits by Civeo Welfare Plan Participants under the OS Welfare Plans with respect to services and treatment rendered on or prior to the Effective Time. Civeo or a member of the Civeo Group shall be liable for all other Welfare Plan coverages for Civeo Welfare Plan Participants under the Civeo Welfare Plans for which Oil States or a member of the OS Group is not liable, as set forth above.</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1812" w:val="left"/>
        </w:tabs>
        <w:numPr>
          <w:ilvl w:val="0"/>
          <w:numId w:val="101"/>
        </w:numPr>
        <w:rPr>
          <w:rFonts w:ascii="Arial" w:cs="Arial" w:eastAsia="Arial" w:hAnsi="Arial"/>
          <w:sz w:val="18"/>
          <w:szCs w:val="18"/>
          <w:color w:val="auto"/>
        </w:rPr>
      </w:pPr>
      <w:r>
        <w:rPr>
          <w:rFonts w:ascii="Arial" w:cs="Arial" w:eastAsia="Arial" w:hAnsi="Arial"/>
          <w:sz w:val="18"/>
          <w:szCs w:val="18"/>
          <w:i w:val="1"/>
          <w:iCs w:val="1"/>
          <w:u w:val="single" w:color="auto"/>
          <w:color w:val="auto"/>
        </w:rPr>
        <w:t>Credit for Deductibles and Other Limits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each Civeo Welfare Plan Participant, the Civeo Welfare Plans will give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for the plan year in which the Distribution Date occurs for any amount paid, number of services obtained or provider visits by such Civeo Welfare Plan Participant toward deductibles, out-of-pocket maximums, limits on number of services or visits, or other similar limitations to the extent such amounts are taken into account under the comparable OS Welfare Plan. For purposes of any life-time maximum benefit limit payable to a Civeo Welfare Plan Participant under any Civeo Welfare Plan, the Civeo Welfare Plans will recognize any expenses paid or reimbursed by an OS Welfare Plan with respect to such participant prior to the Effective Time to the same extent such expense payments or reimbursements would be recognized in respect of an active plan participant under the applicable OS Welfare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jc w:val="both"/>
        <w:ind w:firstLine="1305"/>
        <w:spacing w:after="0" w:line="259" w:lineRule="auto"/>
        <w:tabs>
          <w:tab w:leader="none" w:pos="1775" w:val="left"/>
        </w:tabs>
        <w:numPr>
          <w:ilvl w:val="0"/>
          <w:numId w:val="102"/>
        </w:numPr>
        <w:rPr>
          <w:rFonts w:ascii="Arial" w:cs="Arial" w:eastAsia="Arial" w:hAnsi="Arial"/>
          <w:sz w:val="18"/>
          <w:szCs w:val="18"/>
          <w:color w:val="auto"/>
        </w:rPr>
      </w:pPr>
      <w:r>
        <w:rPr>
          <w:rFonts w:ascii="Arial" w:cs="Arial" w:eastAsia="Arial" w:hAnsi="Arial"/>
          <w:sz w:val="18"/>
          <w:szCs w:val="18"/>
          <w:i w:val="1"/>
          <w:iCs w:val="1"/>
          <w:u w:val="single" w:color="auto"/>
          <w:color w:val="auto"/>
        </w:rPr>
        <w:t>COBRA</w:t>
      </w:r>
      <w:r>
        <w:rPr>
          <w:rFonts w:ascii="Arial" w:cs="Arial" w:eastAsia="Arial" w:hAnsi="Arial"/>
          <w:sz w:val="18"/>
          <w:szCs w:val="18"/>
          <w:i w:val="1"/>
          <w:iCs w:val="1"/>
          <w:color w:val="auto"/>
        </w:rPr>
        <w:t xml:space="preserve">. </w:t>
      </w:r>
      <w:r>
        <w:rPr>
          <w:rFonts w:ascii="Arial" w:cs="Arial" w:eastAsia="Arial" w:hAnsi="Arial"/>
          <w:sz w:val="18"/>
          <w:szCs w:val="18"/>
          <w:color w:val="auto"/>
        </w:rPr>
        <w:t>At and after the Effective Time, Civeo shall assume all Liabilities and other obligations under COBRA with respect to all</w:t>
      </w:r>
      <w:r>
        <w:rPr>
          <w:rFonts w:ascii="Arial" w:cs="Arial" w:eastAsia="Arial" w:hAnsi="Arial"/>
          <w:sz w:val="18"/>
          <w:szCs w:val="18"/>
          <w:i w:val="1"/>
          <w:iCs w:val="1"/>
          <w:color w:val="auto"/>
        </w:rPr>
        <w:t xml:space="preserve"> </w:t>
      </w:r>
      <w:r>
        <w:rPr>
          <w:rFonts w:ascii="Arial" w:cs="Arial" w:eastAsia="Arial" w:hAnsi="Arial"/>
          <w:sz w:val="18"/>
          <w:szCs w:val="18"/>
          <w:color w:val="auto"/>
        </w:rPr>
        <w:t>Civeo Group Employees and Former Civeo Group Employees (and, in either case, their qualifying beneficiaries) who, as of the day prior to the Distribution Date, were covered under an OS Welfare Plan pursuant to COBRA or who have a COBRA qualifying event (as defined in Section 4980B of the Code) prior to the Distribution Date.</w:t>
      </w:r>
    </w:p>
    <w:p>
      <w:pPr>
        <w:spacing w:after="0" w:line="183"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b w:val="1"/>
          <w:bCs w:val="1"/>
          <w:u w:val="single" w:color="auto"/>
          <w:color w:val="auto"/>
        </w:rPr>
        <w:t>Benefit Elections and Designations and Continuity of Benefits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775" w:val="left"/>
        </w:tabs>
        <w:numPr>
          <w:ilvl w:val="1"/>
          <w:numId w:val="103"/>
        </w:numPr>
        <w:rPr>
          <w:rFonts w:ascii="Arial" w:cs="Arial" w:eastAsia="Arial" w:hAnsi="Arial"/>
          <w:sz w:val="16"/>
          <w:szCs w:val="16"/>
          <w:color w:val="auto"/>
        </w:rPr>
      </w:pPr>
      <w:r>
        <w:rPr>
          <w:rFonts w:ascii="Arial" w:cs="Arial" w:eastAsia="Arial" w:hAnsi="Arial"/>
          <w:sz w:val="16"/>
          <w:szCs w:val="16"/>
          <w:i w:val="1"/>
          <w:iCs w:val="1"/>
          <w:u w:val="single" w:color="auto"/>
          <w:color w:val="auto"/>
        </w:rPr>
        <w:t>Benefit Elections and Designations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Distribution Date (or such other date provided for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8.3(b)</w:t>
      </w:r>
      <w:r>
        <w:rPr>
          <w:rFonts w:ascii="Arial" w:cs="Arial" w:eastAsia="Arial" w:hAnsi="Arial"/>
          <w:sz w:val="16"/>
          <w:szCs w:val="16"/>
          <w:color w:val="auto"/>
        </w:rPr>
        <w:t>), Civeo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the Civeo Welfare Plans to recognize and give effect to all elections and designations (including all coverage and contribution elections and beneficiary designations) made by each Civeo Welfare Plan Participants under, or with respect to, the corresponding OS Welfare Plan for the plan year in which the Distribution occurs. Notwithstanding the foregoing, nothing in this </w:t>
      </w:r>
      <w:r>
        <w:rPr>
          <w:rFonts w:ascii="Arial" w:cs="Arial" w:eastAsia="Arial" w:hAnsi="Arial"/>
          <w:sz w:val="16"/>
          <w:szCs w:val="16"/>
          <w:u w:val="single" w:color="auto"/>
          <w:color w:val="auto"/>
        </w:rPr>
        <w:t>Section 8.3(a)</w:t>
      </w:r>
      <w:r>
        <w:rPr>
          <w:rFonts w:ascii="Arial" w:cs="Arial" w:eastAsia="Arial" w:hAnsi="Arial"/>
          <w:sz w:val="16"/>
          <w:szCs w:val="16"/>
          <w:color w:val="auto"/>
        </w:rPr>
        <w:t xml:space="preserve"> will prohibit Civeo from soliciting or causing the solicitation of new election forms or beneficiary designations from Civeo Welfare Plan Participants to be effective under the Civeo Welfare Plan as of the Distribution Date.</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1772" w:val="left"/>
        </w:tabs>
        <w:numPr>
          <w:ilvl w:val="1"/>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Details Regarding Flexible Spending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at or prior to the Effective Time, Civeo shall, 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cause another Civeo Entity to, establish and adopt Civeo Welfare Plans which will provide health care flexible spending account and dependent care flexible spending account benefits to Civeo Welfare Plan Participants (each a “</w:t>
      </w:r>
      <w:r>
        <w:rPr>
          <w:rFonts w:ascii="Arial" w:cs="Arial" w:eastAsia="Arial" w:hAnsi="Arial"/>
          <w:sz w:val="18"/>
          <w:szCs w:val="18"/>
          <w:b w:val="1"/>
          <w:bCs w:val="1"/>
          <w:i w:val="1"/>
          <w:iCs w:val="1"/>
          <w:color w:val="auto"/>
        </w:rPr>
        <w:t>Civeo FSA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60" w:firstLine="1293"/>
        <w:spacing w:after="0" w:line="286" w:lineRule="auto"/>
        <w:tabs>
          <w:tab w:leader="none" w:pos="2395" w:val="left"/>
        </w:tabs>
        <w:numPr>
          <w:ilvl w:val="2"/>
          <w:numId w:val="103"/>
        </w:numPr>
        <w:rPr>
          <w:rFonts w:ascii="Arial" w:cs="Arial" w:eastAsia="Arial" w:hAnsi="Arial"/>
          <w:sz w:val="16"/>
          <w:szCs w:val="16"/>
          <w:color w:val="auto"/>
        </w:rPr>
      </w:pPr>
      <w:r>
        <w:rPr>
          <w:rFonts w:ascii="Arial" w:cs="Arial" w:eastAsia="Arial" w:hAnsi="Arial"/>
          <w:sz w:val="16"/>
          <w:szCs w:val="16"/>
          <w:color w:val="auto"/>
        </w:rPr>
        <w:t>It is the intention of the Parties that all activity under a Civeo Welfare Plan Participant’s flexible spending account with OS for the plan year in which the Distribution Date occurs be treated instead as activity under the corresponding Civeo FSA. Accordingly, (x) any period of participation by a Civeo Welfare Plan Participant in an OS flexible spending account during the plan year in which the Distribution Date occurs (the “</w:t>
      </w:r>
      <w:r>
        <w:rPr>
          <w:rFonts w:ascii="Arial" w:cs="Arial" w:eastAsia="Arial" w:hAnsi="Arial"/>
          <w:sz w:val="16"/>
          <w:szCs w:val="16"/>
          <w:b w:val="1"/>
          <w:bCs w:val="1"/>
          <w:i w:val="1"/>
          <w:iCs w:val="1"/>
          <w:color w:val="auto"/>
        </w:rPr>
        <w:t>FSA Participation Period</w:t>
      </w:r>
      <w:r>
        <w:rPr>
          <w:rFonts w:ascii="Arial" w:cs="Arial" w:eastAsia="Arial" w:hAnsi="Arial"/>
          <w:sz w:val="16"/>
          <w:szCs w:val="16"/>
          <w:color w:val="auto"/>
        </w:rPr>
        <w:t>”) will be deemed a period when the Civeo Welfare Plan Participant participated in the corresponding Civeo FSA;</w:t>
      </w:r>
    </w:p>
    <w:p>
      <w:pPr>
        <w:spacing w:after="0" w:line="1" w:lineRule="exact"/>
        <w:rPr>
          <w:rFonts w:ascii="Arial" w:cs="Arial" w:eastAsia="Arial" w:hAnsi="Arial"/>
          <w:sz w:val="16"/>
          <w:szCs w:val="16"/>
          <w:color w:val="auto"/>
        </w:rPr>
      </w:pPr>
    </w:p>
    <w:p>
      <w:pPr>
        <w:jc w:val="both"/>
        <w:ind w:left="660" w:right="20" w:hanging="4"/>
        <w:spacing w:after="0" w:line="277" w:lineRule="auto"/>
        <w:tabs>
          <w:tab w:leader="none" w:pos="92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all expenses incurred during the FSA Participation Period will be deemed incurred while the Civeo Welfare Plan Participant’s coverage was in effect under the corresponding Civeo FSA; and (z) all elections and reimbursements made with respect to an FSA Participation Period under a OS flexible spending account will be deemed to have been made with respect to the corresponding OS FSA.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jc w:val="both"/>
        <w:ind w:left="660" w:firstLine="1293"/>
        <w:spacing w:after="0" w:line="255" w:lineRule="auto"/>
        <w:tabs>
          <w:tab w:leader="none" w:pos="253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aggregate reimbursement payouts made to Civeo Welfare Plan Participants prior to the Effective Time from the applicable OS Welfare Plan flexible spending accounts during the plan year in which the Distribution occurs are less than the aggregate accumulated contributions to such accounts made by such Civeo Welfare Plan Participants prior to the Effective Time for such plan year, OS shall cause an amount equal to the amount by which such contributions are in excess of such reimbursement payouts to be transferred to Civeo (or a Civeo Entity designated by Civeo) by wire transfer of immediately available funds as soon as practicable, but in no event later than 45 days, following the Effective Time.</w:t>
      </w:r>
    </w:p>
    <w:p>
      <w:pPr>
        <w:spacing w:after="0" w:line="247" w:lineRule="exact"/>
        <w:rPr>
          <w:rFonts w:ascii="Arial" w:cs="Arial" w:eastAsia="Arial" w:hAnsi="Arial"/>
          <w:sz w:val="18"/>
          <w:szCs w:val="18"/>
          <w:color w:val="auto"/>
        </w:rPr>
      </w:pPr>
    </w:p>
    <w:p>
      <w:pPr>
        <w:jc w:val="both"/>
        <w:ind w:left="660" w:firstLine="1293"/>
        <w:spacing w:after="0" w:line="255" w:lineRule="auto"/>
        <w:tabs>
          <w:tab w:leader="none" w:pos="256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aggregate reimbursement payouts made to Civeo Welfare Plan Participants prior to the Effective Time from the applicable OS Welfare Plan flexible spending accounts during the plan year in which the Distribution occurs exceed the aggregate accumulated contributions to such accounts made by the Civeo Welfare Plan Participants prior to the Effective Time for such plan year, Civeo shall cause an amount equal to the amount by which such reimbursement payouts are in excess of such contributions to be transferred to OS (or an OS Group Entity designated by OS) by wire transfer of immediately available funds as soon as practicable, but in no event later than 45 days, following the Effective Time.</w:t>
      </w:r>
    </w:p>
    <w:p>
      <w:pPr>
        <w:spacing w:after="0" w:line="247" w:lineRule="exact"/>
        <w:rPr>
          <w:rFonts w:ascii="Arial" w:cs="Arial" w:eastAsia="Arial" w:hAnsi="Arial"/>
          <w:sz w:val="18"/>
          <w:szCs w:val="18"/>
          <w:color w:val="auto"/>
        </w:rPr>
      </w:pPr>
    </w:p>
    <w:p>
      <w:pPr>
        <w:jc w:val="both"/>
        <w:ind w:left="660" w:firstLine="1293"/>
        <w:spacing w:after="0" w:line="259" w:lineRule="auto"/>
        <w:tabs>
          <w:tab w:leader="none" w:pos="248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8.3(b)</w:t>
      </w:r>
      <w:r>
        <w:rPr>
          <w:rFonts w:ascii="Arial" w:cs="Arial" w:eastAsia="Arial" w:hAnsi="Arial"/>
          <w:sz w:val="18"/>
          <w:szCs w:val="18"/>
          <w:color w:val="auto"/>
        </w:rPr>
        <w:t>, at and after the Effective Time, the Civeo Group shall assume, and cause the Civeo Welfare Plans to be solely responsible for, all claims by Civeo Welfare Plan Participants under the applicable OS Welfare Plan flexible spending accounts that were incurred in the plan year in which the Distribution occurs, whether incurred prior to, on, or after the Effective Time, that have not been paid in full as of the Effective Time.</w:t>
      </w:r>
    </w:p>
    <w:p>
      <w:pPr>
        <w:spacing w:after="0" w:line="240" w:lineRule="exact"/>
        <w:rPr>
          <w:rFonts w:ascii="Arial" w:cs="Arial" w:eastAsia="Arial" w:hAnsi="Arial"/>
          <w:sz w:val="18"/>
          <w:szCs w:val="18"/>
          <w:color w:val="auto"/>
        </w:rPr>
      </w:pPr>
    </w:p>
    <w:p>
      <w:pPr>
        <w:jc w:val="both"/>
        <w:ind w:firstLine="1305"/>
        <w:spacing w:after="0" w:line="259" w:lineRule="auto"/>
        <w:tabs>
          <w:tab w:leader="none" w:pos="1802"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Employer Non-elective Contributions</w:t>
      </w:r>
      <w:r>
        <w:rPr>
          <w:rFonts w:ascii="Arial" w:cs="Arial" w:eastAsia="Arial" w:hAnsi="Arial"/>
          <w:sz w:val="18"/>
          <w:szCs w:val="18"/>
          <w:color w:val="auto"/>
        </w:rPr>
        <w:t>. As of immediately after the Effective Time, Civeo shall cause any Civeo Welfare Plan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“cafeteria plan” under Section 125 of the Code to recognize and give effect to all non-elective employer contributions credited toward coverage of a Civeo Welfare Plan Participant under the corresponding OS Welfare Plan that is a cafeteria plan under Section 125 of the Code for the applicable plan year.</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58"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Conditions or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prohibited by applicable Law or a Collective Bargaining Agreement, the Civeo Welfare</w:t>
      </w:r>
      <w:r>
        <w:rPr>
          <w:rFonts w:ascii="Arial" w:cs="Arial" w:eastAsia="Arial" w:hAnsi="Arial"/>
          <w:sz w:val="18"/>
          <w:szCs w:val="18"/>
          <w:i w:val="1"/>
          <w:iCs w:val="1"/>
          <w:color w:val="auto"/>
        </w:rPr>
        <w:t xml:space="preserve"> </w:t>
      </w:r>
      <w:r>
        <w:rPr>
          <w:rFonts w:ascii="Arial" w:cs="Arial" w:eastAsia="Arial" w:hAnsi="Arial"/>
          <w:sz w:val="18"/>
          <w:szCs w:val="18"/>
          <w:color w:val="auto"/>
        </w:rPr>
        <w:t>Plans will waive all limitations as to preexisting conditions, exclusions, service conditions, waiting period limitations or evidence of insurability requirements that would otherwise be applicable to the Civeo Welfare Plan Participant following the Effective Time to the extent that such Employee had previously satisfied such limitation under the corresponding OS Welfare Plan.</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b w:val="1"/>
          <w:bCs w:val="1"/>
          <w:u w:val="single" w:color="auto"/>
          <w:color w:val="auto"/>
        </w:rPr>
        <w:t>Insurance Contracts</w:t>
      </w:r>
      <w:r>
        <w:rPr>
          <w:rFonts w:ascii="Arial" w:cs="Arial" w:eastAsia="Arial" w:hAnsi="Arial"/>
          <w:sz w:val="18"/>
          <w:szCs w:val="18"/>
          <w:color w:val="auto"/>
        </w:rPr>
        <w:t xml:space="preserve">. To the extent any OS Welfare Plan is funded through the purchase of an insurance contract or is subject to any stop loss contract, OS and Civeo will cooperate and use their commercially reasonable efforts to replicate such insurance contracts for Civeo (except to the extent changes are required under applicable state insurance Laws or filings by the respective insurers) and to maintain any pricing discounts or other preferential terms for both OS and Civeo for a reasonable term. Neither Party shall be liable for failure to obtain such insurance contracts, pricing discounts, or other preferential terms for the other Party. Each Party shall be responsible for any additional premiums, charges, or administrative fees that such Party may incur pursuant to this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jc w:val="both"/>
        <w:ind w:firstLine="648"/>
        <w:spacing w:after="0" w:line="25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b w:val="1"/>
          <w:bCs w:val="1"/>
          <w:u w:val="single" w:color="auto"/>
          <w:color w:val="auto"/>
        </w:rPr>
        <w:t>Third-Party Vendors</w:t>
      </w:r>
      <w:r>
        <w:rPr>
          <w:rFonts w:ascii="Arial" w:cs="Arial" w:eastAsia="Arial" w:hAnsi="Arial"/>
          <w:sz w:val="18"/>
          <w:szCs w:val="18"/>
          <w:color w:val="auto"/>
        </w:rPr>
        <w:t xml:space="preserve">. Except as provided below, to the extent any OS Welfare Plan is administered by a third-party vendor, Oil States and Civeo will cooperate and use their commercially reasonable efforts to replicate any contract with such third-party vendor for Civeo and to maintain any pricing discounts or other preferential terms for both Oil States and Civeo for a reasonable term. Neither Party shall be liable for failure to obtain such pricing discounts or other preferential terms for the other Party. Each Party shall be responsible for any additional premiums, charges, or administrative fees that such Party may incur pursuant to this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WORKERS’ COMPENSATION AND UNEMPLOYMENT COMPENSATION</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b w:val="1"/>
          <w:bCs w:val="1"/>
          <w:u w:val="single" w:color="auto"/>
          <w:color w:val="auto"/>
        </w:rPr>
        <w:t>Civeo Workers’ and Unemployment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Effective as of the Effective Time, (a) the Civeo Entity employing each Civeo Group Employee shall have (and, to the extent it has not previously had such obligations, such Civeo Entity shall assume) the obligations for all claims and Liabilities relating to workers’ compensation and unemployment compensation benefits for all Civeo Group Employees employed by that Civeo Entity and</w:t>
      </w:r>
    </w:p>
    <w:p>
      <w:pPr>
        <w:spacing w:after="0" w:line="2" w:lineRule="exact"/>
        <w:rPr>
          <w:sz w:val="20"/>
          <w:szCs w:val="20"/>
          <w:color w:val="auto"/>
        </w:rPr>
      </w:pPr>
    </w:p>
    <w:p>
      <w:pPr>
        <w:jc w:val="both"/>
        <w:ind w:firstLine="8"/>
        <w:spacing w:after="0" w:line="251" w:lineRule="auto"/>
        <w:tabs>
          <w:tab w:leader="none" w:pos="2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Civeo shall cause a member of the Civeo Group to assume all obligations for all claims and Liabilities relating to workers’ compensation and unemployment compensation benefits for all Former Civeo Group Employees. Effective as of the Effective Time, Civeo, acting through the Civeo Entity employing each Civeo Group Employee, will be responsible for (a) obtaining workers’ compensation insurance, including providing all collateral required by the insurance carriers and providing all notices to Civeo Group Employees required by applicable workers’ compensation Laws and (b) establishing new or transferred unemployment insurance employer accounts, policies and claims handling contracts with the applicable government agencies. To the extent that such unemployment insurance coverage cannot be either assigned to or obtained by Civeo or a Civeo Entity, in respect of unemployment claims and Liabilities otherwise to be assumed by Civeo or a Civeo Entity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Oil States shall remain primarily liable for such claims and Liabilities, but Civeo shall indemnify and hold harmless Oil States for any such claims and Liabilities. If the preceding sentence applies, then at one or more mutually agreed upon dates, Oil States shall determine in good faith the present value of such claims and Liabilities and Civeo shall reimburse Oil States for that amount.</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b w:val="1"/>
          <w:bCs w:val="1"/>
          <w:u w:val="single" w:color="auto"/>
          <w:color w:val="auto"/>
        </w:rPr>
        <w:t>Assignment of Contribution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Oil States will transfer and assign (or cause another member of the OS Group to transfer and assign) to a member of the Civeo Group all rights to seek contribution or damages from any applicable third party (such as a third party who aggravates an injury to a worker who makes a workers’ compensation claim) with respect to any workers’ compensation claim for which Civeo is responsible for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b w:val="1"/>
          <w:bCs w:val="1"/>
          <w:u w:val="single" w:color="auto"/>
          <w:color w:val="auto"/>
        </w:rPr>
        <w:t>Collateral</w:t>
      </w:r>
      <w:r>
        <w:rPr>
          <w:rFonts w:ascii="Arial" w:cs="Arial" w:eastAsia="Arial" w:hAnsi="Arial"/>
          <w:sz w:val="18"/>
          <w:szCs w:val="18"/>
          <w:color w:val="auto"/>
        </w:rPr>
        <w:t xml:space="preserve">. On and after the Distribution Date, Civeo (acting directly or through a member of the Civeo Group) shall be responsible for providing all collateral required by insurance carriers in connection with workers’ compensation claims for which Liability is allocated to the Civeo Group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6" w:name="page127"/>
    <w:bookmarkEnd w:id="126"/>
    <w:p>
      <w:pPr>
        <w:jc w:val="both"/>
        <w:ind w:firstLine="648"/>
        <w:spacing w:after="0" w:line="282"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b w:val="1"/>
          <w:bCs w:val="1"/>
          <w:u w:val="single" w:color="auto"/>
          <w:color w:val="auto"/>
        </w:rPr>
        <w:t>Cooperation</w:t>
      </w:r>
      <w:r>
        <w:rPr>
          <w:rFonts w:ascii="Arial" w:cs="Arial" w:eastAsia="Arial" w:hAnsi="Arial"/>
          <w:sz w:val="18"/>
          <w:szCs w:val="18"/>
          <w:i w:val="1"/>
          <w:iCs w:val="1"/>
          <w:color w:val="auto"/>
        </w:rPr>
        <w:t>.</w:t>
      </w:r>
      <w:r>
        <w:rPr>
          <w:rFonts w:ascii="Arial" w:cs="Arial" w:eastAsia="Arial" w:hAnsi="Arial"/>
          <w:sz w:val="18"/>
          <w:szCs w:val="18"/>
          <w:color w:val="auto"/>
        </w:rPr>
        <w:t xml:space="preserve"> Civeo and Oil States shall use commercially reasonable efforts to provide that workers’ compensation and unemployment insurance costs are not adversely affected for either of them by reason of the Distribution.</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b w:val="1"/>
          <w:bCs w:val="1"/>
          <w:u w:val="single" w:color="auto"/>
          <w:color w:val="auto"/>
        </w:rPr>
        <w:t>Establishment of Civeo Severance Program</w:t>
      </w:r>
      <w:r>
        <w:rPr>
          <w:rFonts w:ascii="Arial" w:cs="Arial" w:eastAsia="Arial" w:hAnsi="Arial"/>
          <w:sz w:val="17"/>
          <w:szCs w:val="17"/>
          <w:color w:val="auto"/>
        </w:rPr>
        <w:t>. As soon as reasonably practicable following the Effective Time, Civeo shall, or shall cause another Civeo Entity to, establish and adopt a change in control severance program (or, in the discretion of Civeo, individual arrangements) which provides for each Civeo Group Employee who was a participant in the OS CIC Severance Plan as of immediately prior to the Effective Time to receive severance benefits following the Effective Time at such levels and subject to such terms as the board of directors of Civeo determines in its reasonable discretion. As of the Effective Time, the Civeo Group Employees shall no longer participate in the OS CIC Severance Plan.</w:t>
      </w:r>
    </w:p>
    <w:p>
      <w:pPr>
        <w:spacing w:after="0" w:line="16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b w:val="1"/>
          <w:bCs w:val="1"/>
          <w:u w:val="single" w:color="auto"/>
          <w:color w:val="auto"/>
        </w:rPr>
        <w:t>Liability for Severance</w:t>
      </w:r>
      <w:r>
        <w:rPr>
          <w:rFonts w:ascii="Arial" w:cs="Arial" w:eastAsia="Arial" w:hAnsi="Arial"/>
          <w:sz w:val="17"/>
          <w:szCs w:val="17"/>
          <w:color w:val="auto"/>
        </w:rPr>
        <w:t>. As of the Effective Time, Oil States shall have no Liability or obligation under any OS Group severance plan (including, without limitation, the OS CIC Severance Plan) or policy with respect to Civeo Group Employees or Former Civeo Group Employees.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 ARRANGEMENTS AND OTHER MATTERS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provided under this Agreement, effective as of the Effective Time, Civeo Group Employees shall cease participation in each OS Benefit Plan and shall no longer be eligible to participate in any OS Benefit Plan.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b w:val="1"/>
          <w:bCs w:val="1"/>
          <w:u w:val="single" w:color="auto"/>
          <w:color w:val="auto"/>
        </w:rPr>
        <w:t>Accrued Time Off</w:t>
      </w:r>
      <w:r>
        <w:rPr>
          <w:rFonts w:ascii="Arial" w:cs="Arial" w:eastAsia="Arial" w:hAnsi="Arial"/>
          <w:sz w:val="18"/>
          <w:szCs w:val="18"/>
          <w:color w:val="auto"/>
        </w:rPr>
        <w:t>. Civeo shall recognize and assume all Liability for all unused vacation, holiday, sick leave, flex days, personal days and paid-time off and other time-off benefits with respect to Civeo Group Employees which accrued prior to the Effective Time.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b w:val="1"/>
          <w:bCs w:val="1"/>
          <w:u w:val="single" w:color="auto"/>
          <w:color w:val="auto"/>
        </w:rPr>
        <w:t>Leaves of Absence</w:t>
      </w:r>
      <w:r>
        <w:rPr>
          <w:rFonts w:ascii="Arial" w:cs="Arial" w:eastAsia="Arial" w:hAnsi="Arial"/>
          <w:sz w:val="18"/>
          <w:szCs w:val="18"/>
          <w:color w:val="auto"/>
        </w:rPr>
        <w:t>. Civeo will continue to apply the appropriate leave of absence policies applicable to inactive Civeo Group Employees who are on an approved leave of absence as of the Effective Time. Leaves of absence taken by Civeo Group Employees prior to the Effective shall be deemed to have been taken as employees of a member of the Civeo Group.</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b w:val="1"/>
          <w:bCs w:val="1"/>
          <w:u w:val="single" w:color="auto"/>
          <w:color w:val="auto"/>
        </w:rPr>
        <w:t>Collective Bargaining Agreements</w:t>
      </w:r>
      <w:r>
        <w:rPr>
          <w:rFonts w:ascii="Arial" w:cs="Arial" w:eastAsia="Arial" w:hAnsi="Arial"/>
          <w:sz w:val="17"/>
          <w:szCs w:val="17"/>
          <w:color w:val="auto"/>
        </w:rPr>
        <w:t>. The OS Group shall have no further Liability for or under any collective bargaining agreements, collective agreements, multiemployer plans, pension and welfare plans and arrangements, labor union, trade union or works council agreements entered into with any member of the OS Group, any union, works council, representative of any Civeo Group Employees and such agreements, plans, and arrangements shall, to the extent permitted under applicable Law and their respective terms, be assigned from the applicable OS Entity to Civeo (or a Civeo Entity designated by Civeo) effective as of the Effective Time and Civeo shall cooperate in submitting and completing any required successor employer application, or similar application or notice, in order to effectuate any such assignment.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7" w:name="page128"/>
    <w:bookmarkEnd w:id="127"/>
    <w:p>
      <w:pPr>
        <w:jc w:val="both"/>
        <w:ind w:firstLine="648"/>
        <w:spacing w:after="0" w:line="270"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b w:val="1"/>
          <w:bCs w:val="1"/>
          <w:u w:val="single" w:color="auto"/>
          <w:color w:val="auto"/>
        </w:rPr>
        <w:t>Restrictive Covenants in Employment and Other Agreements</w:t>
      </w:r>
      <w:r>
        <w:rPr>
          <w:rFonts w:ascii="Arial" w:cs="Arial" w:eastAsia="Arial" w:hAnsi="Arial"/>
          <w:sz w:val="17"/>
          <w:szCs w:val="17"/>
          <w:color w:val="auto"/>
        </w:rPr>
        <w:t xml:space="preserve">. To the fullest extent permitted by the agreements described in this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and applicable Law, Oil States shall assign, or cause an applicable member of the OS Group to assign (including through notification to employees, as applicable), to Civeo or a member of the Civeo Group, as designated by Civeo, all agreements containing restrictive covenants (including confidentiality, non-competition and non-solicitation provisions) between a member of the OS Group and a Civeo Group Employee, with such assignment to be effective as of the Effective Time. To the extent that assignment of such agreements is not permitted, effective as of the Effective Time, each member of the Civeo Group shall be considered to be a successor to each member of the OS Group for purposes of, and a third-party beneficiary with respect to, all agreements containing restrictive covenants (including confidentiality, non-competition and non-solicitation provisions) between a member of the OS Group and a Civeo Group Employee, such that each member of the Civeo Group shall enjoy all the rights and benefits under such agreements (including rights and benefits as a third-party beneficiary), with respect to the business operations of the Civeo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Oil States be permitted to enforce such restrictive covenant agreements against Civeo Group Employees for action taken in their capacity as employees of a member of the Civeo Group.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b w:val="1"/>
          <w:bCs w:val="1"/>
          <w:u w:val="single" w:color="auto"/>
          <w:color w:val="auto"/>
        </w:rPr>
        <w:t>Preservation of Rights to Amend</w:t>
      </w:r>
      <w:r>
        <w:rPr>
          <w:rFonts w:ascii="Arial" w:cs="Arial" w:eastAsia="Arial" w:hAnsi="Arial"/>
          <w:sz w:val="17"/>
          <w:szCs w:val="17"/>
          <w:color w:val="auto"/>
        </w:rPr>
        <w:t>. The rights of each member of the OS Group and each member of the Civeo Group to amend, waive, or terminate any plan, arrangement, agreement, program, or policy referred to herein shall not be limited in any way by this Agreement.</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xml:space="preserve">. Each Party agrees that any information conveyed or otherwise received by or on behalf of a Party in conjunction herewith that is not otherwise public through no fault of such Party is confidential and is subject to the terms of the confidentiality provisions set forth herein and in the Indemnification and Release Agreement, including </w:t>
      </w:r>
      <w:r>
        <w:rPr>
          <w:rFonts w:ascii="Arial" w:cs="Arial" w:eastAsia="Arial" w:hAnsi="Arial"/>
          <w:sz w:val="18"/>
          <w:szCs w:val="18"/>
          <w:u w:val="single" w:color="auto"/>
          <w:color w:val="auto"/>
        </w:rPr>
        <w:t>Section 3.4(g)</w:t>
      </w:r>
      <w:r>
        <w:rPr>
          <w:rFonts w:ascii="Arial" w:cs="Arial" w:eastAsia="Arial" w:hAnsi="Arial"/>
          <w:sz w:val="18"/>
          <w:szCs w:val="18"/>
          <w:color w:val="auto"/>
        </w:rPr>
        <w:t xml:space="preserve"> of this Agreement and Section 5.8 of the Indemnification and Release Agreement.</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13.3 </w:t>
      </w:r>
      <w:r>
        <w:rPr>
          <w:rFonts w:ascii="Arial" w:cs="Arial" w:eastAsia="Arial" w:hAnsi="Arial"/>
          <w:sz w:val="16"/>
          <w:szCs w:val="16"/>
          <w:b w:val="1"/>
          <w:bCs w:val="1"/>
          <w:u w:val="single" w:color="auto"/>
          <w:color w:val="auto"/>
        </w:rPr>
        <w:t>Administrative Complaints/Litigation</w:t>
      </w:r>
      <w:r>
        <w:rPr>
          <w:rFonts w:ascii="Arial" w:cs="Arial" w:eastAsia="Arial" w:hAnsi="Arial"/>
          <w:sz w:val="16"/>
          <w:szCs w:val="16"/>
          <w:color w:val="auto"/>
        </w:rPr>
        <w:t xml:space="preserve">. Except as otherwise provided in this Agreement, on and after the Distribution Date, Civeo shall assume, and be solely liable for, the handling, administration, investigation, and defense of actions, including ERISA, occupational safety and health, employment standards, union grievances, wrongful dismissal, discrimination or human rights, and unemployment compensation claims asserted at any time against Oil States or any member of the OS Group by (a) any Civeo Group Employee or Former Civeo Group Employee (including any dependent or beneficiary of any such Employee), (b) any consultant or independent contractor who provided or provides services primarily for the benefit of the Civeo Business or (c) any other person to the extent such actions or claims otherwise arise out of or relate to employment or the provision of services (whether as an employee, contractor, consultant, or otherwise) to or with respect to the business activities of any member of the Civeo Group. Clause (c) of the preceding sentence to the contrary notwithstanding, to the extent that any such legal action is brought by an OS Group Employee or Former OS Group Employee and relates to employment or the provision of services with respect to both the business activities of a member of the Civeo Group and the business activities of a member of the OS Group (excluding the Civeo Group), reasonable costs and expenses incurred by the Parties in responding to such legal action shall be allocated among the Parties based upon the relative levels of service provided between the Civeo Business and the businesses of the OS Group other than the Civeo Business. Further notwithstanding the foregoing, to the extent that any legal action relates to a putative or certified class of plaintiffs, which includes both OS Group Employees (or Former OS Group Employees) and Civeo Group Employees (or Former Civeo Group Employees) and such action involves employment or benefit plan related claims, reasonable costs and expenses incurred by the Parties in responding to such legal action shall be allocated among the Parties equitably in proportion to a reasonable assessment of the relative proportion of Employees included in or represented by the putative or certified plaintiff class. The procedures contained in the indemnification and related litigation cooperation provisions of the Indemnification and Release Agreement shall apply with respect to each Party’s indemnification obligations under this </w:t>
      </w:r>
      <w:r>
        <w:rPr>
          <w:rFonts w:ascii="Arial" w:cs="Arial" w:eastAsia="Arial" w:hAnsi="Arial"/>
          <w:sz w:val="16"/>
          <w:szCs w:val="16"/>
          <w:u w:val="single" w:color="auto"/>
          <w:color w:val="auto"/>
        </w:rPr>
        <w:t>Section 13.3</w:t>
      </w:r>
      <w:r>
        <w:rPr>
          <w:rFonts w:ascii="Arial" w:cs="Arial" w:eastAsia="Arial" w:hAnsi="Arial"/>
          <w:sz w:val="16"/>
          <w:szCs w:val="16"/>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8" w:name="page129"/>
    <w:bookmarkEnd w:id="128"/>
    <w:p>
      <w:pPr>
        <w:jc w:val="both"/>
        <w:ind w:firstLine="648"/>
        <w:spacing w:after="0" w:line="254"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b w:val="1"/>
          <w:bCs w:val="1"/>
          <w:u w:val="single" w:color="auto"/>
          <w:color w:val="auto"/>
        </w:rPr>
        <w:t>Reimbursement and Indemnification</w:t>
      </w:r>
      <w:r>
        <w:rPr>
          <w:rFonts w:ascii="Arial" w:cs="Arial" w:eastAsia="Arial" w:hAnsi="Arial"/>
          <w:sz w:val="18"/>
          <w:szCs w:val="18"/>
          <w:color w:val="auto"/>
        </w:rPr>
        <w:t xml:space="preserve">. To the extent provided for under this Agreement, each Party agrees to reimburse the other Party, within 30 days of receipt from the other Party of reasonable verification, for all costs and expenses which the other Party may incur on its behalf as a result of any of the respective OS and Civeo 401(k) Plans, Welfare Plans and other Benefit Plans and, as contemplated by </w:t>
      </w:r>
      <w:r>
        <w:rPr>
          <w:rFonts w:ascii="Arial" w:cs="Arial" w:eastAsia="Arial" w:hAnsi="Arial"/>
          <w:sz w:val="18"/>
          <w:szCs w:val="18"/>
          <w:u w:val="single" w:color="auto"/>
          <w:color w:val="auto"/>
        </w:rPr>
        <w:t>Section 10.1</w:t>
      </w:r>
      <w:r>
        <w:rPr>
          <w:rFonts w:ascii="Arial" w:cs="Arial" w:eastAsia="Arial" w:hAnsi="Arial"/>
          <w:sz w:val="18"/>
          <w:szCs w:val="18"/>
          <w:color w:val="auto"/>
        </w:rPr>
        <w:t>, any termination or severance payments or benefits. All Liabilities retained, assumed, or indemnified against by Civeo pursuant to this Agreement, and all Liabilities retained, assumed, or indemnified against by Oil States pursuant to this Agreement, shall in each case be subject to the indemnification provisions of the Indemnification and Release Agreement. Notwithstanding anything to the contrary, (i) no provision of this Agreement shall require any member of the Civeo Group to pay or reimburse to any member of the OS Group any benefit-related cost item that a member of the Civeo Group has paid or reimbursed to any member of the OS Group prior to the Effective Time; and (ii) no provision of this Agreement shall require any member of the OS Group to pay or reimburse to any member of the Civeo Group any benefit-related cost item that a member of the OS Group has paid or reimbursed to any member of the Civeo Group prior to the Effective Time.</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b w:val="1"/>
          <w:bCs w:val="1"/>
          <w:u w:val="single" w:color="auto"/>
          <w:color w:val="auto"/>
        </w:rPr>
        <w:t>Costs of Compliance with Agreement</w:t>
      </w:r>
      <w:r>
        <w:rPr>
          <w:rFonts w:ascii="Arial" w:cs="Arial" w:eastAsia="Arial" w:hAnsi="Arial"/>
          <w:sz w:val="18"/>
          <w:szCs w:val="18"/>
          <w:color w:val="auto"/>
        </w:rPr>
        <w:t>. Except as otherwise provided in this Agreement or any other Transfer Document, each Party shall pay its own expenses in fulfilling its obligations under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b w:val="1"/>
          <w:bCs w:val="1"/>
          <w:u w:val="single" w:color="auto"/>
          <w:color w:val="auto"/>
        </w:rPr>
        <w:t>Fiduciary Matters</w:t>
      </w:r>
      <w:r>
        <w:rPr>
          <w:rFonts w:ascii="Arial" w:cs="Arial" w:eastAsia="Arial" w:hAnsi="Arial"/>
          <w:sz w:val="18"/>
          <w:szCs w:val="18"/>
          <w:color w:val="auto"/>
        </w:rPr>
        <w:t>. Oil States and Civeo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9" w:name="page130"/>
    <w:bookmarkEnd w:id="129"/>
    <w:p>
      <w:pPr>
        <w:jc w:val="both"/>
        <w:ind w:firstLine="648"/>
        <w:spacing w:after="0" w:line="258"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xml:space="preserve">. This Agreement, together with the documents referenced herein (including the Separation Agreement, the Transfer Documents and the plans and agreements referenced herein), constitutes the entire agreement and understanding among the Parties with respect to the subject matter hereof and supersedes all prior written and oral and all contemporaneous oral agreements and understandings with respect to the subject matter hereof. Any conflicts between the provisions of this Agreement and the Separation Agreement or any Transfer Document shall be addressed in the manner set forth in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of the Separation Agreement.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b w:val="1"/>
          <w:bCs w:val="1"/>
          <w:u w:val="single" w:color="auto"/>
          <w:color w:val="auto"/>
        </w:rPr>
        <w:t>Binding Effect; No Third-Party Beneficiaries; Assignment</w:t>
      </w:r>
      <w:r>
        <w:rPr>
          <w:rFonts w:ascii="Arial" w:cs="Arial" w:eastAsia="Arial" w:hAnsi="Arial"/>
          <w:sz w:val="17"/>
          <w:szCs w:val="17"/>
          <w:color w:val="auto"/>
        </w:rPr>
        <w:t>. This Agreement shall inure to the benefit of and be binding upon the Parties and their respective successors and permitted assigns. Except as otherwise expressly provided in this Agreement, this Agreement is solely for the benefit of the Parties and should not be deemed to confer upon any third parties any remedy, claim, Liability, reimbursement, cause of action, or other right in excess of those existing without reference to this Agreement. Nothing in this Agreement is intended to amend any employee benefit plan or affect the applicable plan sponsor’s right to amend or terminate any employee benefit plan pursuant to the terms of such plan. The provisions of this Agreement are solely for the benefit of the Parties, and no current or former Employee, officer, director, or independent contractor or any other individual associated therewith shall be regarded for any purpose as a third-party beneficiary of this Agreement. This Agreement may not be assigned by any Party, except with the prior written consent of the other Parties.</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13.9 </w:t>
      </w:r>
      <w:r>
        <w:rPr>
          <w:rFonts w:ascii="Arial" w:cs="Arial" w:eastAsia="Arial" w:hAnsi="Arial"/>
          <w:sz w:val="17"/>
          <w:szCs w:val="17"/>
          <w:b w:val="1"/>
          <w:bCs w:val="1"/>
          <w:u w:val="single" w:color="auto"/>
          <w:color w:val="auto"/>
        </w:rPr>
        <w:t>Amendment; Waivers</w:t>
      </w:r>
      <w:r>
        <w:rPr>
          <w:rFonts w:ascii="Arial" w:cs="Arial" w:eastAsia="Arial" w:hAnsi="Arial"/>
          <w:sz w:val="17"/>
          <w:szCs w:val="17"/>
          <w:color w:val="auto"/>
        </w:rPr>
        <w:t>. No change or amendment may be made to this Agreement except by an instrument in writing signed on behalf of each of the Parties. Any Party may, at any time, (i) extend the time for the performance of any of the obligations or other acts of another Party,</w:t>
      </w:r>
    </w:p>
    <w:p>
      <w:pPr>
        <w:spacing w:after="0" w:line="1" w:lineRule="exact"/>
        <w:rPr>
          <w:sz w:val="20"/>
          <w:szCs w:val="20"/>
          <w:color w:val="auto"/>
        </w:rPr>
      </w:pPr>
    </w:p>
    <w:p>
      <w:pPr>
        <w:ind w:left="300" w:hanging="292"/>
        <w:spacing w:after="0"/>
        <w:tabs>
          <w:tab w:leader="none" w:pos="3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waive any inaccuracies in the representations and warranties of another Party contained herein or in any document delivered pursuant hereto, and</w:t>
      </w:r>
    </w:p>
    <w:p>
      <w:pPr>
        <w:spacing w:after="0" w:line="20" w:lineRule="exact"/>
        <w:rPr>
          <w:rFonts w:ascii="Arial" w:cs="Arial" w:eastAsia="Arial" w:hAnsi="Arial"/>
          <w:sz w:val="17"/>
          <w:szCs w:val="17"/>
          <w:color w:val="auto"/>
        </w:rPr>
      </w:pPr>
    </w:p>
    <w:p>
      <w:pPr>
        <w:jc w:val="both"/>
        <w:ind w:firstLine="8"/>
        <w:spacing w:after="0" w:line="273" w:lineRule="auto"/>
        <w:tabs>
          <w:tab w:leader="none" w:pos="32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waive compliance by another Party with any of the agreements, covenants, or conditions contained herein. Any such extension or waiver shall be valid only if set forth in an instrument in writing signed by the Party to be bound thereby. No failure or delay on the part of any Party in the exercise of any right hereunder shall impair such right or be construed to be a waiver of, or acquiescence in, any breach of any representation, warranty, covenant, or agreement contained herein, nor shall any single or partial exercise of any such right preclude other or further exercises thereof or of any other right.</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All rights and remedies existing under this Agreement or the Schedules attached hereto are cumulative to, and not exclusive of, any rights or remedies otherwise available.</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Unless otherwise expressly provided herein, all notices, claims, certificates, requests, demands and other communications hereunder shall be in writing and shall be deemed to be duly given: (i) when personally delivered, (ii) if mailed by registered or certified mail, postage prepaid, return receipt requested, on the date the return receipt is executed or the letter is refused by the addressee or its agent, (iii) if sent by overnight courier which delivers only upon the executed receipt of the addressee, on the date the receipt acknowledgment is executed or refused by the addressee or its agent, or</w:t>
      </w:r>
    </w:p>
    <w:p>
      <w:pPr>
        <w:spacing w:after="0" w:line="3" w:lineRule="exact"/>
        <w:rPr>
          <w:sz w:val="20"/>
          <w:szCs w:val="20"/>
          <w:color w:val="auto"/>
        </w:rPr>
      </w:pPr>
    </w:p>
    <w:p>
      <w:pPr>
        <w:jc w:val="both"/>
        <w:ind w:firstLine="8"/>
        <w:spacing w:after="0" w:line="255" w:lineRule="auto"/>
        <w:tabs>
          <w:tab w:leader="none" w:pos="3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sent by facsimile or electronic mail, on the date confirmation of transmission is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copy of any notice delivered pursuant to this clause (iv) shall also be sent pursuant to clause (i), (ii) or (iii)), addressed to the attention of the addressee’s General Counsel at the address of its principal executive office or to such other address or facsimile number for a Party as it shall have specified by like notice.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jc w:val="both"/>
        <w:ind w:right="20" w:firstLine="648"/>
        <w:spacing w:after="0" w:line="347"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including the Schedules hereto and the other documents referred to herein, may be executed in multiple counterparts, each of which when executed shall be deemed to be an original but all of which together shall constitute one and the same agreement.</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Section 13.13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term or other provision of this Agreement or the Schedules attached hereto is determined by a non-appealable decision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court, administrative agency, or arbitrator shall interpret this Agreement so as to effect the original intent of the Parties as closely as possible in an acceptable manner to the end that transactions contemplated hereby are fulfilled to the fullest extent possible. If any sentence in this Agreement is so broad as to be unenforceable, the provision shall be interpreted to be only so broad as is enforceable.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xml:space="preserve">. The procedures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Indemnification and Release Agreement shall apply to any dispute, controversy or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1" w:name="page132"/>
    <w:bookmarkEnd w:id="131"/>
    <w:p>
      <w:pPr>
        <w:jc w:val="both"/>
        <w:ind w:firstLine="648"/>
        <w:spacing w:after="0" w:line="303" w:lineRule="auto"/>
        <w:rPr>
          <w:sz w:val="20"/>
          <w:szCs w:val="20"/>
          <w:color w:val="auto"/>
        </w:rPr>
      </w:pPr>
      <w:r>
        <w:rPr>
          <w:rFonts w:ascii="Arial" w:cs="Arial" w:eastAsia="Arial" w:hAnsi="Arial"/>
          <w:sz w:val="16"/>
          <w:szCs w:val="16"/>
          <w:color w:val="auto"/>
        </w:rPr>
        <w:t xml:space="preserve">Section 13.16 </w:t>
      </w:r>
      <w:r>
        <w:rPr>
          <w:rFonts w:ascii="Arial" w:cs="Arial" w:eastAsia="Arial" w:hAnsi="Arial"/>
          <w:sz w:val="16"/>
          <w:szCs w:val="16"/>
          <w:b w:val="1"/>
          <w:bCs w:val="1"/>
          <w:u w:val="single" w:color="auto"/>
          <w:color w:val="auto"/>
        </w:rPr>
        <w:t>Performance</w:t>
      </w:r>
      <w:r>
        <w:rPr>
          <w:rFonts w:ascii="Arial" w:cs="Arial" w:eastAsia="Arial" w:hAnsi="Arial"/>
          <w:sz w:val="16"/>
          <w:szCs w:val="16"/>
          <w:color w:val="auto"/>
        </w:rPr>
        <w:t>. Each of Oil States and Civeo shall cause to be performed, and hereby guarantees the performance of, all actions, agreements and obligations set forth herein to be performed by any member of the OS Group and any member of the Civeo Group, respectively. The Parties each agree to take such further actions and to execute, acknowledge, and deliver, or to cause to be executed, acknowledged, and delivered, all such further documents as are reasonably requested by the other for carrying out the purposes of this Agreement or of any document delivered pursuant to this Agreement.</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shall be construed as if jointly drafted by the Parties and no rule of construction or strict interpretation shall be applied against any Party.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b w:val="1"/>
          <w:bCs w:val="1"/>
          <w:u w:val="single" w:color="auto"/>
          <w:color w:val="auto"/>
        </w:rPr>
        <w:t>Effect if Distribution Does Not Occur</w:t>
      </w:r>
      <w:r>
        <w:rPr>
          <w:rFonts w:ascii="Arial" w:cs="Arial" w:eastAsia="Arial" w:hAnsi="Arial"/>
          <w:sz w:val="18"/>
          <w:szCs w:val="18"/>
          <w:color w:val="auto"/>
        </w:rPr>
        <w:t>. Notwithstanding anything in this Agreement to the contrary, if the Separation Agreement is terminated prior to the Effective Time, this Agreement shall be of no further force and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Agreement to be executed by their duly authorized representatives.</w:t>
      </w:r>
    </w:p>
    <w:p>
      <w:pPr>
        <w:sectPr>
          <w:pgSz w:w="11900" w:h="16838" w:orient="portrait"/>
          <w:cols w:equalWidth="0" w:num="1">
            <w:col w:w="9339"/>
          </w:cols>
          <w:pgMar w:left="1120" w:top="580" w:right="1440" w:bottom="1440" w:gutter="0" w:footer="0" w:header="0"/>
        </w:sectPr>
      </w:pPr>
    </w:p>
    <w:p>
      <w:pPr>
        <w:spacing w:after="0" w:line="248" w:lineRule="exact"/>
        <w:rPr>
          <w:sz w:val="20"/>
          <w:szCs w:val="20"/>
          <w:color w:val="auto"/>
        </w:rPr>
      </w:pPr>
    </w:p>
    <w:p>
      <w:pPr>
        <w:jc w:val="right"/>
        <w:ind w:right="2559"/>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-130810</wp:posOffset>
            </wp:positionV>
            <wp:extent cx="25298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-130810</wp:posOffset>
            </wp:positionV>
            <wp:extent cx="25298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14605</wp:posOffset>
            </wp:positionV>
            <wp:extent cx="25298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-130810</wp:posOffset>
            </wp:positionV>
            <wp:extent cx="25298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-130810</wp:posOffset>
            </wp:positionV>
            <wp:extent cx="25298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14605</wp:posOffset>
            </wp:positionV>
            <wp:extent cx="25298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SIGNATURE PAGE</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564515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339"/>
          </w:cols>
          <w:pgMar w:left="1120" w:top="580" w:right="1440" w:bottom="1440" w:gutter="0" w:footer="0" w:header="0"/>
          <w:type w:val="continuous"/>
        </w:sectPr>
      </w:pPr>
    </w:p>
    <w:bookmarkStart w:id="133" w:name="page134"/>
    <w:bookmarkEnd w:id="133"/>
    <w:p>
      <w:pPr>
        <w:jc w:val="center"/>
        <w:ind w:right="1200"/>
        <w:spacing w:after="0"/>
        <w:rPr>
          <w:sz w:val="20"/>
          <w:szCs w:val="20"/>
          <w:color w:val="auto"/>
        </w:rPr>
      </w:pPr>
      <w:r>
        <w:rPr>
          <w:rFonts w:ascii="Arial" w:cs="Arial" w:eastAsia="Arial" w:hAnsi="Arial"/>
          <w:sz w:val="18"/>
          <w:szCs w:val="18"/>
          <w:b w:val="1"/>
          <w:bCs w:val="1"/>
          <w:color w:val="auto"/>
        </w:rPr>
        <w:t>[SCHEDULE 3.1(a)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CIVEO GROUP EMPLOYEES]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3.1(a)</w:t>
      </w:r>
    </w:p>
    <w:p>
      <w:pPr>
        <w:spacing w:after="0" w:line="2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34" w:name="page135"/>
    <w:bookmarkEnd w:id="134"/>
    <w:p>
      <w:pPr>
        <w:jc w:val="center"/>
        <w:ind w:right="1200"/>
        <w:spacing w:after="0"/>
        <w:rPr>
          <w:sz w:val="20"/>
          <w:szCs w:val="20"/>
          <w:color w:val="auto"/>
        </w:rPr>
      </w:pPr>
      <w:r>
        <w:rPr>
          <w:rFonts w:ascii="Arial" w:cs="Arial" w:eastAsia="Arial" w:hAnsi="Arial"/>
          <w:sz w:val="18"/>
          <w:szCs w:val="18"/>
          <w:b w:val="1"/>
          <w:bCs w:val="1"/>
          <w:color w:val="auto"/>
        </w:rPr>
        <w:t>[SCHEDULE 3.1(h)</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3.1(h)</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580" w:right="239" w:bottom="1440" w:gutter="0" w:footer="0" w:header="0"/>
        </w:sectPr>
      </w:pPr>
    </w:p>
    <w:bookmarkStart w:id="135" w:name="page136"/>
    <w:bookmarkEnd w:id="135"/>
    <w:p>
      <w:pPr>
        <w:jc w:val="right"/>
        <w:ind w:right="40"/>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OIL STATES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4680"/>
              <w:spacing w:after="0"/>
              <w:rPr>
                <w:sz w:val="20"/>
                <w:szCs w:val="20"/>
                <w:color w:val="auto"/>
              </w:rPr>
            </w:pPr>
            <w:r>
              <w:rPr>
                <w:rFonts w:ascii="Arial" w:cs="Arial" w:eastAsia="Arial" w:hAnsi="Arial"/>
                <w:sz w:val="18"/>
                <w:szCs w:val="18"/>
                <w:b w:val="1"/>
                <w:bCs w:val="1"/>
                <w:color w:val="auto"/>
              </w:rPr>
              <w:t>DATED AS OF</w:t>
            </w:r>
          </w:p>
        </w:tc>
        <w:tc>
          <w:tcPr>
            <w:tcW w:w="5360" w:type="dxa"/>
            <w:vAlign w:val="bottom"/>
          </w:tcPr>
          <w:p>
            <w:pPr>
              <w:jc w:val="right"/>
              <w:ind w:right="4570"/>
              <w:spacing w:after="0"/>
              <w:rPr>
                <w:sz w:val="20"/>
                <w:szCs w:val="20"/>
                <w:color w:val="auto"/>
              </w:rPr>
            </w:pPr>
            <w:r>
              <w:rPr>
                <w:rFonts w:ascii="Arial" w:cs="Arial" w:eastAsia="Arial" w:hAnsi="Arial"/>
                <w:sz w:val="18"/>
                <w:szCs w:val="18"/>
                <w:b w:val="1"/>
                <w:bCs w:val="1"/>
                <w:color w:val="auto"/>
              </w:rPr>
              <w:t>, 2014</w:t>
            </w:r>
          </w:p>
        </w:tc>
      </w:tr>
      <w:tr>
        <w:trPr>
          <w:trHeight w:val="1050"/>
        </w:trPr>
        <w:tc>
          <w:tcPr>
            <w:tcW w:w="6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61"/>
        </w:trPr>
        <w:tc>
          <w:tcPr>
            <w:tcW w:w="6100" w:type="dxa"/>
            <w:vAlign w:val="bottom"/>
            <w:shd w:val="clear" w:color="auto" w:fill="808080"/>
          </w:tcPr>
          <w:p>
            <w:pPr>
              <w:spacing w:after="0"/>
              <w:rPr>
                <w:sz w:val="5"/>
                <w:szCs w:val="5"/>
                <w:color w:val="auto"/>
              </w:rPr>
            </w:pPr>
          </w:p>
        </w:tc>
        <w:tc>
          <w:tcPr>
            <w:tcW w:w="53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ARTICLE I</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DEFINITIONS</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20" w:type="dxa"/>
            <w:vAlign w:val="bottom"/>
          </w:tcPr>
          <w:p>
            <w:pPr>
              <w:jc w:val="center"/>
              <w:ind w:left="1130"/>
              <w:spacing w:after="0"/>
              <w:rPr>
                <w:sz w:val="20"/>
                <w:szCs w:val="20"/>
                <w:color w:val="auto"/>
              </w:rPr>
            </w:pPr>
            <w:r>
              <w:rPr>
                <w:rFonts w:ascii="Arial" w:cs="Arial" w:eastAsia="Arial" w:hAnsi="Arial"/>
                <w:sz w:val="18"/>
                <w:szCs w:val="18"/>
                <w:b w:val="1"/>
                <w:bCs w:val="1"/>
                <w:color w:val="auto"/>
              </w:rPr>
              <w:t>ARTICLE II</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30"/>
              <w:spacing w:after="0"/>
              <w:rPr>
                <w:sz w:val="20"/>
                <w:szCs w:val="20"/>
                <w:color w:val="auto"/>
              </w:rPr>
            </w:pPr>
            <w:r>
              <w:rPr>
                <w:rFonts w:ascii="Arial" w:cs="Arial" w:eastAsia="Arial" w:hAnsi="Arial"/>
                <w:sz w:val="18"/>
                <w:szCs w:val="18"/>
                <w:b w:val="1"/>
                <w:bCs w:val="1"/>
                <w:color w:val="auto"/>
              </w:rPr>
              <w:t>MUTUAL RELEASES; INDEMNIFICATION</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Release of Pre-Distribution Claims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2.2</w:t>
            </w:r>
          </w:p>
        </w:tc>
        <w:tc>
          <w:tcPr>
            <w:tcW w:w="9020" w:type="dxa"/>
            <w:vAlign w:val="bottom"/>
          </w:tcPr>
          <w:p>
            <w:pPr>
              <w:ind w:left="380"/>
              <w:spacing w:after="0"/>
              <w:rPr>
                <w:sz w:val="20"/>
                <w:szCs w:val="20"/>
                <w:color w:val="auto"/>
              </w:rPr>
            </w:pPr>
            <w:r>
              <w:rPr>
                <w:rFonts w:ascii="Arial" w:cs="Arial" w:eastAsia="Arial" w:hAnsi="Arial"/>
                <w:sz w:val="18"/>
                <w:szCs w:val="18"/>
                <w:color w:val="auto"/>
              </w:rPr>
              <w:t>Indemnification by Civeo</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Indemnification by Oil States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2.4</w:t>
            </w:r>
          </w:p>
        </w:tc>
        <w:tc>
          <w:tcPr>
            <w:tcW w:w="9020" w:type="dxa"/>
            <w:vAlign w:val="bottom"/>
          </w:tcPr>
          <w:p>
            <w:pPr>
              <w:ind w:left="38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Procedures for Indemnification of Third-Party Claims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2.6</w:t>
            </w:r>
          </w:p>
        </w:tc>
        <w:tc>
          <w:tcPr>
            <w:tcW w:w="9020" w:type="dxa"/>
            <w:vAlign w:val="bottom"/>
          </w:tcPr>
          <w:p>
            <w:pPr>
              <w:ind w:left="380"/>
              <w:spacing w:after="0"/>
              <w:rPr>
                <w:sz w:val="20"/>
                <w:szCs w:val="20"/>
                <w:color w:val="auto"/>
              </w:rPr>
            </w:pPr>
            <w:r>
              <w:rPr>
                <w:rFonts w:ascii="Arial" w:cs="Arial" w:eastAsia="Arial" w:hAnsi="Arial"/>
                <w:sz w:val="18"/>
                <w:szCs w:val="18"/>
                <w:color w:val="auto"/>
              </w:rPr>
              <w:t>Additional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Remedies Cumulative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2.8</w:t>
            </w:r>
          </w:p>
        </w:tc>
        <w:tc>
          <w:tcPr>
            <w:tcW w:w="9020" w:type="dxa"/>
            <w:vAlign w:val="bottom"/>
          </w:tcPr>
          <w:p>
            <w:pPr>
              <w:ind w:left="380"/>
              <w:spacing w:after="0"/>
              <w:rPr>
                <w:sz w:val="20"/>
                <w:szCs w:val="20"/>
                <w:color w:val="auto"/>
              </w:rPr>
            </w:pPr>
            <w:r>
              <w:rPr>
                <w:rFonts w:ascii="Arial" w:cs="Arial" w:eastAsia="Arial" w:hAnsi="Arial"/>
                <w:sz w:val="18"/>
                <w:szCs w:val="18"/>
                <w:color w:val="auto"/>
              </w:rPr>
              <w:t>Survival of Indemnities</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Guarantees, Letters of Credit and other Obligations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2.10</w:t>
            </w:r>
          </w:p>
        </w:tc>
        <w:tc>
          <w:tcPr>
            <w:tcW w:w="9020" w:type="dxa"/>
            <w:vAlign w:val="bottom"/>
          </w:tcPr>
          <w:p>
            <w:pPr>
              <w:ind w:left="380"/>
              <w:spacing w:after="0"/>
              <w:rPr>
                <w:sz w:val="20"/>
                <w:szCs w:val="20"/>
                <w:color w:val="auto"/>
              </w:rPr>
            </w:pPr>
            <w:r>
              <w:rPr>
                <w:rFonts w:ascii="Arial" w:cs="Arial" w:eastAsia="Arial" w:hAnsi="Arial"/>
                <w:sz w:val="18"/>
                <w:szCs w:val="18"/>
                <w:color w:val="auto"/>
              </w:rPr>
              <w:t>No Impact on Third Parties</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Cross-Claims or Third-Party Claims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2.12</w:t>
            </w:r>
          </w:p>
        </w:tc>
        <w:tc>
          <w:tcPr>
            <w:tcW w:w="902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ARTICLE III</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30"/>
              <w:spacing w:after="0"/>
              <w:rPr>
                <w:sz w:val="20"/>
                <w:szCs w:val="20"/>
                <w:color w:val="auto"/>
              </w:rPr>
            </w:pPr>
            <w:r>
              <w:rPr>
                <w:rFonts w:ascii="Arial" w:cs="Arial" w:eastAsia="Arial" w:hAnsi="Arial"/>
                <w:sz w:val="18"/>
                <w:szCs w:val="18"/>
                <w:b w:val="1"/>
                <w:bCs w:val="1"/>
                <w:color w:val="auto"/>
              </w:rPr>
              <w:t>INSURANCE MATTERS</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Insurance Matters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ARTICLE IV</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DISPUTE RESOLUTION</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80" w:type="dxa"/>
            <w:vAlign w:val="bottom"/>
          </w:tcPr>
          <w:p>
            <w:pPr>
              <w:spacing w:after="0"/>
              <w:rPr>
                <w:sz w:val="23"/>
                <w:szCs w:val="23"/>
                <w:color w:val="auto"/>
              </w:rPr>
            </w:pPr>
          </w:p>
        </w:tc>
        <w:tc>
          <w:tcPr>
            <w:tcW w:w="9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Provisions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4.2</w:t>
            </w:r>
          </w:p>
        </w:tc>
        <w:tc>
          <w:tcPr>
            <w:tcW w:w="9020" w:type="dxa"/>
            <w:vAlign w:val="bottom"/>
          </w:tcPr>
          <w:p>
            <w:pPr>
              <w:ind w:left="280"/>
              <w:spacing w:after="0"/>
              <w:rPr>
                <w:sz w:val="20"/>
                <w:szCs w:val="20"/>
                <w:color w:val="auto"/>
              </w:rPr>
            </w:pPr>
            <w:r>
              <w:rPr>
                <w:rFonts w:ascii="Arial" w:cs="Arial" w:eastAsia="Arial" w:hAnsi="Arial"/>
                <w:sz w:val="18"/>
                <w:szCs w:val="18"/>
                <w:color w:val="auto"/>
              </w:rPr>
              <w:t>Consideration by Senior Executives</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Mediation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4.4</w:t>
            </w:r>
          </w:p>
        </w:tc>
        <w:tc>
          <w:tcPr>
            <w:tcW w:w="9020" w:type="dxa"/>
            <w:vAlign w:val="bottom"/>
          </w:tcPr>
          <w:p>
            <w:pPr>
              <w:ind w:left="280"/>
              <w:spacing w:after="0"/>
              <w:rPr>
                <w:sz w:val="20"/>
                <w:szCs w:val="20"/>
                <w:color w:val="auto"/>
              </w:rPr>
            </w:pPr>
            <w:r>
              <w:rPr>
                <w:rFonts w:ascii="Arial" w:cs="Arial" w:eastAsia="Arial" w:hAnsi="Arial"/>
                <w:sz w:val="18"/>
                <w:szCs w:val="18"/>
                <w:color w:val="auto"/>
              </w:rPr>
              <w:t>Arbitration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ARTICLE V</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tcPr>
          <w:p>
            <w:pPr>
              <w:jc w:val="center"/>
              <w:ind w:left="1110"/>
              <w:spacing w:after="0"/>
              <w:rPr>
                <w:sz w:val="20"/>
                <w:szCs w:val="20"/>
                <w:color w:val="auto"/>
              </w:rPr>
            </w:pPr>
            <w:r>
              <w:rPr>
                <w:rFonts w:ascii="Arial" w:cs="Arial" w:eastAsia="Arial" w:hAnsi="Arial"/>
                <w:sz w:val="18"/>
                <w:szCs w:val="18"/>
                <w:b w:val="1"/>
                <w:bCs w:val="1"/>
                <w:color w:val="auto"/>
              </w:rPr>
              <w:t>EXCHANGE OF INFORMATION; CONFIDENTIALITY</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80" w:type="dxa"/>
            <w:vAlign w:val="bottom"/>
          </w:tcPr>
          <w:p>
            <w:pPr>
              <w:spacing w:after="0"/>
              <w:rPr>
                <w:sz w:val="23"/>
                <w:szCs w:val="23"/>
                <w:color w:val="auto"/>
              </w:rPr>
            </w:pPr>
          </w:p>
        </w:tc>
        <w:tc>
          <w:tcPr>
            <w:tcW w:w="9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Agreement for Exchange of Information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5.2</w:t>
            </w:r>
          </w:p>
        </w:tc>
        <w:tc>
          <w:tcPr>
            <w:tcW w:w="9020" w:type="dxa"/>
            <w:vAlign w:val="bottom"/>
          </w:tcPr>
          <w:p>
            <w:pPr>
              <w:ind w:left="280"/>
              <w:spacing w:after="0"/>
              <w:rPr>
                <w:sz w:val="20"/>
                <w:szCs w:val="20"/>
                <w:color w:val="auto"/>
              </w:rPr>
            </w:pPr>
            <w:r>
              <w:rPr>
                <w:rFonts w:ascii="Arial" w:cs="Arial" w:eastAsia="Arial" w:hAnsi="Arial"/>
                <w:sz w:val="18"/>
                <w:szCs w:val="18"/>
                <w:color w:val="auto"/>
              </w:rPr>
              <w:t>Ownership of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for Providing Information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5.4</w:t>
            </w:r>
          </w:p>
        </w:tc>
        <w:tc>
          <w:tcPr>
            <w:tcW w:w="9020" w:type="dxa"/>
            <w:vAlign w:val="bottom"/>
          </w:tcPr>
          <w:p>
            <w:pPr>
              <w:ind w:left="280"/>
              <w:spacing w:after="0"/>
              <w:rPr>
                <w:sz w:val="20"/>
                <w:szCs w:val="20"/>
                <w:color w:val="auto"/>
              </w:rPr>
            </w:pPr>
            <w:r>
              <w:rPr>
                <w:rFonts w:ascii="Arial" w:cs="Arial" w:eastAsia="Arial" w:hAnsi="Arial"/>
                <w:sz w:val="18"/>
                <w:szCs w:val="18"/>
                <w:color w:val="auto"/>
              </w:rPr>
              <w:t>Record Retention</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Limitations of Liability</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5.6</w:t>
            </w:r>
          </w:p>
        </w:tc>
        <w:tc>
          <w:tcPr>
            <w:tcW w:w="9020" w:type="dxa"/>
            <w:vAlign w:val="bottom"/>
          </w:tcPr>
          <w:p>
            <w:pPr>
              <w:ind w:left="280"/>
              <w:spacing w:after="0"/>
              <w:rPr>
                <w:sz w:val="20"/>
                <w:szCs w:val="20"/>
                <w:color w:val="auto"/>
              </w:rPr>
            </w:pPr>
            <w:r>
              <w:rPr>
                <w:rFonts w:ascii="Arial" w:cs="Arial" w:eastAsia="Arial" w:hAnsi="Arial"/>
                <w:sz w:val="18"/>
                <w:szCs w:val="18"/>
                <w:color w:val="auto"/>
              </w:rPr>
              <w:t>Other Agreements Providing for Exchange of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Production of Witnesses; Records; Cooperation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5.8</w:t>
            </w:r>
          </w:p>
        </w:tc>
        <w:tc>
          <w:tcPr>
            <w:tcW w:w="902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Protective Arrangements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6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rPr>
              <w:t>ARTICLE VI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6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w w:val="97"/>
              </w:rPr>
              <w:t>FURTHER ASSURANCES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Further Assurances</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6.2</w:t>
            </w:r>
          </w:p>
        </w:tc>
        <w:tc>
          <w:tcPr>
            <w:tcW w:w="3320" w:type="dxa"/>
            <w:vAlign w:val="bottom"/>
          </w:tcPr>
          <w:p>
            <w:pPr>
              <w:ind w:left="320"/>
              <w:spacing w:after="0"/>
              <w:rPr>
                <w:sz w:val="20"/>
                <w:szCs w:val="20"/>
                <w:color w:val="auto"/>
              </w:rPr>
            </w:pPr>
            <w:r>
              <w:rPr>
                <w:rFonts w:ascii="Arial" w:cs="Arial" w:eastAsia="Arial" w:hAnsi="Arial"/>
                <w:sz w:val="18"/>
                <w:szCs w:val="18"/>
                <w:color w:val="auto"/>
              </w:rPr>
              <w:t>Attorney-Client Privilege</w:t>
            </w:r>
          </w:p>
        </w:tc>
        <w:tc>
          <w:tcPr>
            <w:tcW w:w="74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Attorney Testimony</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6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rPr>
              <w:t>ARTICLE VII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6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rPr>
              <w:t>MISCELLANEOUS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 Entire Agreement</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7.2</w:t>
            </w:r>
          </w:p>
        </w:tc>
        <w:tc>
          <w:tcPr>
            <w:tcW w:w="3320" w:type="dxa"/>
            <w:vAlign w:val="bottom"/>
          </w:tcPr>
          <w:p>
            <w:pPr>
              <w:ind w:left="320"/>
              <w:spacing w:after="0"/>
              <w:rPr>
                <w:sz w:val="20"/>
                <w:szCs w:val="20"/>
                <w:color w:val="auto"/>
              </w:rPr>
            </w:pPr>
            <w:r>
              <w:rPr>
                <w:rFonts w:ascii="Arial" w:cs="Arial" w:eastAsia="Arial" w:hAnsi="Arial"/>
                <w:sz w:val="18"/>
                <w:szCs w:val="18"/>
                <w:color w:val="auto"/>
              </w:rPr>
              <w:t>Assignability</w:t>
            </w:r>
          </w:p>
        </w:tc>
        <w:tc>
          <w:tcPr>
            <w:tcW w:w="7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Third-Party Beneficiaries</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7.4</w:t>
            </w:r>
          </w:p>
        </w:tc>
        <w:tc>
          <w:tcPr>
            <w:tcW w:w="3320" w:type="dxa"/>
            <w:vAlign w:val="bottom"/>
          </w:tcPr>
          <w:p>
            <w:pPr>
              <w:ind w:left="320"/>
              <w:spacing w:after="0"/>
              <w:rPr>
                <w:sz w:val="20"/>
                <w:szCs w:val="20"/>
                <w:color w:val="auto"/>
              </w:rPr>
            </w:pPr>
            <w:r>
              <w:rPr>
                <w:rFonts w:ascii="Arial" w:cs="Arial" w:eastAsia="Arial" w:hAnsi="Arial"/>
                <w:sz w:val="18"/>
                <w:szCs w:val="18"/>
                <w:color w:val="auto"/>
              </w:rPr>
              <w:t>Notices</w:t>
            </w:r>
          </w:p>
        </w:tc>
        <w:tc>
          <w:tcPr>
            <w:tcW w:w="7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7.6</w:t>
            </w:r>
          </w:p>
        </w:tc>
        <w:tc>
          <w:tcPr>
            <w:tcW w:w="3320" w:type="dxa"/>
            <w:vAlign w:val="bottom"/>
          </w:tcPr>
          <w:p>
            <w:pPr>
              <w:ind w:left="320"/>
              <w:spacing w:after="0"/>
              <w:rPr>
                <w:sz w:val="20"/>
                <w:szCs w:val="20"/>
                <w:color w:val="auto"/>
              </w:rPr>
            </w:pPr>
            <w:r>
              <w:rPr>
                <w:rFonts w:ascii="Arial" w:cs="Arial" w:eastAsia="Arial" w:hAnsi="Arial"/>
                <w:sz w:val="18"/>
                <w:szCs w:val="18"/>
                <w:color w:val="auto"/>
              </w:rPr>
              <w:t>Force Majeure</w:t>
            </w:r>
          </w:p>
        </w:tc>
        <w:tc>
          <w:tcPr>
            <w:tcW w:w="7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Headings</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7.8</w:t>
            </w:r>
          </w:p>
        </w:tc>
        <w:tc>
          <w:tcPr>
            <w:tcW w:w="3320" w:type="dxa"/>
            <w:vAlign w:val="bottom"/>
          </w:tcPr>
          <w:p>
            <w:pPr>
              <w:ind w:left="320"/>
              <w:spacing w:after="0"/>
              <w:rPr>
                <w:sz w:val="20"/>
                <w:szCs w:val="20"/>
                <w:color w:val="auto"/>
              </w:rPr>
            </w:pPr>
            <w:r>
              <w:rPr>
                <w:rFonts w:ascii="Arial" w:cs="Arial" w:eastAsia="Arial" w:hAnsi="Arial"/>
                <w:sz w:val="18"/>
                <w:szCs w:val="18"/>
                <w:color w:val="auto"/>
              </w:rPr>
              <w:t>Survival of Covenants</w:t>
            </w:r>
          </w:p>
        </w:tc>
        <w:tc>
          <w:tcPr>
            <w:tcW w:w="7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Waivers of Default</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7.10</w:t>
            </w:r>
          </w:p>
        </w:tc>
        <w:tc>
          <w:tcPr>
            <w:tcW w:w="3320" w:type="dxa"/>
            <w:vAlign w:val="bottom"/>
          </w:tcPr>
          <w:p>
            <w:pPr>
              <w:ind w:left="320"/>
              <w:spacing w:after="0"/>
              <w:rPr>
                <w:sz w:val="20"/>
                <w:szCs w:val="20"/>
                <w:color w:val="auto"/>
              </w:rPr>
            </w:pPr>
            <w:r>
              <w:rPr>
                <w:rFonts w:ascii="Arial" w:cs="Arial" w:eastAsia="Arial" w:hAnsi="Arial"/>
                <w:sz w:val="18"/>
                <w:szCs w:val="18"/>
                <w:color w:val="auto"/>
              </w:rPr>
              <w:t>Amendments</w:t>
            </w:r>
          </w:p>
        </w:tc>
        <w:tc>
          <w:tcPr>
            <w:tcW w:w="7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7.11</w:t>
            </w: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7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7.12</w:t>
            </w:r>
          </w:p>
        </w:tc>
        <w:tc>
          <w:tcPr>
            <w:tcW w:w="3320" w:type="dxa"/>
            <w:vAlign w:val="bottom"/>
          </w:tcPr>
          <w:p>
            <w:pPr>
              <w:ind w:left="320"/>
              <w:spacing w:after="0"/>
              <w:rPr>
                <w:sz w:val="20"/>
                <w:szCs w:val="20"/>
                <w:color w:val="auto"/>
              </w:rPr>
            </w:pPr>
            <w:r>
              <w:rPr>
                <w:rFonts w:ascii="Arial" w:cs="Arial" w:eastAsia="Arial" w:hAnsi="Arial"/>
                <w:sz w:val="18"/>
                <w:szCs w:val="18"/>
                <w:color w:val="auto"/>
              </w:rPr>
              <w:t>Limitations of Liability</w:t>
            </w:r>
          </w:p>
        </w:tc>
        <w:tc>
          <w:tcPr>
            <w:tcW w:w="74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 – Assumed 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2.9(a) – Guarantees and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3.1(c) – Insurance Policies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25" w:lineRule="exact"/>
        <w:rPr>
          <w:sz w:val="20"/>
          <w:szCs w:val="20"/>
          <w:color w:val="auto"/>
        </w:rPr>
      </w:pPr>
    </w:p>
    <w:p>
      <w:pPr>
        <w:ind w:left="660"/>
        <w:spacing w:after="0"/>
        <w:tabs>
          <w:tab w:leader="none" w:pos="872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INDEMNIFICATION AND RELEASE AGREEMENT</w:t>
      </w:r>
      <w:r>
        <w:rPr>
          <w:rFonts w:ascii="Arial" w:cs="Arial" w:eastAsia="Arial" w:hAnsi="Arial"/>
          <w:sz w:val="18"/>
          <w:szCs w:val="18"/>
          <w:color w:val="auto"/>
        </w:rPr>
        <w:t>, made and entered into effective as of</w:t>
      </w:r>
      <w:r>
        <w:rPr>
          <w:sz w:val="20"/>
          <w:szCs w:val="20"/>
          <w:color w:val="auto"/>
        </w:rPr>
        <w:tab/>
      </w:r>
      <w:r>
        <w:rPr>
          <w:rFonts w:ascii="Arial" w:cs="Arial" w:eastAsia="Arial" w:hAnsi="Arial"/>
          <w:sz w:val="16"/>
          <w:szCs w:val="16"/>
          <w:color w:val="auto"/>
        </w:rPr>
        <w:t>, 2014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by and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between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and Civeo Corporation, a Delaware corporation and wholly 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Capitalized terms used herein and not otherwise defined have the respective meanings assigned to them in Article I or in the Separation and Distribution Agreement dated as of , 2014 (as amended, modified or supplemented from time to time in accordance with its terms, the “</w:t>
      </w:r>
      <w:r>
        <w:rPr>
          <w:rFonts w:ascii="Arial" w:cs="Arial" w:eastAsia="Arial" w:hAnsi="Arial"/>
          <w:sz w:val="18"/>
          <w:szCs w:val="18"/>
          <w:b w:val="1"/>
          <w:bCs w:val="1"/>
          <w:i w:val="1"/>
          <w:iCs w:val="1"/>
          <w:color w:val="auto"/>
        </w:rPr>
        <w:t>Separation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Distribution Agreement</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Oil States (the “</w:t>
      </w:r>
      <w:r>
        <w:rPr>
          <w:rFonts w:ascii="Arial" w:cs="Arial" w:eastAsia="Arial" w:hAnsi="Arial"/>
          <w:sz w:val="18"/>
          <w:szCs w:val="18"/>
          <w:b w:val="1"/>
          <w:bCs w:val="1"/>
          <w:i w:val="1"/>
          <w:iCs w:val="1"/>
          <w:color w:val="auto"/>
        </w:rPr>
        <w:t>Oil States Board</w:t>
      </w:r>
      <w:r>
        <w:rPr>
          <w:rFonts w:ascii="Arial" w:cs="Arial" w:eastAsia="Arial" w:hAnsi="Arial"/>
          <w:sz w:val="18"/>
          <w:szCs w:val="18"/>
          <w:color w:val="auto"/>
        </w:rPr>
        <w:t>”) has determined that it is in the best interests of Oil States and its stockholders to create a new publicly traded company that shall operate the Civeo Business;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Oil States and Civeo have entered into the Separation and Distribution Agreement in connection with the separation of the Civeo Business from Oil States (the “</w:t>
      </w:r>
      <w:r>
        <w:rPr>
          <w:rFonts w:ascii="Arial" w:cs="Arial" w:eastAsia="Arial" w:hAnsi="Arial"/>
          <w:sz w:val="17"/>
          <w:szCs w:val="17"/>
          <w:b w:val="1"/>
          <w:bCs w:val="1"/>
          <w:i w:val="1"/>
          <w:iCs w:val="1"/>
          <w:color w:val="auto"/>
        </w:rPr>
        <w:t>Separation</w:t>
      </w:r>
      <w:r>
        <w:rPr>
          <w:rFonts w:ascii="Arial" w:cs="Arial" w:eastAsia="Arial" w:hAnsi="Arial"/>
          <w:sz w:val="17"/>
          <w:szCs w:val="17"/>
          <w:color w:val="auto"/>
        </w:rPr>
        <w:t>”) and the distribution of Civeo Common Stock to stockholders of Oil States (the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and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Separation and Distribution Agreement also provides for the execution and delivery of certain other agreements, including this Agreement, in order to facilitate and provide for the separation of Civeo and its Subsidiaries from Oil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the parties, intending to be legally bound,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capitalized terms used in this Agreement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 Commercial Arbitration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Approval Rating</w:t>
      </w:r>
      <w:r>
        <w:rPr>
          <w:rFonts w:ascii="Arial" w:cs="Arial" w:eastAsia="Arial" w:hAnsi="Arial"/>
          <w:sz w:val="18"/>
          <w:szCs w:val="18"/>
          <w:color w:val="auto"/>
        </w:rPr>
        <w:t>” means a rating of at least B- by Standard &amp; Poor’s Financial Services LLC or the equivalent rating by Moody’s Investors Service,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Actions</w:t>
      </w:r>
      <w:r>
        <w:rPr>
          <w:rFonts w:ascii="Arial" w:cs="Arial" w:eastAsia="Arial" w:hAnsi="Arial"/>
          <w:sz w:val="16"/>
          <w:szCs w:val="16"/>
          <w:color w:val="auto"/>
        </w:rPr>
        <w:t xml:space="preserve">” means (a) those Actions which are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and (b) those Actions that are primarily related to the Civeo Business.</w:t>
      </w:r>
    </w:p>
    <w:p>
      <w:pPr>
        <w:spacing w:after="0" w:line="3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any “person” or “group” (as such terms are used in Sections 13(d) and 14(d) of the Exchange Act shall become the “beneficial owner” (as defined in Rules 13(d)-3 and 13(d)-5 under the Exchange Act), directly or indirectly, of more than a majority of the outstanding economic or voting equity interests of a Person; and (b) a reorganization, merger or consolidation or a sale of all or substantially all of a Person’s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Civeo Indemnitees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Action</w:t>
      </w:r>
      <w:r>
        <w:rPr>
          <w:rFonts w:ascii="Arial" w:cs="Arial" w:eastAsia="Arial" w:hAnsi="Arial"/>
          <w:sz w:val="18"/>
          <w:szCs w:val="18"/>
          <w:color w:val="auto"/>
        </w:rPr>
        <w:t>” means any Action, whether filed before, on or after the Distribution Date, to the extent it asserts violations of any federal, state, local, foreign or international securities Law, securities class action or shareholder derivative claim.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Rating</w:t>
      </w:r>
      <w:r>
        <w:rPr>
          <w:rFonts w:ascii="Arial" w:cs="Arial" w:eastAsia="Arial" w:hAnsi="Arial"/>
          <w:sz w:val="18"/>
          <w:szCs w:val="18"/>
          <w:color w:val="auto"/>
        </w:rPr>
        <w:t>” means on any date, the rating that has been most recently announced by any Rating Agency for any class of senior, unsecured, non-convertible publicly held long-term debt of a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means the date and time determined in accordance with Section 3.3(a) of the Separation and Distribution Agreement at which the Distribution occurs.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FIFO Basis</w:t>
      </w:r>
      <w:r>
        <w:rPr>
          <w:rFonts w:ascii="Arial" w:cs="Arial" w:eastAsia="Arial" w:hAnsi="Arial"/>
          <w:sz w:val="17"/>
          <w:szCs w:val="17"/>
          <w:color w:val="auto"/>
        </w:rPr>
        <w:t>” means, with respect to the payment of Unrelated Claims, the payment in full of each successful claim (regardless of which party is the claimant) in the order in which such successful claim is approved by the insurance carrier, until the limit of the applicable policy is met.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Indemnity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memos, and other technical, financial, employee or business information or data.</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Insurance Proceeds</w:t>
      </w:r>
      <w:r>
        <w:rPr>
          <w:rFonts w:ascii="Arial" w:cs="Arial" w:eastAsia="Arial" w:hAnsi="Arial"/>
          <w:sz w:val="18"/>
          <w:szCs w:val="18"/>
          <w:color w:val="auto"/>
        </w:rPr>
        <w:t>” means those monies:</w:t>
      </w:r>
    </w:p>
    <w:p>
      <w:pPr>
        <w:spacing w:after="0" w:line="225" w:lineRule="exact"/>
        <w:rPr>
          <w:sz w:val="20"/>
          <w:szCs w:val="20"/>
          <w:color w:val="auto"/>
        </w:rPr>
      </w:pPr>
    </w:p>
    <w:p>
      <w:pPr>
        <w:ind w:left="1720" w:hanging="415"/>
        <w:spacing w:after="0"/>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 provided, however, with respect to a captive insurance arrangement, Insurance Proceeds shall only include net amounts received by the captive insurer in respect of any captive reinsurance arrangement.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Leverage Transaction</w:t>
      </w:r>
      <w:r>
        <w:rPr>
          <w:rFonts w:ascii="Arial" w:cs="Arial" w:eastAsia="Arial" w:hAnsi="Arial"/>
          <w:sz w:val="18"/>
          <w:szCs w:val="18"/>
          <w:color w:val="auto"/>
        </w:rPr>
        <w:t>” means any transaction or series of related transaction that is reasonably likely to result, on a pro forma basis, in a violation of any financial covenant included in the Civeo Financing Arrangements as in effect on the Distribution Date without giving effect to any subsequent amendment or waiver.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LHO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means any and all debts, guarantees, assurances, commitments, liabilities, responsibilities, Losses, remediation, deficiencies, reimbursement obligations in respect of letters of credit, damages, fines, penalties, settlements, sanctions, costs, expenses, interest and obligations,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actual losses (including any diminution in value), costs, damages, penalties and expenses (including legal and accounting fees and expenses and costs of investigation and litigation), whether or not involving a Third-Party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Oil States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Moody’s Investors Service, Inc., Standard &amp; Poor’s, a division of The McGraw-Hill Companies, Inc., Fitch, Inc. or any nationally recognized statistical rating organizations registered with the Securities and Exchange Commission.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Claims</w:t>
      </w:r>
      <w:r>
        <w:rPr>
          <w:rFonts w:ascii="Arial" w:cs="Arial" w:eastAsia="Arial" w:hAnsi="Arial"/>
          <w:sz w:val="18"/>
          <w:szCs w:val="18"/>
          <w:color w:val="auto"/>
        </w:rPr>
        <w:t>” means a claim against a policy made by Civeo, on the one hand, and Oil States, on the other hand, filed in connection with Losses suffered by either Civeo or Oil States, as the case may be, arising out of the same underlying transaction or series of transactions or event or series of events that have also given rise to Losses suffered by Oil States or Civeo, as the case may be, which Losses are the subject of a claim or claims by such Person against such a policy.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any of such Person’s directors, officers, employees, agents, consultants, advisors, accountants, attorneys or other representatives.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Benefit</w:t>
      </w:r>
      <w:r>
        <w:rPr>
          <w:rFonts w:ascii="Arial" w:cs="Arial" w:eastAsia="Arial" w:hAnsi="Arial"/>
          <w:sz w:val="18"/>
          <w:szCs w:val="18"/>
          <w:color w:val="auto"/>
        </w:rPr>
        <w:t>” has the meaning set forth in the Tax Sharing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Unrelated Claims</w:t>
      </w:r>
      <w:r>
        <w:rPr>
          <w:rFonts w:ascii="Arial" w:cs="Arial" w:eastAsia="Arial" w:hAnsi="Arial"/>
          <w:sz w:val="18"/>
          <w:szCs w:val="18"/>
          <w:color w:val="auto"/>
        </w:rPr>
        <w:t>” means a claim or claims against a policy that is not a Related Claim.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RELEASES; INDEMNIFICATION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Release of Pre-Distribution Claims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0" w:lineRule="auto"/>
        <w:tabs>
          <w:tab w:leader="none" w:pos="173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2.1(c)</w:t>
      </w:r>
      <w:r>
        <w:rPr>
          <w:rFonts w:ascii="Arial" w:cs="Arial" w:eastAsia="Arial" w:hAnsi="Arial"/>
          <w:sz w:val="17"/>
          <w:szCs w:val="17"/>
          <w:color w:val="auto"/>
        </w:rPr>
        <w:t>, effective as of the Distribution Date, Civeo does hereby, for itself and each other member of the Civeo Group, their respective Affiliates (other than any member of the Oil States Group), successors and assigns, and all Persons who at any time prior to the Distribution Date have been directors, officers, agents or employees of any member of the Civeo Group (in each case, in their respective capacities as such), remise, release and forever discharge Oil States and the members of the Oil States Group, their respective Affiliates (other than any member of the Civeo Group), successors and assigns, and all Persons who at any time prior to the Distribution Date have been stockholders, directors, officers, agents or employees of any member of the Oil States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including in connection with the transactions and all other activities to implement the Separation and the Distribution.</w:t>
      </w:r>
    </w:p>
    <w:p>
      <w:pPr>
        <w:spacing w:after="0" w:line="177" w:lineRule="exact"/>
        <w:rPr>
          <w:rFonts w:ascii="Arial" w:cs="Arial" w:eastAsia="Arial" w:hAnsi="Arial"/>
          <w:sz w:val="17"/>
          <w:szCs w:val="17"/>
          <w:color w:val="auto"/>
        </w:rPr>
      </w:pPr>
    </w:p>
    <w:p>
      <w:pPr>
        <w:jc w:val="both"/>
        <w:ind w:firstLine="1305"/>
        <w:spacing w:after="0" w:line="270" w:lineRule="auto"/>
        <w:tabs>
          <w:tab w:leader="none" w:pos="173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2.1(c)</w:t>
      </w:r>
      <w:r>
        <w:rPr>
          <w:rFonts w:ascii="Arial" w:cs="Arial" w:eastAsia="Arial" w:hAnsi="Arial"/>
          <w:sz w:val="17"/>
          <w:szCs w:val="17"/>
          <w:color w:val="auto"/>
        </w:rPr>
        <w:t>, effective as of the Distribution Date, Oil States does hereby, for itself and each other member of the Oil States Group, their respective Affiliates (other than any member of the Civeo Group), successors and assigns, and all Persons who at any time prior to the Distribution Date have been directors, officers, agents or employees of any member of the Oil States Group (in each case, in their respective capacities as such), remise, release and forever discharge Civeo, the respective members of the Civeo Group, their respective Affiliates (other than any member of the Oil States Group), successors and assigns, and all Persons who at any time prior to the Distribution Date have been stockholders, directors, officers, agents or employees of any member of the Civeo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including in connection with the transactions and all other activities to implement the Separation and the Distribution.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2" w:name="page143"/>
    <w:bookmarkEnd w:id="142"/>
    <w:p>
      <w:pPr>
        <w:jc w:val="both"/>
        <w:ind w:firstLine="1305"/>
        <w:spacing w:after="0" w:line="259" w:lineRule="auto"/>
        <w:tabs>
          <w:tab w:leader="none" w:pos="185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impair any right of any Person to enforce this Agreement, the Separation and Distribution Agreement, any other Ancillary Agreement or any agreements, arrangements, commitments or understandings that are specified in Section 2.8(b) of the Separation and Distribution Agreement or the applicable Schedules thereto as not to terminate as of the Distribution Date, in each case in accordance with its terms. 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release any Person from:</w:t>
      </w:r>
    </w:p>
    <w:p>
      <w:pPr>
        <w:spacing w:after="0" w:line="186" w:lineRule="exact"/>
        <w:rPr>
          <w:rFonts w:ascii="Arial" w:cs="Arial" w:eastAsia="Arial" w:hAnsi="Arial"/>
          <w:sz w:val="18"/>
          <w:szCs w:val="18"/>
          <w:color w:val="auto"/>
        </w:rPr>
      </w:pPr>
    </w:p>
    <w:p>
      <w:pPr>
        <w:jc w:val="both"/>
        <w:ind w:left="660" w:firstLine="1293"/>
        <w:spacing w:after="0" w:line="286" w:lineRule="auto"/>
        <w:tabs>
          <w:tab w:leader="none" w:pos="239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any Liability provided in or resulting from any agreement among any members of the Oil States Group or the Civeo Group that is specified in Section 2.8(b) of the Separation and Distribution Agreement or the applicable Schedules thereto as not to terminate as of the Distribution Date, or any other Liability specified in such Section 2.8(b) as not to terminate as of the Distribution Date;</w:t>
      </w:r>
    </w:p>
    <w:p>
      <w:pPr>
        <w:spacing w:after="0" w:line="165" w:lineRule="exact"/>
        <w:rPr>
          <w:rFonts w:ascii="Arial" w:cs="Arial" w:eastAsia="Arial" w:hAnsi="Arial"/>
          <w:sz w:val="17"/>
          <w:szCs w:val="17"/>
          <w:color w:val="auto"/>
        </w:rPr>
      </w:pPr>
    </w:p>
    <w:p>
      <w:pPr>
        <w:jc w:val="both"/>
        <w:ind w:left="660" w:firstLine="1293"/>
        <w:spacing w:after="0" w:line="264" w:lineRule="auto"/>
        <w:tabs>
          <w:tab w:leader="none" w:pos="246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Liability, contingent or otherwise, assumed, transferred, assigned or allocated to the Group of which such Person is a member in accordance with, or any other Liability of any member of any Group under, this Agreement, the Separation and Distribution Agreement or any other Ancillary Agreement;</w:t>
      </w:r>
    </w:p>
    <w:p>
      <w:pPr>
        <w:spacing w:after="0" w:line="181" w:lineRule="exact"/>
        <w:rPr>
          <w:rFonts w:ascii="Arial" w:cs="Arial" w:eastAsia="Arial" w:hAnsi="Arial"/>
          <w:sz w:val="18"/>
          <w:szCs w:val="18"/>
          <w:color w:val="auto"/>
        </w:rPr>
      </w:pPr>
    </w:p>
    <w:p>
      <w:pPr>
        <w:ind w:left="660" w:right="20" w:firstLine="1293"/>
        <w:spacing w:after="0" w:line="277" w:lineRule="auto"/>
        <w:tabs>
          <w:tab w:leader="none" w:pos="252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Liability for the sale, lease, construction or receipt of goods, property or services purchased, obtained or used in the ordinary course of business by a member of one Group from a member of the other Group prior to the Distribution Date;</w:t>
      </w:r>
    </w:p>
    <w:p>
      <w:pPr>
        <w:spacing w:after="0" w:line="170" w:lineRule="exact"/>
        <w:rPr>
          <w:rFonts w:ascii="Arial" w:cs="Arial" w:eastAsia="Arial" w:hAnsi="Arial"/>
          <w:sz w:val="18"/>
          <w:szCs w:val="18"/>
          <w:color w:val="auto"/>
        </w:rPr>
      </w:pPr>
    </w:p>
    <w:p>
      <w:pPr>
        <w:ind w:left="660" w:firstLine="1293"/>
        <w:spacing w:after="0" w:line="277" w:lineRule="auto"/>
        <w:tabs>
          <w:tab w:leader="none" w:pos="246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Liability for unpaid amounts for products or services or refunds owing on products or services due on a value-received basis for work done by a member of one Group at the request or on behalf of a member of the other Group;</w:t>
      </w:r>
    </w:p>
    <w:p>
      <w:pPr>
        <w:spacing w:after="0" w:line="170" w:lineRule="exact"/>
        <w:rPr>
          <w:rFonts w:ascii="Arial" w:cs="Arial" w:eastAsia="Arial" w:hAnsi="Arial"/>
          <w:sz w:val="18"/>
          <w:szCs w:val="18"/>
          <w:color w:val="auto"/>
        </w:rPr>
      </w:pPr>
    </w:p>
    <w:p>
      <w:pPr>
        <w:jc w:val="both"/>
        <w:ind w:left="660" w:firstLine="1293"/>
        <w:spacing w:after="0" w:line="264" w:lineRule="auto"/>
        <w:tabs>
          <w:tab w:leader="none" w:pos="240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any Liability that the parties may have with respect to indemnification or contribution pursuant to this Agreement for claims brought against the parties by third Persons, which Liability shall be governed by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if applicable, the appropriate provisions of the Separation and Distribution Agreement and the other Ancillary Agreements; or</w:t>
      </w:r>
    </w:p>
    <w:p>
      <w:pPr>
        <w:spacing w:after="0" w:line="181" w:lineRule="exact"/>
        <w:rPr>
          <w:rFonts w:ascii="Arial" w:cs="Arial" w:eastAsia="Arial" w:hAnsi="Arial"/>
          <w:sz w:val="18"/>
          <w:szCs w:val="18"/>
          <w:color w:val="auto"/>
        </w:rPr>
      </w:pPr>
    </w:p>
    <w:p>
      <w:pPr>
        <w:ind w:left="2500" w:hanging="547"/>
        <w:spacing w:after="0"/>
        <w:tabs>
          <w:tab w:leader="none" w:pos="25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Liability the release of which would result in the release of any third Person other than a Person released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shall release Oil States from honoring its existing obligations to indemnify any director, officer or employee of a member of the Civeo Group who was a director, officer or employee of a member of the Oil States Group on or prior to the Distribution Date, to the extent such director, officer or employee becomes a named defendant in any Action with respect to which such director, officer or employee was entitled to such indemnification pursuant to then existing obligations; it being understood that, if the underlying obligation giving rise to such Action is a Civeo Liability, Civeo shall indemnify Oil States for such Liability (including Oil States’ costs to indemnify the director, officer or employee) in accordance with the provisions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3" w:name="page144"/>
    <w:bookmarkEnd w:id="143"/>
    <w:p>
      <w:pPr>
        <w:jc w:val="both"/>
        <w:ind w:firstLine="1305"/>
        <w:spacing w:after="0" w:line="273" w:lineRule="auto"/>
        <w:tabs>
          <w:tab w:leader="none" w:pos="185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Civeo covenants that it will not make, and will not permit any member of the Civeo Group to make, any claim or demand, or commence any Action asserting any claim or demand, including any claim of contribution or any indemnification, against Oil States or any member of the Oil States Group, or any other Person released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Oil States covenants that it will not make, and will not permit any member of the Oil States Group to make, any claim or demand, or commence any Action asserting any claim or demand, including any claim of contribution or any indemnification, against Civeo or any member of the Civeo Group, or any other Person released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72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It is the intent of each of Oil States and Civeo, by virtue of the provisions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or among Civeo or any member of the Civeo Group, on the one hand, and Oil States or any member of the Oil States Group, on the other hand (including any contractual agreements or arrangements existing or alleged to exist between or among any such members on or before the Distribution Date), except as expressly set forth in </w:t>
      </w:r>
      <w:r>
        <w:rPr>
          <w:rFonts w:ascii="Arial" w:cs="Arial" w:eastAsia="Arial" w:hAnsi="Arial"/>
          <w:sz w:val="16"/>
          <w:szCs w:val="16"/>
          <w:u w:val="single" w:color="auto"/>
          <w:color w:val="auto"/>
        </w:rPr>
        <w:t>Section 2.1(c)</w:t>
      </w:r>
      <w:r>
        <w:rPr>
          <w:rFonts w:ascii="Arial" w:cs="Arial" w:eastAsia="Arial" w:hAnsi="Arial"/>
          <w:sz w:val="16"/>
          <w:szCs w:val="16"/>
          <w:color w:val="auto"/>
        </w:rPr>
        <w:t>. At any time, at the request of any other party to this Agreement, each party shall cause each member of its respective Group to execute and deliver releases reflecting the provisions hereof.</w:t>
      </w:r>
    </w:p>
    <w:p>
      <w:pPr>
        <w:spacing w:after="0" w:line="164" w:lineRule="exact"/>
        <w:rPr>
          <w:rFonts w:ascii="Arial" w:cs="Arial" w:eastAsia="Arial" w:hAnsi="Arial"/>
          <w:sz w:val="16"/>
          <w:szCs w:val="16"/>
          <w:color w:val="auto"/>
        </w:rPr>
      </w:pPr>
    </w:p>
    <w:p>
      <w:pPr>
        <w:ind w:firstLine="1305"/>
        <w:spacing w:after="0" w:line="277" w:lineRule="auto"/>
        <w:tabs>
          <w:tab w:leader="none" w:pos="17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Any breach of the provisions of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by either Oil States or Civeo shall entitle the other party to recover reasonable fees and expenses of counsel in connection with such breach or any action resulting from such breach.</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Indemnification by</w:t>
      </w:r>
      <w:r>
        <w:rPr>
          <w:rFonts w:ascii="Arial" w:cs="Arial" w:eastAsia="Arial" w:hAnsi="Arial"/>
          <w:sz w:val="17"/>
          <w:szCs w:val="17"/>
          <w:color w:val="auto"/>
        </w:rPr>
        <w:t xml:space="preserve"> </w:t>
      </w:r>
      <w:r>
        <w:rPr>
          <w:rFonts w:ascii="Arial" w:cs="Arial" w:eastAsia="Arial" w:hAnsi="Arial"/>
          <w:sz w:val="17"/>
          <w:szCs w:val="17"/>
          <w:u w:val="single" w:color="auto"/>
          <w:color w:val="auto"/>
        </w:rPr>
        <w:t>Civeo</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Civeo shall, and shall cause the other members of the Civeo Group to, indemnify, defend and hold harmless Oil States, each member of the Oil States Group and each of their respective directors, officers and employees, and each of the heirs, executors, successors and assigns of any of the foregoing (collectively, the “</w:t>
      </w:r>
      <w:r>
        <w:rPr>
          <w:rFonts w:ascii="Arial" w:cs="Arial" w:eastAsia="Arial" w:hAnsi="Arial"/>
          <w:sz w:val="17"/>
          <w:szCs w:val="17"/>
          <w:b w:val="1"/>
          <w:bCs w:val="1"/>
          <w:i w:val="1"/>
          <w:iCs w:val="1"/>
          <w:color w:val="auto"/>
        </w:rPr>
        <w:t>Oil States Indemnitees</w:t>
      </w:r>
      <w:r>
        <w:rPr>
          <w:rFonts w:ascii="Arial" w:cs="Arial" w:eastAsia="Arial" w:hAnsi="Arial"/>
          <w:sz w:val="17"/>
          <w:szCs w:val="17"/>
          <w:color w:val="auto"/>
        </w:rPr>
        <w:t>”), from and against any and all Liabilities of the Oil States Indemnitees to the extent relating to, arising out of or resulting from any of the following items (without duplication):</w:t>
      </w:r>
    </w:p>
    <w:p>
      <w:pPr>
        <w:spacing w:after="0" w:line="169" w:lineRule="exact"/>
        <w:rPr>
          <w:sz w:val="20"/>
          <w:szCs w:val="20"/>
          <w:color w:val="auto"/>
        </w:rPr>
      </w:pPr>
    </w:p>
    <w:p>
      <w:pPr>
        <w:ind w:firstLine="1305"/>
        <w:spacing w:after="0" w:line="342" w:lineRule="auto"/>
        <w:tabs>
          <w:tab w:leader="none" w:pos="172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failure of Civeo or any other member of the Civeo Group or any other Person to pay, perform or otherwise promptly discharge any Civeo Liabilities or Civeo Contracts in accordance with its respective terms, whether prior to or after the Distribution Date or the date hereof;</w:t>
      </w:r>
    </w:p>
    <w:p>
      <w:pPr>
        <w:spacing w:after="0" w:line="123" w:lineRule="exact"/>
        <w:rPr>
          <w:rFonts w:ascii="Arial" w:cs="Arial" w:eastAsia="Arial" w:hAnsi="Arial"/>
          <w:sz w:val="16"/>
          <w:szCs w:val="16"/>
          <w:color w:val="auto"/>
        </w:rPr>
      </w:pPr>
    </w:p>
    <w:p>
      <w:pPr>
        <w:ind w:left="1740" w:hanging="435"/>
        <w:spacing w:after="0"/>
        <w:tabs>
          <w:tab w:leader="none" w:pos="1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Civeo Business, any Civeo Liabilities or any Civeo Contracts;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Assumed Actions;</w:t>
      </w:r>
    </w:p>
    <w:p>
      <w:pPr>
        <w:spacing w:after="0" w:line="225" w:lineRule="exact"/>
        <w:rPr>
          <w:rFonts w:ascii="Arial" w:cs="Arial" w:eastAsia="Arial" w:hAnsi="Arial"/>
          <w:sz w:val="18"/>
          <w:szCs w:val="18"/>
          <w:color w:val="auto"/>
        </w:rPr>
      </w:pPr>
    </w:p>
    <w:p>
      <w:pPr>
        <w:ind w:firstLine="1305"/>
        <w:spacing w:after="0" w:line="277" w:lineRule="auto"/>
        <w:tabs>
          <w:tab w:leader="none" w:pos="17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any Corporate Action or Action relating primarily to the Civeo Business from which Civeo is unable to cause a Oil States Group party to be removed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308" w:lineRule="auto"/>
        <w:tabs>
          <w:tab w:leader="none" w:pos="184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use by any member of the Oil States Group allowed by the Separation and Distribution Agreement or any other Ancillary Agreement after the Distribution Date of the Civeo Intellectual Property owned by, or licensed by a Third Party to, a member of the Civeo Group;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4" w:name="page145"/>
    <w:bookmarkEnd w:id="144"/>
    <w:p>
      <w:pPr>
        <w:ind w:firstLine="1305"/>
        <w:spacing w:after="0" w:line="277" w:lineRule="auto"/>
        <w:tabs>
          <w:tab w:leader="none" w:pos="17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breach by Civeo or any member of the Civeo Group of this Agreement, the Separation and Distribution Agreement or any of the other Ancillary Agreements;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guarantee, indemnification obligation, letter of credit reimbursement obligations, surety, bond or other credit support agreement, arrangement, commitment or understanding for the benefit of Civeo or its Subsidiaries by Oil States or any of its Subsidiaries (other than Civeo or its Subsidiaries) that survives following the Distribution Date; and</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74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of the Form 10 (including in any amendments or supplements thereto), the Information Statement (as amended or supplemented if Civeo will have furnished any amendments or supplements thereto) or any offering memorandum or other marketing materials prepared in connection with the Civeo Financing Arrangements, other than any such statement or omission in the Form 10, Information Statement or offering memorandum or other marketing materials based on information furnished by Oil States solely in respect of the Oil States Group, which is limited to the information set forth under the caption “The Spin-Off—Reasons for the Spin-Off.”</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Indemnification by Oil States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Oil States shall, and shall cause the other members of the Oil States Group to, indemnify, defend and hold harmless Civeo, each member of the Civeo Group and each of their respective directors, officers and employees, and each of the heirs, executors, successors and assigns of any of the foregoing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Civeo Indemnitees</w:t>
      </w:r>
      <w:r>
        <w:rPr>
          <w:rFonts w:ascii="Arial" w:cs="Arial" w:eastAsia="Arial" w:hAnsi="Arial"/>
          <w:sz w:val="17"/>
          <w:szCs w:val="17"/>
          <w:color w:val="auto"/>
        </w:rPr>
        <w:t>”), from and against any and all Liabilities of the Civeo Indemnitees to the extent relating to, arising out of or resulting from any of the following items (without duplication):</w:t>
      </w:r>
    </w:p>
    <w:p>
      <w:pPr>
        <w:spacing w:after="0" w:line="169" w:lineRule="exact"/>
        <w:rPr>
          <w:sz w:val="20"/>
          <w:szCs w:val="20"/>
          <w:color w:val="auto"/>
        </w:rPr>
      </w:pPr>
    </w:p>
    <w:p>
      <w:pPr>
        <w:ind w:firstLine="1305"/>
        <w:spacing w:after="0" w:line="277" w:lineRule="auto"/>
        <w:tabs>
          <w:tab w:leader="none" w:pos="18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failure of Oil States or any other member of the Oil States Group or any other Person to pay, perform or otherwise promptly discharge any Excluded Liabilities, whether prior to or after the Distribution Date or the date hereof;</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Oil States Business or any Excluded Contracts;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Excluded Liabilities;</w:t>
      </w:r>
    </w:p>
    <w:p>
      <w:pPr>
        <w:spacing w:after="0" w:line="225" w:lineRule="exact"/>
        <w:rPr>
          <w:rFonts w:ascii="Arial" w:cs="Arial" w:eastAsia="Arial" w:hAnsi="Arial"/>
          <w:sz w:val="18"/>
          <w:szCs w:val="18"/>
          <w:color w:val="auto"/>
        </w:rPr>
      </w:pPr>
    </w:p>
    <w:p>
      <w:pPr>
        <w:ind w:firstLine="1305"/>
        <w:spacing w:after="0" w:line="277" w:lineRule="auto"/>
        <w:tabs>
          <w:tab w:leader="none" w:pos="17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any Corporate Action or Action relating primarily to the Oil States Business from which Oil States is unable to cause a Civeo Group party to be removed pursuant to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342" w:lineRule="auto"/>
        <w:tabs>
          <w:tab w:leader="none" w:pos="17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use by any member of the Civeo Group allowed by the Separation and Distribution Agreement or any other Ancillary Agreement after the Distribution Date of the Oil States Intellectual Property owned by, or licensed by a Third Party to, a member of the Oil States Group;</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5" w:name="page146"/>
    <w:bookmarkEnd w:id="145"/>
    <w:p>
      <w:pPr>
        <w:jc w:val="both"/>
        <w:ind w:firstLine="1305"/>
        <w:spacing w:after="0" w:line="257" w:lineRule="auto"/>
        <w:tabs>
          <w:tab w:leader="none" w:pos="17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of the Form 10 (including in any amendments or supplements thereto), the Information Statement (as amended or supplemented if Civeo will have furnished any amendments or supplements thereto) or any offering memorandum or other marketing materials prepared in connection with the Civeo Financing Arrangements, which is limited to the information set forth under the caption “The Spin-Off—Reasons for the Spin-Off”; and</w:t>
      </w:r>
    </w:p>
    <w:p>
      <w:pPr>
        <w:spacing w:after="0" w:line="188" w:lineRule="exact"/>
        <w:rPr>
          <w:rFonts w:ascii="Arial" w:cs="Arial" w:eastAsia="Arial" w:hAnsi="Arial"/>
          <w:sz w:val="18"/>
          <w:szCs w:val="18"/>
          <w:color w:val="auto"/>
        </w:rPr>
      </w:pPr>
    </w:p>
    <w:p>
      <w:pPr>
        <w:ind w:right="20" w:firstLine="1305"/>
        <w:spacing w:after="0" w:line="277" w:lineRule="auto"/>
        <w:tabs>
          <w:tab w:leader="none" w:pos="17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breach by Oil States or any member of the Oil States Group of this Agreement, the Separation and Distribution Agreement or any of the other Ancillary Agreements.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u w:val="single" w:color="auto"/>
          <w:color w:val="auto"/>
        </w:rPr>
        <w:t>Indemnification Obligations Net of Insurance Proceeds and Other Amounts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2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parties intend that any Liability subject to indemnification or reimbursement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will be net of Insurance Proceeds that actually reduce the amount of the Liability. Accordingly, the amount which any party (an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is required to pay to any Person entitled to indemnification hereunder (an “Indemnitee”) will be reduced by any Insurance Proceeds theretofore actually recovered by or on behalf of the Indemnitee in respect of the related Liability. If an Indemnitee receives a payment (an “</w:t>
      </w:r>
      <w:r>
        <w:rPr>
          <w:rFonts w:ascii="Arial" w:cs="Arial" w:eastAsia="Arial" w:hAnsi="Arial"/>
          <w:sz w:val="17"/>
          <w:szCs w:val="17"/>
          <w:b w:val="1"/>
          <w:bCs w:val="1"/>
          <w:i w:val="1"/>
          <w:iCs w:val="1"/>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2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they would not be entitled to receive in the absence of the indemnification provisions) by virtue of the indemnification provisions hereof.</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172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parties intend that any indemnification or reimbursement payment in respect of a Liability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(i) reduced to take into account the amount of any Tax Benefit to the indemnified or reimbursed Person resulting from the Liability so indemnified or reimbursed and (ii) increased so that the amount of such payment, reduced by the amount of all Income Taxes (as defined in the Tax Sharing Agreement) payable with respect to the receipt thereof (but taking into account all correlative Tax Benefits resulting from the payment of such Income Taxes), shall equal the amount of the payment which the Person receiving such payment would otherwise be entitled to receive pursuant to this Agreement. For purposes of this </w:t>
      </w:r>
      <w:r>
        <w:rPr>
          <w:rFonts w:ascii="Arial" w:cs="Arial" w:eastAsia="Arial" w:hAnsi="Arial"/>
          <w:sz w:val="17"/>
          <w:szCs w:val="17"/>
          <w:u w:val="single" w:color="auto"/>
          <w:color w:val="auto"/>
        </w:rPr>
        <w:t>Section 2.4(c)</w:t>
      </w:r>
      <w:r>
        <w:rPr>
          <w:rFonts w:ascii="Arial" w:cs="Arial" w:eastAsia="Arial" w:hAnsi="Arial"/>
          <w:sz w:val="17"/>
          <w:szCs w:val="17"/>
          <w:color w:val="auto"/>
        </w:rPr>
        <w:t>, the amount of any Tax Benefit and any Income Taxes shall be calculated on the basis that the indemnified or reimbursed Person is subject to the highest marginal regular statutory income Tax rate, has sufficient taxable income to permit the realization or receipt of any relevant Tax Benefit at the earliest possible time and is not subject to the alternative minimum tax.</w:t>
      </w:r>
    </w:p>
    <w:p>
      <w:pPr>
        <w:spacing w:after="0" w:line="178" w:lineRule="exact"/>
        <w:rPr>
          <w:rFonts w:ascii="Arial" w:cs="Arial" w:eastAsia="Arial" w:hAnsi="Arial"/>
          <w:sz w:val="17"/>
          <w:szCs w:val="17"/>
          <w:color w:val="auto"/>
        </w:rPr>
      </w:pPr>
    </w:p>
    <w:p>
      <w:pPr>
        <w:jc w:val="both"/>
        <w:ind w:firstLine="1305"/>
        <w:spacing w:after="0" w:line="286" w:lineRule="auto"/>
        <w:tabs>
          <w:tab w:leader="none" w:pos="18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Each of Oil States and Civeo shall, and shall cause the members of its Group to, when appropriate, use commercially reasonable efforts to obtain waivers of subrogation for each of the insurance policies identified on </w:t>
      </w:r>
      <w:r>
        <w:rPr>
          <w:rFonts w:ascii="Arial" w:cs="Arial" w:eastAsia="Arial" w:hAnsi="Arial"/>
          <w:sz w:val="17"/>
          <w:szCs w:val="17"/>
          <w:u w:val="single" w:color="auto"/>
          <w:color w:val="auto"/>
        </w:rPr>
        <w:t>Schedule 3.1(c)</w:t>
      </w:r>
      <w:r>
        <w:rPr>
          <w:rFonts w:ascii="Arial" w:cs="Arial" w:eastAsia="Arial" w:hAnsi="Arial"/>
          <w:sz w:val="17"/>
          <w:szCs w:val="17"/>
          <w:color w:val="auto"/>
        </w:rPr>
        <w:t>. Each of Oil States and Civeo hereby waives, for itself and each member of its Group, its rights to recover against the other party in subrogation or as subrogee for a third Person.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6" w:name="page147"/>
    <w:bookmarkEnd w:id="146"/>
    <w:p>
      <w:pPr>
        <w:jc w:val="both"/>
        <w:ind w:firstLine="1305"/>
        <w:spacing w:after="0" w:line="264" w:lineRule="auto"/>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For all claims as to which indemnification is provided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other than Third-Party Claims (as to which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apply), the reasonable fees and expenses of counsel to the Indemnitee for the enforcement of the indemnity obligations shall be borne by the Indemnifying Party.</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u w:val="single" w:color="auto"/>
          <w:color w:val="auto"/>
        </w:rPr>
        <w:t>Procedures for Indemnification of Third-Party Claims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3" w:lineRule="auto"/>
        <w:tabs>
          <w:tab w:leader="none" w:pos="17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 Indemnitee shall receive written notice from a Person (including any Governmental Authority) who is not a member of the Oil States Group or the Civeo Group (a “</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of any claim or of the commencement by any such Person of any Action (collectively, a “</w:t>
      </w:r>
      <w:r>
        <w:rPr>
          <w:rFonts w:ascii="Arial" w:cs="Arial" w:eastAsia="Arial" w:hAnsi="Arial"/>
          <w:sz w:val="18"/>
          <w:szCs w:val="18"/>
          <w:b w:val="1"/>
          <w:bCs w:val="1"/>
          <w:i w:val="1"/>
          <w:iCs w:val="1"/>
          <w:color w:val="auto"/>
        </w:rPr>
        <w:t>Third-Party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with respect to which an Indemnifying Party may be obligated to provide indemnification to such Indemnitee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other Section of this Agreement or any other Ancillary Agreement, such Indemnitee shall give such Indemnifying Party written notice thereof within 14 days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shall not relieve an Indemnifying Party of its indemnification obligations under this Agreement, except to the extent to which the Indemnifying Party shall demonstrate that it was materially prejudiced by the Indemnitee’s failure to provide notice in accordance with this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1305"/>
        <w:spacing w:after="0" w:line="291" w:lineRule="auto"/>
        <w:tabs>
          <w:tab w:leader="none" w:pos="175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An Indemnifying Party may elect to defend (and, unless the Indemnifying Party has specified any reservations or exceptions, to seek to settle or compromise), at such Indemnifying Party’s own expense and by such Indemnifying Party’s own counsel, any Third-Party Claim. Within 30 days after the receipt of notice from an Indemnitee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(or sooner, if the nature of such Third-Party Claim so requires), the Indemnifying Party shall notify the Indemnitee of its election whether the Indemnifying Party will assume responsibility for defending such Third-Party Claim, which election shall specify any reservations or exceptions.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except as set forth in </w:t>
      </w:r>
      <w:r>
        <w:rPr>
          <w:rFonts w:ascii="Arial" w:cs="Arial" w:eastAsia="Arial" w:hAnsi="Arial"/>
          <w:sz w:val="16"/>
          <w:szCs w:val="16"/>
          <w:u w:val="single" w:color="auto"/>
          <w:color w:val="auto"/>
        </w:rPr>
        <w:t>Section 2.5(c)</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17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the Indemnifying Party has elected to assume the defense of the Third-Party Claim but has specified, and continues to assert, any reservations or exceptions in such notice, then, in any such case, the reasonable fees and expenses of one separate counsel for all Indemnitees shall be the expense of such Indemnitees, but shall be reimbursed by the Indemnifying Party.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7" w:name="page148"/>
    <w:bookmarkEnd w:id="147"/>
    <w:p>
      <w:pPr>
        <w:jc w:val="both"/>
        <w:ind w:firstLine="1305"/>
        <w:spacing w:after="0" w:line="286" w:lineRule="auto"/>
        <w:tabs>
          <w:tab w:leader="none" w:pos="174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Notwithstanding an election by an Indemnifying Party to defend a Third-Party Claim pursuant to </w:t>
      </w:r>
      <w:r>
        <w:rPr>
          <w:rFonts w:ascii="Arial" w:cs="Arial" w:eastAsia="Arial" w:hAnsi="Arial"/>
          <w:sz w:val="16"/>
          <w:szCs w:val="16"/>
          <w:u w:val="single" w:color="auto"/>
          <w:color w:val="auto"/>
        </w:rPr>
        <w:t>Section 2.5(b)</w:t>
      </w:r>
      <w:r>
        <w:rPr>
          <w:rFonts w:ascii="Arial" w:cs="Arial" w:eastAsia="Arial" w:hAnsi="Arial"/>
          <w:sz w:val="16"/>
          <w:szCs w:val="16"/>
          <w:color w:val="auto"/>
        </w:rPr>
        <w:t>, the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to the extent the Indemnifying Party has a Credit Rating, such Credit Rating of the Indemnifying Party is or falls below the Approval Rating as determined by at least two Rating Agencies,</w:t>
      </w:r>
    </w:p>
    <w:p>
      <w:pPr>
        <w:spacing w:after="0" w:line="1" w:lineRule="exact"/>
        <w:rPr>
          <w:rFonts w:ascii="Arial" w:cs="Arial" w:eastAsia="Arial" w:hAnsi="Arial"/>
          <w:sz w:val="16"/>
          <w:szCs w:val="16"/>
          <w:color w:val="auto"/>
        </w:rPr>
      </w:pPr>
    </w:p>
    <w:p>
      <w:pPr>
        <w:jc w:val="both"/>
        <w:ind w:firstLine="8"/>
        <w:spacing w:after="0" w:line="302" w:lineRule="auto"/>
        <w:tabs>
          <w:tab w:leader="none" w:pos="3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Indemnitee determines in its exercise of reasonable business judgment that there exists a compelling business reason for such Indemnitee to defend such Third-Party Claim (other than as contemplated by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or (iv) the Indemnifying Party makes a general assignment for the benefit of creditors, has filed against it or files a petition in bankruptcy or insolvency or is declared bankrupt or insolvent or declares that it is bankrupt or insolvent.</w:t>
      </w:r>
    </w:p>
    <w:p>
      <w:pPr>
        <w:spacing w:after="0" w:line="155" w:lineRule="exact"/>
        <w:rPr>
          <w:rFonts w:ascii="Arial" w:cs="Arial" w:eastAsia="Arial" w:hAnsi="Arial"/>
          <w:sz w:val="16"/>
          <w:szCs w:val="16"/>
          <w:color w:val="auto"/>
        </w:rPr>
      </w:pPr>
    </w:p>
    <w:p>
      <w:pPr>
        <w:jc w:val="both"/>
        <w:ind w:firstLine="1305"/>
        <w:spacing w:after="0" w:line="257" w:lineRule="auto"/>
        <w:tabs>
          <w:tab w:leader="none" w:pos="174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If an Indemnifying Party elects not to assume responsibility for defending a Third-Party Claim, or fails to notify an Indemnitee of its election as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or if an Indemnitee takes over the defense of a Third-Party Claim as provided in </w:t>
      </w:r>
      <w:r>
        <w:rPr>
          <w:rFonts w:ascii="Arial" w:cs="Arial" w:eastAsia="Arial" w:hAnsi="Arial"/>
          <w:sz w:val="18"/>
          <w:szCs w:val="18"/>
          <w:u w:val="single" w:color="auto"/>
          <w:color w:val="auto"/>
        </w:rPr>
        <w:t>Section 2.5(d)(i)</w:t>
      </w:r>
      <w:r>
        <w:rPr>
          <w:rFonts w:ascii="Arial" w:cs="Arial" w:eastAsia="Arial" w:hAnsi="Arial"/>
          <w:sz w:val="18"/>
          <w:szCs w:val="18"/>
          <w:color w:val="auto"/>
        </w:rPr>
        <w:t xml:space="preserve">, the Indemnifying Party shall bear the costs and expenses of the Indemnitee incurred in defending such Third-Party Claim. If the Indemnitee takes over the defense of a Third-Party Claim as provided in </w:t>
      </w:r>
      <w:r>
        <w:rPr>
          <w:rFonts w:ascii="Arial" w:cs="Arial" w:eastAsia="Arial" w:hAnsi="Arial"/>
          <w:sz w:val="18"/>
          <w:szCs w:val="18"/>
          <w:u w:val="single" w:color="auto"/>
          <w:color w:val="auto"/>
        </w:rPr>
        <w:t>Section 2.5(d)(ii)</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the Indemnifying Party shall bear all of the Indemnitee’s reasonable costs and expenses incurred in defending such Third-Party Claim.</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84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or for any other reason, the Indemnifying Party is not defending a Third-Party Claim for which indemnification is provided under this Agreement, the Indemnifying Party shall have the right, at its own expense, to monitor reasonably the defense of such Third-Party Claim; provided, that such monitoring activity shall not interfere in any material respect with the conduct of such defense.</w:t>
      </w:r>
    </w:p>
    <w:p>
      <w:pPr>
        <w:spacing w:after="0" w:line="165" w:lineRule="exact"/>
        <w:rPr>
          <w:rFonts w:ascii="Arial" w:cs="Arial" w:eastAsia="Arial" w:hAnsi="Arial"/>
          <w:sz w:val="17"/>
          <w:szCs w:val="17"/>
          <w:color w:val="auto"/>
        </w:rPr>
      </w:pPr>
    </w:p>
    <w:p>
      <w:pPr>
        <w:jc w:val="both"/>
        <w:ind w:firstLine="1305"/>
        <w:spacing w:after="0" w:line="257" w:lineRule="auto"/>
        <w:tabs>
          <w:tab w:leader="none" w:pos="173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If an Indemnifying Party has failed to assume the defense of the Third-Party Claim in accordance with the terms of this Agreement or an Indemnitee takes over the defense of a Third-Party Claim as provided in </w:t>
      </w:r>
      <w:r>
        <w:rPr>
          <w:rFonts w:ascii="Arial" w:cs="Arial" w:eastAsia="Arial" w:hAnsi="Arial"/>
          <w:sz w:val="18"/>
          <w:szCs w:val="18"/>
          <w:u w:val="single" w:color="auto"/>
          <w:color w:val="auto"/>
        </w:rPr>
        <w:t>Section 2.5(d)(i)</w:t>
      </w:r>
      <w:r>
        <w:rPr>
          <w:rFonts w:ascii="Arial" w:cs="Arial" w:eastAsia="Arial" w:hAnsi="Arial"/>
          <w:sz w:val="18"/>
          <w:szCs w:val="18"/>
          <w:color w:val="auto"/>
        </w:rPr>
        <w:t xml:space="preserve">, an Indemnitee may settle or compromise the Third-Party Claim without the consent of the Indemnifying Party. If an Indemnitee takes over the defense of a Third-Party Claim as provided in </w:t>
      </w:r>
      <w:r>
        <w:rPr>
          <w:rFonts w:ascii="Arial" w:cs="Arial" w:eastAsia="Arial" w:hAnsi="Arial"/>
          <w:sz w:val="18"/>
          <w:szCs w:val="18"/>
          <w:u w:val="single" w:color="auto"/>
          <w:color w:val="auto"/>
        </w:rPr>
        <w:t>Section 2.5(d)(ii)</w:t>
      </w:r>
      <w:r>
        <w:rPr>
          <w:rFonts w:ascii="Arial" w:cs="Arial" w:eastAsia="Arial" w:hAnsi="Arial"/>
          <w:sz w:val="18"/>
          <w:szCs w:val="18"/>
          <w:color w:val="auto"/>
        </w:rPr>
        <w:t>-</w:t>
      </w:r>
      <w:r>
        <w:rPr>
          <w:rFonts w:ascii="Arial" w:cs="Arial" w:eastAsia="Arial" w:hAnsi="Arial"/>
          <w:sz w:val="18"/>
          <w:szCs w:val="18"/>
          <w:u w:val="single" w:color="auto"/>
          <w:color w:val="auto"/>
        </w:rPr>
        <w:t>(iv)</w:t>
      </w:r>
      <w:r>
        <w:rPr>
          <w:rFonts w:ascii="Arial" w:cs="Arial" w:eastAsia="Arial" w:hAnsi="Arial"/>
          <w:sz w:val="18"/>
          <w:szCs w:val="18"/>
          <w:color w:val="auto"/>
        </w:rPr>
        <w:t>, such Indemnitee may not settle or compromise any Third-Party Claim without the consent of the Indemnifying Party, such consent not to be unreasonably withheld or delayed.</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7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 the case of a Third-Party Claim, no Indemnifying Party shall consent to entry of any judgment or enter into any settlement of the Third-Party Claim without the consent of the Indemnitee if the effect thereof is to permit any injunction, declaratory judgment or other non-monetary relief to be entered, directly or indirectly against any Indemnitee. For the avoidance of doubt, the consent of any Indemnitee pursuant to this </w:t>
      </w:r>
      <w:r>
        <w:rPr>
          <w:rFonts w:ascii="Arial" w:cs="Arial" w:eastAsia="Arial" w:hAnsi="Arial"/>
          <w:sz w:val="18"/>
          <w:szCs w:val="18"/>
          <w:u w:val="single" w:color="auto"/>
          <w:color w:val="auto"/>
        </w:rPr>
        <w:t>Section 2.5(h)</w:t>
      </w:r>
      <w:r>
        <w:rPr>
          <w:rFonts w:ascii="Arial" w:cs="Arial" w:eastAsia="Arial" w:hAnsi="Arial"/>
          <w:sz w:val="18"/>
          <w:szCs w:val="18"/>
          <w:color w:val="auto"/>
        </w:rPr>
        <w:t xml:space="preserve"> shall be required only with respect to non-monetary relief.</w:t>
      </w:r>
    </w:p>
    <w:p>
      <w:pPr>
        <w:spacing w:after="0" w:line="186" w:lineRule="exact"/>
        <w:rPr>
          <w:rFonts w:ascii="Arial" w:cs="Arial" w:eastAsia="Arial" w:hAnsi="Arial"/>
          <w:sz w:val="18"/>
          <w:szCs w:val="18"/>
          <w:color w:val="auto"/>
        </w:rPr>
      </w:pPr>
    </w:p>
    <w:p>
      <w:pPr>
        <w:jc w:val="both"/>
        <w:ind w:right="20" w:firstLine="1305"/>
        <w:spacing w:after="0" w:line="312" w:lineRule="auto"/>
        <w:tabs>
          <w:tab w:leader="none" w:pos="179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Civeo shall prepare and circulate a legal hold order (“</w:t>
      </w:r>
      <w:r>
        <w:rPr>
          <w:rFonts w:ascii="Arial" w:cs="Arial" w:eastAsia="Arial" w:hAnsi="Arial"/>
          <w:sz w:val="16"/>
          <w:szCs w:val="16"/>
          <w:b w:val="1"/>
          <w:bCs w:val="1"/>
          <w:i w:val="1"/>
          <w:iCs w:val="1"/>
          <w:color w:val="auto"/>
        </w:rPr>
        <w:t>LHO</w:t>
      </w:r>
      <w:r>
        <w:rPr>
          <w:rFonts w:ascii="Arial" w:cs="Arial" w:eastAsia="Arial" w:hAnsi="Arial"/>
          <w:sz w:val="16"/>
          <w:szCs w:val="16"/>
          <w:color w:val="auto"/>
        </w:rPr>
        <w:t xml:space="preserve">”) covering relevant categories of documents as promptly as practical following receipt of any notice pursuant to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shall promptly notify Oil States after such LHO has been circulated. Oil States shall prepare and circulate a LHO covering documents in the possession, custody or control of the Oil States Group with respect to any Action so notified by Civeo.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8" w:name="page149"/>
    <w:bookmarkEnd w:id="148"/>
    <w:p>
      <w:pPr>
        <w:ind w:firstLine="1305"/>
        <w:spacing w:after="0" w:line="277" w:lineRule="auto"/>
        <w:tabs>
          <w:tab w:leader="none" w:pos="175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(other than this </w:t>
      </w:r>
      <w:r>
        <w:rPr>
          <w:rFonts w:ascii="Arial" w:cs="Arial" w:eastAsia="Arial" w:hAnsi="Arial"/>
          <w:sz w:val="18"/>
          <w:szCs w:val="18"/>
          <w:u w:val="single" w:color="auto"/>
          <w:color w:val="auto"/>
        </w:rPr>
        <w:t>Section 2.5(j)</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not apply to Taxes (Taxes being governed by the Tax Sharing Agreement).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Assumed Actions have been tendered by Oil States to Civeo and are deemed to be formally accepted by Civeo upon the execution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176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 Indemnifying Party shall provide the Indemnitee with a monthly written report identifying any Third Party Claims which such Indemnifying Party has elected to defend pursuant to </w:t>
      </w:r>
      <w:r>
        <w:rPr>
          <w:rFonts w:ascii="Arial" w:cs="Arial" w:eastAsia="Arial" w:hAnsi="Arial"/>
          <w:sz w:val="18"/>
          <w:szCs w:val="18"/>
          <w:u w:val="single" w:color="auto"/>
          <w:color w:val="auto"/>
        </w:rPr>
        <w:t>Section 2.5(b)</w:t>
      </w:r>
      <w:r>
        <w:rPr>
          <w:rFonts w:ascii="Arial" w:cs="Arial" w:eastAsia="Arial" w:hAnsi="Arial"/>
          <w:sz w:val="18"/>
          <w:szCs w:val="18"/>
          <w:color w:val="auto"/>
        </w:rPr>
        <w:t>. In addition, the Indemnifying Party shall establish a procedure reasonably acceptable to the Indemnitee to automatically send electronic notice from the Indemnifying Party to the Indemnitee through the litigation management system or any successor system when any such Third Party Claim is closed, regardless of whether such Third Party Claim was decided by settlement, verdict, dismissal or was otherwise disposed of.</w:t>
      </w:r>
    </w:p>
    <w:p>
      <w:pPr>
        <w:spacing w:after="0" w:line="18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Additional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2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Indemnification payments in respect of any Liabilities for which an Indemnitee is entitled to indemnification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INDEMNITY AGREEMENTS CONTAINED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REMAIN OPERATIVE AND IN FULL FORCE AND EFFECT, REGARDLESS OF (I) ANY INVESTIGATION MADE BY OR ON BEHALF OF ANY INDEMNITEE, (II) THE KNOWLEDGE BY THE INDEMNITEE OF LIABILITIES FOR WHICH IT MIGHT BE ENTITLED TO INDEMNIFICATION HEREUNDER AND (III) ANY TERMINATION OF THIS AGREEMENT.</w:t>
      </w:r>
    </w:p>
    <w:p>
      <w:pPr>
        <w:spacing w:after="0" w:line="177" w:lineRule="exact"/>
        <w:rPr>
          <w:rFonts w:ascii="Arial" w:cs="Arial" w:eastAsia="Arial" w:hAnsi="Arial"/>
          <w:sz w:val="17"/>
          <w:szCs w:val="17"/>
          <w:color w:val="auto"/>
        </w:rPr>
      </w:pPr>
    </w:p>
    <w:p>
      <w:pPr>
        <w:jc w:val="both"/>
        <w:ind w:firstLine="1305"/>
        <w:spacing w:after="0" w:line="297" w:lineRule="auto"/>
        <w:tabs>
          <w:tab w:leader="none" w:pos="179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claim on account of a Liability that does not result from a Third-Party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173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9" w:name="page150"/>
    <w:bookmarkEnd w:id="149"/>
    <w:p>
      <w:pPr>
        <w:jc w:val="both"/>
        <w:ind w:firstLine="1305"/>
        <w:spacing w:after="0" w:line="264" w:lineRule="auto"/>
        <w:tabs>
          <w:tab w:leader="none" w:pos="17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event of an Action for which indemnification is sought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and in which the Indemnifying Party is not a named defendant, if either the Indemnitee or Indemnifying Party shall so request, the parties shall use commercially reasonable efforts to substitute the Indemnifying Party for the named defendant.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the event that Civeo or Oil States shall establish a risk accrual in an amount of at least $1 million with respect to any Third-Party Claim for which such party has indemnified the other party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2.3</w:t>
      </w:r>
      <w:r>
        <w:rPr>
          <w:rFonts w:ascii="Arial" w:cs="Arial" w:eastAsia="Arial" w:hAnsi="Arial"/>
          <w:sz w:val="18"/>
          <w:szCs w:val="18"/>
          <w:color w:val="auto"/>
        </w:rPr>
        <w:t>, as applicable, it shall notify the other party of the existence and amount of such risk accrual (i.e., when the accrual is recorded in the financial statements as an accrual for a potential liability), subject to the parties entering into an appropriate agreement with respect to the confidentiality and/or privilege thereof.</w:t>
      </w:r>
    </w:p>
    <w:p>
      <w:pPr>
        <w:spacing w:after="0" w:line="18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xml:space="preserve">. The remedies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cumulative and shall not preclude assertion by any Indemnitee of any other rights or the seeking of any and all other remedies against any Indemnifying Party.</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Survival of Indemnities</w:t>
      </w:r>
      <w:r>
        <w:rPr>
          <w:rFonts w:ascii="Arial" w:cs="Arial" w:eastAsia="Arial" w:hAnsi="Arial"/>
          <w:sz w:val="18"/>
          <w:szCs w:val="18"/>
          <w:color w:val="auto"/>
        </w:rPr>
        <w:t xml:space="preserve">. The rights and obligations of each of Oil States and Civeo and their respective Indemnitees under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survive the sale or other transfer by any party of any Assets or businesses or the assignment by it of any Liabilities.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Guarantees, Letters of Credit and other Obligations</w:t>
      </w:r>
      <w:r>
        <w:rPr>
          <w:rFonts w:ascii="Arial" w:cs="Arial" w:eastAsia="Arial" w:hAnsi="Arial"/>
          <w:sz w:val="18"/>
          <w:szCs w:val="18"/>
          <w:color w:val="auto"/>
        </w:rPr>
        <w:t xml:space="preserve">. In furtherance of, and not in limitation of, the obligations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Separation and Distribution Agreement:</w:t>
      </w:r>
    </w:p>
    <w:p>
      <w:pPr>
        <w:spacing w:after="0" w:line="166" w:lineRule="exact"/>
        <w:rPr>
          <w:sz w:val="20"/>
          <w:szCs w:val="20"/>
          <w:color w:val="auto"/>
        </w:rPr>
      </w:pPr>
    </w:p>
    <w:p>
      <w:pPr>
        <w:jc w:val="both"/>
        <w:ind w:firstLine="1305"/>
        <w:spacing w:after="0" w:line="259" w:lineRule="auto"/>
        <w:tabs>
          <w:tab w:leader="none" w:pos="17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On or prior to the Distribution Date or as soon as practicable thereafter, Civeo shall (with the reasonable cooperation of the applicable member(s) of the Oil States Group) use its commercially reasonable efforts to have any member(s) of the Oil States Group removed as guarantor of or obligor for any Civeo Liability to the extent that they relate to Civeo Liabilities, including in respect of those guarantees, letters of credit and other obligations set forth on </w:t>
      </w:r>
      <w:r>
        <w:rPr>
          <w:rFonts w:ascii="Arial" w:cs="Arial" w:eastAsia="Arial" w:hAnsi="Arial"/>
          <w:sz w:val="18"/>
          <w:szCs w:val="18"/>
          <w:u w:val="single" w:color="auto"/>
          <w:color w:val="auto"/>
        </w:rPr>
        <w:t>Schedule 2.9(a)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17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On or prior to the Distribution Date, to the extent required to obtain a release from a guarantee, letter of credit or other obligation of any member of the Oil States Group, Civeo shall execute a substitute document in the form of any such existing guarantee or letter of credit, as applicable, or such other form as is agreed to by the relevant parties to such guarantee agreement, letter of credit or other obligation, except to the extent that such existing guarantee contains representations, covenants or other terms or provisions either (i) with which Civeo would be reasonably unable to comply or (ii) which would be reasonably expected to be breached.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0" w:name="page151"/>
    <w:bookmarkEnd w:id="150"/>
    <w:p>
      <w:pPr>
        <w:jc w:val="both"/>
        <w:ind w:firstLine="1305"/>
        <w:spacing w:after="0" w:line="271" w:lineRule="auto"/>
        <w:tabs>
          <w:tab w:leader="none" w:pos="179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If the parties are unable to obtain, or to cause to be obtained, any such required removal as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2.9</w:t>
      </w:r>
      <w:r>
        <w:rPr>
          <w:rFonts w:ascii="Arial" w:cs="Arial" w:eastAsia="Arial" w:hAnsi="Arial"/>
          <w:sz w:val="17"/>
          <w:szCs w:val="17"/>
          <w:color w:val="auto"/>
        </w:rPr>
        <w:t>, (i) Civeo shall, and shall cause the other members of the Civeo Group to, indemnify, defend and hold harmless each of the Oil States Indemnitees for any Liability arising from or relating to such guarantee, letter of credit or other obligation, as applicable, and shall, as agent or subcontractor for the applicable Oil States Group guarantor or obligor, pay, perform and discharge fully all of the obligations or other Liabilities of such guarantor or obligor thereunder, and (ii) Civeo shall not, and shall cause the other members of the Civeo Group not to, agree to renew or extend the term of, increase any obligations under, or transfer to a third Person, any loan, guarantee, letter of credit, lease, contract or other obligation for which a member of the Oil States Group is or may be liable unless all obligations of the members of the Oil States Group with respect thereto are thereupon terminated by documentation satisfactory in form and substance to Oil States in its sole and absolute discretion.</w:t>
      </w:r>
    </w:p>
    <w:p>
      <w:pPr>
        <w:spacing w:after="0" w:line="178" w:lineRule="exact"/>
        <w:rPr>
          <w:rFonts w:ascii="Arial" w:cs="Arial" w:eastAsia="Arial" w:hAnsi="Arial"/>
          <w:sz w:val="17"/>
          <w:szCs w:val="17"/>
          <w:color w:val="auto"/>
        </w:rPr>
      </w:pPr>
    </w:p>
    <w:p>
      <w:pPr>
        <w:jc w:val="both"/>
        <w:ind w:firstLine="1305"/>
        <w:spacing w:after="0" w:line="291" w:lineRule="auto"/>
        <w:tabs>
          <w:tab w:leader="none" w:pos="20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If the parties are unable to obtain, or to cause to be obtained, any such required removal as set forth in clauses (a) and (b) of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with respect to any guarantee set forth on </w:t>
      </w:r>
      <w:r>
        <w:rPr>
          <w:rFonts w:ascii="Arial" w:cs="Arial" w:eastAsia="Arial" w:hAnsi="Arial"/>
          <w:sz w:val="16"/>
          <w:szCs w:val="16"/>
          <w:u w:val="single" w:color="auto"/>
          <w:color w:val="auto"/>
        </w:rPr>
        <w:t>Schedule 2.9</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Specified Guarantees</w:t>
      </w:r>
      <w:r>
        <w:rPr>
          <w:rFonts w:ascii="Arial" w:cs="Arial" w:eastAsia="Arial" w:hAnsi="Arial"/>
          <w:sz w:val="16"/>
          <w:szCs w:val="16"/>
          <w:color w:val="auto"/>
        </w:rPr>
        <w:t>”), so long as any Specified Guarantee remains outstanding, Civeo shall not, and shall cause the other members of the Civeo Group not to, enter into any Leveraged Transaction without the prior written consent of Oil States. In addition, so long as any Specified Guarantee remains outstanding, Civeo shall not permit the entry into any agreement that would result in a Change of Control of Civeo unless the ultimate parent of the acquiring party has entered into an agreement satisfactory to Oil States to (i) indemnify, defend and hold harmless each of the Oil States Indemnitees for any Liability arising from or relating to such Specified Guarantee and (ii) not permit, and cause the other members of the Civeo Group not to, enter into any Leverage Transaction without the prior written consent of Oil States.</w:t>
      </w:r>
    </w:p>
    <w:p>
      <w:pPr>
        <w:spacing w:after="0" w:line="3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u w:val="single" w:color="auto"/>
          <w:color w:val="auto"/>
        </w:rPr>
        <w:t>No Impact on Third Parties</w:t>
      </w:r>
      <w:r>
        <w:rPr>
          <w:rFonts w:ascii="Arial" w:cs="Arial" w:eastAsia="Arial" w:hAnsi="Arial"/>
          <w:sz w:val="17"/>
          <w:szCs w:val="17"/>
          <w:color w:val="auto"/>
        </w:rPr>
        <w:t xml:space="preserve">. For the avoidance of doubt, except as expressly set forth in this Agreement, the indemnifications provided for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are made only for purposes of allocating responsibility for Liabilities between the Oil States Group, on the one hand, and the Civeo Group, on the other hand, and are not intended to, and shall not, affect any obligations to, or give rise to any rights of, any third parties.</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No Cross-Claims or Third-Party Claims</w:t>
      </w:r>
      <w:r>
        <w:rPr>
          <w:rFonts w:ascii="Arial" w:cs="Arial" w:eastAsia="Arial" w:hAnsi="Arial"/>
          <w:sz w:val="16"/>
          <w:szCs w:val="16"/>
          <w:color w:val="auto"/>
        </w:rPr>
        <w:t xml:space="preserve">. Each of Civeo and Oil States agrees that it shall not, and shall not permit the members of its respective Group to, in connection with any Third-Party Claim, assert as a counterclaim or third-party claim against any member of the Oil States Group or Civeo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1" w:name="page152"/>
    <w:bookmarkEnd w:id="151"/>
    <w:p>
      <w:pPr>
        <w:jc w:val="both"/>
        <w:ind w:firstLine="648"/>
        <w:spacing w:after="0" w:line="26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xml:space="preserve">. If any indemnification provided for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is determined by a Delaware federal or state court to be invalid, void or unenforceable, the liability shall be apportioned between the Indemnitee and the Indemnifying Party as determined in a separate proceeding in accordance with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MATTERS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Insurance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7" w:lineRule="auto"/>
        <w:tabs>
          <w:tab w:leader="none" w:pos="18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Oil States and Civeo agree to cooperate in good faith to arrange insurance coverage for Civeo to be effective no later than the Distribution Date. In no event shall Oil States, any other member of the Oil States Group or any Oil States Indemnitee have liability or obligation whatsoever to any member of the Civeo Group in the event that any insurance policy or other contract or policy of insurance shall be terminated or otherwise cease to be in effect for any reason, shall be unavailable or inadequate to cover any Liability of any member of the Civeo Group for any reason whatsoever or shall not be renewed or extended beyond the current expiration date.</w:t>
      </w:r>
    </w:p>
    <w:p>
      <w:pPr>
        <w:spacing w:after="0" w:line="188" w:lineRule="exact"/>
        <w:rPr>
          <w:rFonts w:ascii="Arial" w:cs="Arial" w:eastAsia="Arial" w:hAnsi="Arial"/>
          <w:sz w:val="18"/>
          <w:szCs w:val="18"/>
          <w:color w:val="auto"/>
        </w:rPr>
      </w:pPr>
    </w:p>
    <w:p>
      <w:pPr>
        <w:jc w:val="both"/>
        <w:ind w:firstLine="1305"/>
        <w:spacing w:after="0" w:line="257" w:lineRule="auto"/>
        <w:tabs>
          <w:tab w:leader="none" w:pos="18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From and after the Distribution Date, other than as provided in </w:t>
      </w:r>
      <w:r>
        <w:rPr>
          <w:rFonts w:ascii="Arial" w:cs="Arial" w:eastAsia="Arial" w:hAnsi="Arial"/>
          <w:sz w:val="18"/>
          <w:szCs w:val="18"/>
          <w:u w:val="single" w:color="auto"/>
          <w:color w:val="auto"/>
        </w:rPr>
        <w:t>Section 3.1(c)</w:t>
      </w:r>
      <w:r>
        <w:rPr>
          <w:rFonts w:ascii="Arial" w:cs="Arial" w:eastAsia="Arial" w:hAnsi="Arial"/>
          <w:sz w:val="18"/>
          <w:szCs w:val="18"/>
          <w:color w:val="auto"/>
        </w:rPr>
        <w:t>, neither Civeo nor any member of the Civeo Group shall have any rights to or under any of Oil States’ or its Affiliates’ insurance policies. At the Distribution Date, Civeo shall have in effect all insurance programs required to comply with Civeo’s contractual obligations and such other insurance policies as reasonably necessary, and, following the Distribution Date, Civeo shall maintain such insurance programs and policies with insurers which comply with the minimum financial credit rating standards set by the major global insurance brokers.</w:t>
      </w:r>
    </w:p>
    <w:p>
      <w:pPr>
        <w:spacing w:after="0" w:line="188" w:lineRule="exact"/>
        <w:rPr>
          <w:rFonts w:ascii="Arial" w:cs="Arial" w:eastAsia="Arial" w:hAnsi="Arial"/>
          <w:sz w:val="18"/>
          <w:szCs w:val="18"/>
          <w:color w:val="auto"/>
        </w:rPr>
      </w:pPr>
    </w:p>
    <w:p>
      <w:pPr>
        <w:jc w:val="both"/>
        <w:ind w:firstLine="1305"/>
        <w:spacing w:after="0" w:line="272" w:lineRule="auto"/>
        <w:tabs>
          <w:tab w:leader="none" w:pos="172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From and after the Distribution Date, except with respect to the insurance matters identified on </w:t>
      </w:r>
      <w:r>
        <w:rPr>
          <w:rFonts w:ascii="Arial" w:cs="Arial" w:eastAsia="Arial" w:hAnsi="Arial"/>
          <w:sz w:val="17"/>
          <w:szCs w:val="17"/>
          <w:u w:val="single" w:color="auto"/>
          <w:color w:val="auto"/>
        </w:rPr>
        <w:t>Schedule 3.1(c)</w:t>
      </w:r>
      <w:r>
        <w:rPr>
          <w:rFonts w:ascii="Arial" w:cs="Arial" w:eastAsia="Arial" w:hAnsi="Arial"/>
          <w:sz w:val="17"/>
          <w:szCs w:val="17"/>
          <w:color w:val="auto"/>
        </w:rPr>
        <w:t>, whose treatment shall be as set forth on such Schedule, with respect to any losses, damages and liabilities incurred by any member of the Civeo Group prior to or in respect of the period prior to the Distribution Date, Oil States will provide Civeo with access to, and Civeo may, upon 10 days’ prior written notice to Oil States, make claims under, Oil States’ third-party insurance policies in place at the time of the Distribution and Oil States’ historical policies of insurance, but solely to the extent that such policies provided coverage for the Civeo Group prior to the Distribution; provided, that such access to, and the right to make claims under such insurance policies, shall be subject to the terms and conditions of such insurance policies, including any limits on coverage or scope, any deductibles and other fees and expenses, and shall be subject to the following additional conditions:</w:t>
      </w:r>
    </w:p>
    <w:p>
      <w:pPr>
        <w:spacing w:after="0" w:line="177" w:lineRule="exact"/>
        <w:rPr>
          <w:rFonts w:ascii="Arial" w:cs="Arial" w:eastAsia="Arial" w:hAnsi="Arial"/>
          <w:sz w:val="17"/>
          <w:szCs w:val="17"/>
          <w:color w:val="auto"/>
        </w:rPr>
      </w:pPr>
    </w:p>
    <w:p>
      <w:pPr>
        <w:ind w:left="660" w:firstLine="1293"/>
        <w:spacing w:after="0" w:line="308" w:lineRule="auto"/>
        <w:tabs>
          <w:tab w:leader="none" w:pos="238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Civeo shall provide Oil States with a written report 60 days prior to any such third-party insurance policy’s renewal date, as advised by Oil States, identifying any claims made by Civeo for which notice has previously been provided to insurers of Oil States;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2" w:name="page153"/>
    <w:bookmarkEnd w:id="152"/>
    <w:p>
      <w:pPr>
        <w:jc w:val="both"/>
        <w:ind w:left="660" w:firstLine="1293"/>
        <w:spacing w:after="0" w:line="257" w:lineRule="auto"/>
        <w:tabs>
          <w:tab w:leader="none" w:pos="2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Civeo and its Affiliates shall indemnify, hold harmless and reimburse Oil States and its Affiliates for any deductibles, self-insured retention, fees and expenses incurred by Oil States or its Affiliates to the extent resulting from any such access to, or any claims made by Civeo or any of its Affiliates under, any insurance provided pursuant to this </w:t>
      </w:r>
      <w:r>
        <w:rPr>
          <w:rFonts w:ascii="Arial" w:cs="Arial" w:eastAsia="Arial" w:hAnsi="Arial"/>
          <w:sz w:val="18"/>
          <w:szCs w:val="18"/>
          <w:u w:val="single" w:color="auto"/>
          <w:color w:val="auto"/>
        </w:rPr>
        <w:t>Section 3.1(c)</w:t>
      </w:r>
      <w:r>
        <w:rPr>
          <w:rFonts w:ascii="Arial" w:cs="Arial" w:eastAsia="Arial" w:hAnsi="Arial"/>
          <w:sz w:val="18"/>
          <w:szCs w:val="18"/>
          <w:color w:val="auto"/>
        </w:rPr>
        <w:t>, including any indemnity payments, settlements, judgments, legal fees and allocated claims expenses and claim handling fees, whether such claims are made by Civeo, its employees or third Persons; and</w:t>
      </w:r>
    </w:p>
    <w:p>
      <w:pPr>
        <w:spacing w:after="0" w:line="188" w:lineRule="exact"/>
        <w:rPr>
          <w:rFonts w:ascii="Arial" w:cs="Arial" w:eastAsia="Arial" w:hAnsi="Arial"/>
          <w:sz w:val="18"/>
          <w:szCs w:val="18"/>
          <w:color w:val="auto"/>
        </w:rPr>
      </w:pPr>
    </w:p>
    <w:p>
      <w:pPr>
        <w:jc w:val="both"/>
        <w:ind w:left="660" w:firstLine="1293"/>
        <w:spacing w:after="0" w:line="264" w:lineRule="auto"/>
        <w:tabs>
          <w:tab w:leader="none" w:pos="2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Civeo shall exclusively bear (and neither Oil States nor its Affiliates shall have any obligation to repay or reimburse Civeo or its Affiliates for) and shall be liable for all uninsured, uncovered, unavailable or uncollectible amounts of all such claims made by Civeo or any of its Affiliates under the policies as provided for in this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event that an insurance policy aggregate is exhausted, or believed likely to be exhausted, due to noticed claims, the insurance proceeds available under such policy relating to Unrelated Claims shall be paid to the Oil States Group and/or the Civeo Group, as applicable, on a FIFO Basis. In the event that any member of the Oil States Group, on the one hand, and any member of the Civeo Group, on the other hand, files Related Claims under any such policy, each of Oil States and Civeo shall receive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of the available insurance proceeds, based on the relationship the Loss incurred by each such party bears to the total Loss to both such parties from the occurrence or event underling the Related Claims.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the event that any member of the Oil States Group incurs any losses, damages or liability incurred prior to the Distribution Date under Civeo’s third-party insurance policies, the same process pursuant to this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shall apply, substituting “Oil States” for </w:t>
      </w:r>
      <w:r>
        <w:rPr>
          <w:rFonts w:ascii="Arial" w:cs="Arial" w:eastAsia="Arial" w:hAnsi="Arial"/>
          <w:sz w:val="17"/>
          <w:szCs w:val="17"/>
          <w:i w:val="1"/>
          <w:iCs w:val="1"/>
          <w:color w:val="auto"/>
        </w:rPr>
        <w:t>“Civeo</w:t>
      </w:r>
      <w:r>
        <w:rPr>
          <w:rFonts w:ascii="Arial" w:cs="Arial" w:eastAsia="Arial" w:hAnsi="Arial"/>
          <w:sz w:val="17"/>
          <w:szCs w:val="17"/>
          <w:color w:val="auto"/>
        </w:rPr>
        <w:t xml:space="preserve">” and </w:t>
      </w:r>
      <w:r>
        <w:rPr>
          <w:rFonts w:ascii="Arial" w:cs="Arial" w:eastAsia="Arial" w:hAnsi="Arial"/>
          <w:sz w:val="17"/>
          <w:szCs w:val="17"/>
          <w:i w:val="1"/>
          <w:iCs w:val="1"/>
          <w:color w:val="auto"/>
        </w:rPr>
        <w:t>“Civeo</w:t>
      </w:r>
      <w:r>
        <w:rPr>
          <w:rFonts w:ascii="Arial" w:cs="Arial" w:eastAsia="Arial" w:hAnsi="Arial"/>
          <w:sz w:val="17"/>
          <w:szCs w:val="17"/>
          <w:color w:val="auto"/>
        </w:rPr>
        <w:t>” for “Oil States.”</w:t>
      </w:r>
    </w:p>
    <w:p>
      <w:pPr>
        <w:spacing w:after="0" w:line="147" w:lineRule="exact"/>
        <w:rPr>
          <w:sz w:val="20"/>
          <w:szCs w:val="20"/>
          <w:color w:val="auto"/>
        </w:rPr>
      </w:pPr>
    </w:p>
    <w:p>
      <w:pPr>
        <w:jc w:val="both"/>
        <w:ind w:firstLine="1305"/>
        <w:spacing w:after="0" w:line="264" w:lineRule="auto"/>
        <w:tabs>
          <w:tab w:leader="none" w:pos="17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All payments and reimbursements by Civeo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will be made within fifteen (15) days after Civeo’s receipt of an invoice therefor from Oil States. If Oil States incurs costs to enforce Civeo’s obligations herein, Civeo agrees to indemnify Oil States for such enforcement costs, including attorneys’ fees.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All payments and reimbursements by Oil States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will be made within fifteen (15) days after Oil States’ receipt of an invoice therefor from Civeo. If Civeo incurs costs to enforce Oil States’ obligations herein, Oil States agrees to indemnify Civeo for such enforcement costs, including attorneys’ fees.</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73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Oil States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Civeo Liabilities and/or claims Civeo has made or could make in the future, and no member of the Civeo Group shall, without the prior written consent of Oil States, erode, exhaust, settle, release, commute, buy-back or otherwise resolve disputes with Oil States’ insurers with respect to any of Oil States’ insurance policies and programs, or amend, modify or waive any rights under any such insurance policies and programs. Civeo shall cooperate with Oil States and share such information at Civeo’s cost as is reasonably necessary in order to permit Oil States to manage and conduct its insurance matters as it deems appropriate. Neither Oil States nor any of its Affiliates shall have any obligation to secure extended reporting for any claims under any of Oil States’ or its Affiliates’ liability policies for any acts or omissions by any member of the Civeo Group incurred prior to the Distribution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3" w:name="page154"/>
    <w:bookmarkEnd w:id="153"/>
    <w:p>
      <w:pPr>
        <w:jc w:val="both"/>
        <w:ind w:firstLine="1305"/>
        <w:spacing w:after="0" w:line="264" w:lineRule="auto"/>
        <w:tabs>
          <w:tab w:leader="none" w:pos="17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Agreement shall not be considered as an attempted assignment of any policy of insurance or as a contract of insurance and shall not be construed to waive any right or remedy of any member of the Oil States Group in respect of any insurance policy or any other contract or policy of insurance.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Civeo does hereby, for itself and each other member of the Civeo Group, agree that no member of the Oil States Group shall have any Liability whatsoever as a result of the insurance policies and practices of Oil States and its Affiliates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86" w:lineRule="exact"/>
        <w:rPr>
          <w:rFonts w:ascii="Arial" w:cs="Arial" w:eastAsia="Arial" w:hAnsi="Arial"/>
          <w:sz w:val="18"/>
          <w:szCs w:val="18"/>
          <w:color w:val="auto"/>
        </w:rPr>
      </w:pPr>
    </w:p>
    <w:p>
      <w:pPr>
        <w:ind w:firstLine="1305"/>
        <w:spacing w:after="0" w:line="277" w:lineRule="auto"/>
        <w:tabs>
          <w:tab w:leader="none" w:pos="17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parties acknowledge that to the extent there are losses or premium adjustments under the parties’ tripartite insurance agreements, such losses or adjustments will be governed by such tripartite insurance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General Provisions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9" w:lineRule="auto"/>
        <w:tabs>
          <w:tab w:leader="none" w:pos="17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dispute, controversy or claim arising out of or relating to this Agreement, the Separation and Distribution Agreement or the other Ancillary Agreements (except as otherwise set forth in any such Ancillary Agreements), including the validity, interpretation, breach or termination thereof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xml:space="preserve">”), shall be resolved in accordance with the procedures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which shall be the sole and exclusive procedures for the resolution of any such Dispute unless otherwise specified in the applicable Ancillary Agreement or in this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9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Commencing with a request contemplated by </w:t>
      </w:r>
      <w:r>
        <w:rPr>
          <w:rFonts w:ascii="Arial" w:cs="Arial" w:eastAsia="Arial" w:hAnsi="Arial"/>
          <w:sz w:val="18"/>
          <w:szCs w:val="18"/>
          <w:u w:val="single" w:color="auto"/>
          <w:color w:val="auto"/>
        </w:rPr>
        <w:t>Section 4.2</w:t>
      </w:r>
      <w:r>
        <w:rPr>
          <w:rFonts w:ascii="Arial" w:cs="Arial" w:eastAsia="Arial" w:hAnsi="Arial"/>
          <w:sz w:val="18"/>
          <w:szCs w:val="18"/>
          <w:color w:val="auto"/>
        </w:rPr>
        <w:t>, all communications between the parties or their representatives in connection with the attempted resolution of any Dispute shall be deemed to have been delivered in furtherance of a Dispute settlement and shall be exempt from discovery and production, and shall not be admissible into evidence for any reason (whether as an admission or otherwise), in any arbitral or other proceeding for the resolution of any Dispute.</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PARTIES EXPRESSLY WAIVE AND FOREGO ANY RIGHT TO TRIAL BY JURY.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jc w:val="both"/>
        <w:ind w:firstLine="1305"/>
        <w:spacing w:after="0" w:line="298" w:lineRule="auto"/>
        <w:tabs>
          <w:tab w:leader="none" w:pos="1866"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unless expressly provided therein, the Separation and Distribution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58" w:lineRule="exact"/>
        <w:rPr>
          <w:rFonts w:ascii="Arial" w:cs="Arial" w:eastAsia="Arial" w:hAnsi="Arial"/>
          <w:sz w:val="16"/>
          <w:szCs w:val="16"/>
          <w:color w:val="auto"/>
        </w:rPr>
      </w:pPr>
    </w:p>
    <w:p>
      <w:pPr>
        <w:ind w:firstLine="1305"/>
        <w:spacing w:after="0" w:line="277" w:lineRule="auto"/>
        <w:tabs>
          <w:tab w:leader="none" w:pos="17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specific procedures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including the time limits referenced herein, may be modified by agreement of both of the parties in writing.</w:t>
      </w:r>
    </w:p>
    <w:p>
      <w:pPr>
        <w:spacing w:after="0" w:line="170" w:lineRule="exact"/>
        <w:rPr>
          <w:rFonts w:ascii="Arial" w:cs="Arial" w:eastAsia="Arial" w:hAnsi="Arial"/>
          <w:sz w:val="18"/>
          <w:szCs w:val="18"/>
          <w:color w:val="auto"/>
        </w:rPr>
      </w:pPr>
    </w:p>
    <w:p>
      <w:pPr>
        <w:ind w:firstLine="1305"/>
        <w:spacing w:after="0" w:line="277" w:lineRule="auto"/>
        <w:tabs>
          <w:tab w:leader="none" w:pos="17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All applicable statutes of limitations and defenses based upon the passage of time shall be tolled while the procedures specified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pending. The parties will take any necessary or appropriate action required to effectuate such tolling.</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Consideration by Senior Executives</w:t>
      </w:r>
      <w:r>
        <w:rPr>
          <w:rFonts w:ascii="Arial" w:cs="Arial" w:eastAsia="Arial" w:hAnsi="Arial"/>
          <w:sz w:val="16"/>
          <w:szCs w:val="16"/>
          <w:color w:val="auto"/>
        </w:rPr>
        <w:t>. If a Dispute is not resolved in the normal course of business at the operational level, the parties shall attempt in good faith to resolve the Dispute by negotiation between the Chief Executive Officers of each Party. Either party may initiate the executive negotiation process by providing a written notice to the other (the “</w:t>
      </w:r>
      <w:r>
        <w:rPr>
          <w:rFonts w:ascii="Arial" w:cs="Arial" w:eastAsia="Arial" w:hAnsi="Arial"/>
          <w:sz w:val="16"/>
          <w:szCs w:val="16"/>
          <w:b w:val="1"/>
          <w:bCs w:val="1"/>
          <w:i w:val="1"/>
          <w:iCs w:val="1"/>
          <w:color w:val="auto"/>
        </w:rPr>
        <w:t>Initial Notice</w:t>
      </w:r>
      <w:r>
        <w:rPr>
          <w:rFonts w:ascii="Arial" w:cs="Arial" w:eastAsia="Arial" w:hAnsi="Arial"/>
          <w:sz w:val="16"/>
          <w:szCs w:val="16"/>
          <w:color w:val="auto"/>
        </w:rPr>
        <w:t>”). Within 15 days after delivery of the Initial Notice, the receiving party shall submit to the other a written response (the “</w:t>
      </w:r>
      <w:r>
        <w:rPr>
          <w:rFonts w:ascii="Arial" w:cs="Arial" w:eastAsia="Arial" w:hAnsi="Arial"/>
          <w:sz w:val="16"/>
          <w:szCs w:val="16"/>
          <w:b w:val="1"/>
          <w:bCs w:val="1"/>
          <w:i w:val="1"/>
          <w:iCs w:val="1"/>
          <w:color w:val="auto"/>
        </w:rPr>
        <w:t>Response</w:t>
      </w:r>
      <w:r>
        <w:rPr>
          <w:rFonts w:ascii="Arial" w:cs="Arial" w:eastAsia="Arial" w:hAnsi="Arial"/>
          <w:sz w:val="16"/>
          <w:szCs w:val="16"/>
          <w:color w:val="auto"/>
        </w:rPr>
        <w:t xml:space="preserve">”). The Initial Notice and the Response shall include (a) a statement of the Dispute and of each party’s position and (b) the name and title of the executive who will represent that party and of any other person who will accompany the executive. The parties agree that such executives shall have full and complete authority to resolve any Disputes submitted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Such executives will meet in person or by teleconference or video conference within thirty (30) days of the date of the Initial Notice to seek a resolution of the Dispute. In the event that the executives are unable to agree to a format for such meeting, the meeting shall be convened by teleconference.</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Mediation</w:t>
      </w:r>
      <w:r>
        <w:rPr>
          <w:rFonts w:ascii="Arial" w:cs="Arial" w:eastAsia="Arial" w:hAnsi="Arial"/>
          <w:sz w:val="16"/>
          <w:szCs w:val="16"/>
          <w:color w:val="auto"/>
        </w:rPr>
        <w:t xml:space="preserve">. If a Dispute is not resolved by negotiation or a meeting between executives is not held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within 30 days from the delivery of the Initial Notice, then either party may submit the Dispute for resolution by mediation pursuant to the American Arbitration Association (the “</w:t>
      </w:r>
      <w:r>
        <w:rPr>
          <w:rFonts w:ascii="Arial" w:cs="Arial" w:eastAsia="Arial" w:hAnsi="Arial"/>
          <w:sz w:val="16"/>
          <w:szCs w:val="16"/>
          <w:i w:val="1"/>
          <w:iCs w:val="1"/>
          <w:color w:val="auto"/>
        </w:rPr>
        <w:t>AAA</w:t>
      </w:r>
      <w:r>
        <w:rPr>
          <w:rFonts w:ascii="Arial" w:cs="Arial" w:eastAsia="Arial" w:hAnsi="Arial"/>
          <w:sz w:val="16"/>
          <w:szCs w:val="16"/>
          <w:color w:val="auto"/>
        </w:rPr>
        <w:t>”) Mediation Procedures as then in effect. Unless otherwise agreed to in writing, the parties shall (a) conduct the mediation in Houston, Texas, and</w:t>
      </w:r>
    </w:p>
    <w:p>
      <w:pPr>
        <w:spacing w:after="0" w:line="2" w:lineRule="exact"/>
        <w:rPr>
          <w:sz w:val="20"/>
          <w:szCs w:val="20"/>
          <w:color w:val="auto"/>
        </w:rPr>
      </w:pPr>
    </w:p>
    <w:p>
      <w:pPr>
        <w:jc w:val="both"/>
        <w:ind w:firstLine="8"/>
        <w:spacing w:after="0" w:line="252" w:lineRule="auto"/>
        <w:tabs>
          <w:tab w:leader="none" w:pos="2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select a mutually agreeable mediator from the AAA Panel of Mediators in the selected location. If the parties are unable to agree upon a mediator, the parties agree that AAA shall select a mediator from its panels consistent with its mediation rules. The parties shall agree to a mutually convenient date and time to conduct the mediation; provided that the mediation must occur within 30 days of the request unless a later date is agreed to by the parties in writing. Each party shall bear its own fees, costs and expenses and an equal share of the expenses of the mediation. Each party shall designate a business executive to have full and complete authority to resolve the Dispute and to represent its interests in the mediation, and each party may, in its sole and absolute discretion, include any number of other Representatives in the mediation process. At the commencement of the mediation, either party may request to submit a written mediation statement to the mediator.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5" w:name="page156"/>
    <w:bookmarkEnd w:id="155"/>
    <w:p>
      <w:pPr>
        <w:ind w:left="660"/>
        <w:spacing w:after="0"/>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u w:val="single" w:color="auto"/>
          <w:color w:val="auto"/>
        </w:rPr>
        <w:t>Arbitration</w:t>
      </w:r>
      <w:r>
        <w:rPr>
          <w:rFonts w:ascii="Arial" w:cs="Arial" w:eastAsia="Arial" w:hAnsi="Arial"/>
          <w:sz w:val="17"/>
          <w:szCs w:val="17"/>
          <w:color w:val="auto"/>
        </w:rPr>
        <w:t>.</w:t>
      </w:r>
    </w:p>
    <w:p>
      <w:pPr>
        <w:spacing w:after="0" w:line="229" w:lineRule="exact"/>
        <w:rPr>
          <w:sz w:val="20"/>
          <w:szCs w:val="20"/>
          <w:color w:val="auto"/>
        </w:rPr>
      </w:pPr>
    </w:p>
    <w:p>
      <w:pPr>
        <w:jc w:val="both"/>
        <w:ind w:firstLine="1305"/>
        <w:spacing w:after="0" w:line="259" w:lineRule="auto"/>
        <w:tabs>
          <w:tab w:leader="none" w:pos="181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In the event any Dispute is not finally resolved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within 60 days from the delivery of the Initial Notice (if mediation is not requested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mediation pursuant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within 60 days of selection of a mediator, then such Dispute may be submitted to be finally resolved by binding arbitration pursuant to the AAA Commercial Arbitration Rules as then in effect (the “</w:t>
      </w:r>
      <w:r>
        <w:rPr>
          <w:rFonts w:ascii="Arial" w:cs="Arial" w:eastAsia="Arial" w:hAnsi="Arial"/>
          <w:sz w:val="18"/>
          <w:szCs w:val="18"/>
          <w:b w:val="1"/>
          <w:bCs w:val="1"/>
          <w:i w:val="1"/>
          <w:iCs w:val="1"/>
          <w:color w:val="auto"/>
        </w:rPr>
        <w:t>AAA Commercial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Arbitration Rules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7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Without waiving its rights to any remedy under this Agreement and without first complying with the provisions of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 either party may seek any interim or provisional relief that is necessary to protect the rights or property of that party either (i) before any Delaware federal or state court, (ii) before a special arbitrator, as provided for under the AAA Commercial Arbitration Rules, or (iii) before the arbitral tribunal established hereunder.</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7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otherwise agreed by the parties in writing, any Dispute to be decided in arbitration hereunder will be decided (i) before a sole arbitrator if the amount in dispute, inclusive of all claims and counterclaims, totals less than $5 million; or (ii) by an arbitral tribunal of three arbitrators if (A) the amount in dispute, inclusive of all claims and counterclaims, is equal to or greater than $5 million, or (B) either party elects in writing to have such dispute decided by three arbitrators when one of the parties believes, in its sole judgment, the issue could have significant precedential value; however, the party who makes that request shall solely bear the increased costs and expenses associated with a panel of three (3) arbitrators (i.e., the additional costs and expenses associated with the two (2) additional arbitrators).</w:t>
      </w:r>
    </w:p>
    <w:p>
      <w:pPr>
        <w:spacing w:after="0" w:line="193" w:lineRule="exact"/>
        <w:rPr>
          <w:rFonts w:ascii="Arial" w:cs="Arial" w:eastAsia="Arial" w:hAnsi="Arial"/>
          <w:sz w:val="18"/>
          <w:szCs w:val="18"/>
          <w:color w:val="auto"/>
        </w:rPr>
      </w:pPr>
    </w:p>
    <w:p>
      <w:pPr>
        <w:jc w:val="both"/>
        <w:ind w:firstLine="1305"/>
        <w:spacing w:after="0" w:line="253" w:lineRule="auto"/>
        <w:tabs>
          <w:tab w:leader="none" w:pos="175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panel of three arbitrators will be chosen as follows: (i) upon the written demand of either party and within 15 days from the date of such demand, each party will name an arbitrator; and (ii) the two party-appointed arbitrators will thereafter, within 30 days from the date on which the second of the two arbitrators was named, name a third, independent arbitrator who will act as chairperson of the arbitral tribunal. In the event that either party fails to name an arbitrator within 15 days from the date of a written demand to do so, then upon written application by either party, that arbitrator will be appointed pursuant to the AAA Commercial Arbitration Rules. In the event that the two party-appointed arbitrators fail to appoint the third, independent arbitrator within 30 days from the date on which the second of the two arbitrators was named, then upon written application by either party, the third, independent arbitrator will be appointed pursuant to AAA Commercial Arbitration Rules. If the arbitration will be before a sole independent arbitrator, then the sole independent arbitrator will be appointed by agreement of the parties within 15 days upon written demand of either party. If the parties cannot agree to a sole independent arbitrator, then upon written application by either party, the sole independent arbitrator will be appointed pursuant to AAA Commercial Arbitration Rules.</w:t>
      </w:r>
    </w:p>
    <w:p>
      <w:pPr>
        <w:spacing w:after="0" w:line="194" w:lineRule="exact"/>
        <w:rPr>
          <w:rFonts w:ascii="Arial" w:cs="Arial" w:eastAsia="Arial" w:hAnsi="Arial"/>
          <w:sz w:val="18"/>
          <w:szCs w:val="18"/>
          <w:color w:val="auto"/>
        </w:rPr>
      </w:pPr>
    </w:p>
    <w:p>
      <w:pPr>
        <w:ind w:firstLine="1305"/>
        <w:spacing w:after="0" w:line="277" w:lineRule="auto"/>
        <w:tabs>
          <w:tab w:leader="none" w:pos="18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place of arbitration shall be Houston, Texas. Along with the arbitrator(s) appointed, the parties will agree to a mutually convenient location, date and time to conduct the arbitration.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6" w:name="page157"/>
    <w:bookmarkEnd w:id="156"/>
    <w:p>
      <w:pPr>
        <w:jc w:val="both"/>
        <w:ind w:firstLine="1305"/>
        <w:spacing w:after="0" w:line="255" w:lineRule="auto"/>
        <w:tabs>
          <w:tab w:leader="none" w:pos="1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The arbitral tribunal will have the right to award, on an interim basis, or include in the final award, any relief which it deems proper in the circumstances, including money damages (with interest on unpaid amounts from the due date), injunctive relief (including specific performance) and attorneys’ fees and costs; provided that the arbitral tribunal will not award any relief not specifically requested by the parties and, in any event, will not award special damages. Upon constitution of the arbitral tribunal following any grant of interim relief by a special arbitrator or court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the tribunal may affirm or disaffirm that relief, and the parties will seek modification or rescission of the order entered by the special arbitrator or court as necessary to accord with the tribunal’s decision.</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8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parties agree to be bound by the provisions of Rule 13 of the Federal Rules of Civil Procedure with respect to compulsory counterclaims (as the same may be amended from time to time); provided that any such compulsory counterclaim shall be filed within 30 days of the filing of the original claim.</w:t>
      </w:r>
    </w:p>
    <w:p>
      <w:pPr>
        <w:spacing w:after="0" w:line="181" w:lineRule="exact"/>
        <w:rPr>
          <w:rFonts w:ascii="Arial" w:cs="Arial" w:eastAsia="Arial" w:hAnsi="Arial"/>
          <w:sz w:val="18"/>
          <w:szCs w:val="18"/>
          <w:color w:val="auto"/>
        </w:rPr>
      </w:pPr>
    </w:p>
    <w:p>
      <w:pPr>
        <w:ind w:firstLine="1305"/>
        <w:spacing w:after="0" w:line="277" w:lineRule="auto"/>
        <w:tabs>
          <w:tab w:leader="none" w:pos="1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So long as either party has a timely claim to assert, the agreement to arbitrate Disputes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will continue in full force and effect subsequent to, and notwithstanding the completion, expiration or termination of, this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 party obtaining an order of interim injunctive relief may enter judgment upon such award in any Delaware federal or state court. The final award in an arbitration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be conclusive and binding upon the parties, and a party obtaining a final award may enter judgment upon such award in any court of competent jurisdiction.</w:t>
      </w:r>
    </w:p>
    <w:p>
      <w:pPr>
        <w:spacing w:after="0" w:line="181" w:lineRule="exact"/>
        <w:rPr>
          <w:rFonts w:ascii="Arial" w:cs="Arial" w:eastAsia="Arial" w:hAnsi="Arial"/>
          <w:sz w:val="18"/>
          <w:szCs w:val="18"/>
          <w:color w:val="auto"/>
        </w:rPr>
      </w:pPr>
    </w:p>
    <w:p>
      <w:pPr>
        <w:ind w:firstLine="1305"/>
        <w:spacing w:after="0" w:line="277" w:lineRule="auto"/>
        <w:tabs>
          <w:tab w:leader="none" w:pos="17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It is the intent of the parties that the agreement to arbitrate Disputes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be interpreted and applied broadly such that all reasonable doubts as to arbitrability of a Dispute shall be decided in favor of arbitration.</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8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The parties agree that any Dispute submitted to mediation and/or arbitration shall be governed by, and construed and interpreted in accordance with, Delaware Law, as provided in </w:t>
      </w:r>
      <w:r>
        <w:rPr>
          <w:rFonts w:ascii="Arial" w:cs="Arial" w:eastAsia="Arial" w:hAnsi="Arial"/>
          <w:sz w:val="17"/>
          <w:szCs w:val="17"/>
          <w:u w:val="single" w:color="auto"/>
          <w:color w:val="auto"/>
        </w:rPr>
        <w:t>Section 4.1(d)</w:t>
      </w:r>
      <w:r>
        <w:rPr>
          <w:rFonts w:ascii="Arial" w:cs="Arial" w:eastAsia="Arial" w:hAnsi="Arial"/>
          <w:sz w:val="17"/>
          <w:szCs w:val="17"/>
          <w:color w:val="auto"/>
        </w:rPr>
        <w:t xml:space="preserve"> and, except as otherwise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mutually agreed to in writing by the parties, the Federal Arbitration Act, 9 U.S.C. §§ 1 et seq., shall govern any arbitration between the parties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7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4.4(c)(ii)(B)</w:t>
      </w:r>
      <w:r>
        <w:rPr>
          <w:rFonts w:ascii="Arial" w:cs="Arial" w:eastAsia="Arial" w:hAnsi="Arial"/>
          <w:sz w:val="18"/>
          <w:szCs w:val="18"/>
          <w:color w:val="auto"/>
        </w:rPr>
        <w:t>, each party shall bear its own fees, costs and expenses and shall bear an equal share of the costs and expenses of the arbitration, including the fees, costs and expenses of the three arbitrators; provided that the arbitral tribunal may award the prevailing party its reasonable fees and expenses (including attorneys’ fees), including with respect to any Disputes relating to the parties’ rights and obligations with respect to indemnification under this Agreement.</w:t>
      </w:r>
    </w:p>
    <w:p>
      <w:pPr>
        <w:spacing w:after="0" w:line="186" w:lineRule="exact"/>
        <w:rPr>
          <w:rFonts w:ascii="Arial" w:cs="Arial" w:eastAsia="Arial" w:hAnsi="Arial"/>
          <w:sz w:val="18"/>
          <w:szCs w:val="18"/>
          <w:color w:val="auto"/>
        </w:rPr>
      </w:pPr>
    </w:p>
    <w:p>
      <w:pPr>
        <w:ind w:firstLine="1305"/>
        <w:spacing w:after="0" w:line="308" w:lineRule="auto"/>
        <w:tabs>
          <w:tab w:leader="none" w:pos="187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to the contrary, any disputes relating to the interpretation of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requesting injunctive relief or specific performance shall be conducted according to the fast-track arbitration procedures of the AAA then in effect.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 INFORMATION; CONFIDENTIALITY</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Agreement for Exchange of Information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8" w:lineRule="auto"/>
        <w:tabs>
          <w:tab w:leader="none" w:pos="177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and any other applicable confidentiality obligations, each of Oil States and Civeo, on behalf of its respective Group, agrees to provide, or cause to be provided, to the other Group, at any time before or after the Distribution Date, as soon as reasonably practicable after written request therefor, any Information in the possession or under the control of such respective Group which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in each case other than claims or allegations that one party to this Agreement has against the other, or (iii) subject to the foregoing clause (ii), to comply with its obligations under this Agreement or any other Ancillary Agreement; provided, however, that, in the event that any party determines that any such provision of Information could be commercially detrimental, violate any Law or agreement, or waive any privilege otherwise available under applicable Law, including the attorney-client privilege, the parties shall take all reasonable measures to permit the compliance with such obligations in a manner that avoids any such harm or consequence.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Ownership of Information</w:t>
      </w:r>
      <w:r>
        <w:rPr>
          <w:rFonts w:ascii="Arial" w:cs="Arial" w:eastAsia="Arial" w:hAnsi="Arial"/>
          <w:sz w:val="18"/>
          <w:szCs w:val="18"/>
          <w:color w:val="auto"/>
        </w:rPr>
        <w:t xml:space="preserve">. Any Information owned by one Group that is provided to a requesting party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deemed to remain the property of the providing party. Unless specifically set forth herein, nothing contained in this Agreement shall be construed as granting or conferring rights of license or otherwise in any such Information.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Compensation for Providing Information</w:t>
      </w:r>
      <w:r>
        <w:rPr>
          <w:rFonts w:ascii="Arial" w:cs="Arial" w:eastAsia="Arial" w:hAnsi="Arial"/>
          <w:sz w:val="17"/>
          <w:szCs w:val="17"/>
          <w:color w:val="auto"/>
        </w:rPr>
        <w:t xml:space="preserve">. The party requesting Information agrees to reimburse the other party for the reasonable costs, if any, of creating, gathering and copying such Information, to the extent that such costs are incurred for the benefit of the requesting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Civeo shall have no obligation to reimburse Oil States for any costs incurred in connection with Information requested prior to the Distribution Date. Except as may be otherwise specifically provided elsewhere in this Agreement or in any other agreement between the parties, such costs shall be computed in accordance with the providing party’s standard methodology and procedures.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Record Retention</w:t>
      </w:r>
      <w:r>
        <w:rPr>
          <w:rFonts w:ascii="Arial" w:cs="Arial" w:eastAsia="Arial" w:hAnsi="Arial"/>
          <w:sz w:val="16"/>
          <w:szCs w:val="16"/>
          <w:color w:val="auto"/>
        </w:rPr>
        <w:t xml:space="preserve">. To facilitate the possible exchange of Information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other provisions of this Agreement after the Distribution Date, the parties agree to use their reasonable best efforts to retain all Information in their respective possession or control on the Distribution Date in accordance with the policies of Oil States as in effect on the Distribution Date or such other policies as may be adopted by Oil States after the Distribution Date (provided, in the case of Civeo, that Oil States notifies Civeo of any such change). No party will destroy, or permit any of its Subsidiaries to destroy, any Information which the other party may have the right to obtain pursuant to this Agreement prior to the end of the retention period set forth in such policies without first notifying the other party of the proposed destruction and giving the other party the opportunity to take possession of such information prior to such destruction; provided, however, that in the case of any Information relating to Taxes, employee benefits or Environmental Liabilities, such retention period shall be extended to the expiration of the applicable statute of limitations (giving effect to any extensions thereof). Notwithstanding the foregoing, Section 9 of the Tax Sharing Agreement shall govern the retention of Tax Records (as defined in the Tax Sharing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8" w:name="page159"/>
    <w:bookmarkEnd w:id="158"/>
    <w:p>
      <w:pPr>
        <w:jc w:val="both"/>
        <w:ind w:firstLine="648"/>
        <w:spacing w:after="0" w:line="26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color w:val="auto"/>
        </w:rPr>
        <w:t xml:space="preserve">.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Other Agreements Providing for Exchange of Information</w:t>
      </w:r>
      <w:r>
        <w:rPr>
          <w:rFonts w:ascii="Arial" w:cs="Arial" w:eastAsia="Arial" w:hAnsi="Arial"/>
          <w:sz w:val="18"/>
          <w:szCs w:val="18"/>
          <w:color w:val="auto"/>
        </w:rPr>
        <w:t xml:space="preserve">. The rights and obligations granted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subject to any specific limitations, qualifications or additional provisions on the sharing, exchange, retention or confidential treatment of Information set forth in the Separation and Distribution Agreement or any Ancillary Agreement.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u w:val="single" w:color="auto"/>
          <w:color w:val="auto"/>
        </w:rPr>
        <w:t>Production of Witnesses; Records; Cooperation</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73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After the Distribution Date, except in the case of an adversarial Action by one party against another party, each party hereto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 which the requesting party may from time to time be involved, regardless of whether such Action is a matter with respect to which indemnification may be sought hereunder. The requesting party shall bear all costs and expenses in connection therewith.</w:t>
      </w:r>
    </w:p>
    <w:p>
      <w:pPr>
        <w:spacing w:after="0" w:line="177" w:lineRule="exact"/>
        <w:rPr>
          <w:rFonts w:ascii="Arial" w:cs="Arial" w:eastAsia="Arial" w:hAnsi="Arial"/>
          <w:sz w:val="17"/>
          <w:szCs w:val="17"/>
          <w:color w:val="auto"/>
        </w:rPr>
      </w:pPr>
    </w:p>
    <w:p>
      <w:pPr>
        <w:jc w:val="both"/>
        <w:ind w:firstLine="1305"/>
        <w:spacing w:after="0" w:line="255" w:lineRule="auto"/>
        <w:tabs>
          <w:tab w:leader="none" w:pos="18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189" w:lineRule="exact"/>
        <w:rPr>
          <w:rFonts w:ascii="Arial" w:cs="Arial" w:eastAsia="Arial" w:hAnsi="Arial"/>
          <w:sz w:val="18"/>
          <w:szCs w:val="18"/>
          <w:color w:val="auto"/>
        </w:rPr>
      </w:pPr>
    </w:p>
    <w:p>
      <w:pPr>
        <w:ind w:left="1720" w:hanging="415"/>
        <w:spacing w:after="0"/>
        <w:tabs>
          <w:tab w:leader="none" w:pos="17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Without limiting the foregoing, the parties shall cooperate and consult to the extent reasonably necessary with respect to any Actions.</w:t>
      </w:r>
    </w:p>
    <w:p>
      <w:pPr>
        <w:spacing w:after="0" w:line="248" w:lineRule="exact"/>
        <w:rPr>
          <w:rFonts w:ascii="Arial" w:cs="Arial" w:eastAsia="Arial" w:hAnsi="Arial"/>
          <w:sz w:val="16"/>
          <w:szCs w:val="16"/>
          <w:color w:val="auto"/>
        </w:rPr>
      </w:pPr>
    </w:p>
    <w:p>
      <w:pPr>
        <w:jc w:val="both"/>
        <w:ind w:firstLine="1305"/>
        <w:spacing w:after="0" w:line="259" w:lineRule="auto"/>
        <w:tabs>
          <w:tab w:leader="none" w:pos="1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Without limiting any provision of this </w:t>
      </w:r>
      <w:r>
        <w:rPr>
          <w:rFonts w:ascii="Arial" w:cs="Arial" w:eastAsia="Arial" w:hAnsi="Arial"/>
          <w:sz w:val="18"/>
          <w:szCs w:val="18"/>
          <w:u w:val="single" w:color="auto"/>
          <w:color w:val="auto"/>
        </w:rPr>
        <w:t>Section 5.7</w:t>
      </w:r>
      <w:r>
        <w:rPr>
          <w:rFonts w:ascii="Arial" w:cs="Arial" w:eastAsia="Arial" w:hAnsi="Arial"/>
          <w:sz w:val="18"/>
          <w:szCs w:val="18"/>
          <w:color w:val="auto"/>
        </w:rPr>
        <w:t>, each of the parties agrees to cooperate, and to cause each member of its respective Group to cooperate, with each other in the defense of any infringement or similar claim with respect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59" w:name="page160"/>
    <w:bookmarkEnd w:id="159"/>
    <w:p>
      <w:pPr>
        <w:jc w:val="both"/>
        <w:ind w:firstLine="1305"/>
        <w:spacing w:after="0" w:line="286" w:lineRule="auto"/>
        <w:tabs>
          <w:tab w:leader="none" w:pos="18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obligation of the parties to provide witnesses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is intended to be interpreted in a manner so as to facilitate cooperation and shall include the obligation to provide as witnesses inventors and other officers without regard to whether the witness or the employer of the witness could assert a possible business conflict (subject to the exception set forth in the first sentence of </w:t>
      </w:r>
      <w:r>
        <w:rPr>
          <w:rFonts w:ascii="Arial" w:cs="Arial" w:eastAsia="Arial" w:hAnsi="Arial"/>
          <w:sz w:val="17"/>
          <w:szCs w:val="17"/>
          <w:u w:val="single" w:color="auto"/>
          <w:color w:val="auto"/>
        </w:rPr>
        <w:t>Section 5.7(a)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5"/>
        <w:spacing w:after="0" w:line="308" w:lineRule="auto"/>
        <w:tabs>
          <w:tab w:leader="none" w:pos="18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In connection with any matter contemplated by this </w:t>
      </w:r>
      <w:r>
        <w:rPr>
          <w:rFonts w:ascii="Arial" w:cs="Arial" w:eastAsia="Arial" w:hAnsi="Arial"/>
          <w:sz w:val="17"/>
          <w:szCs w:val="17"/>
          <w:u w:val="single" w:color="auto"/>
          <w:color w:val="auto"/>
        </w:rPr>
        <w:t>Section 5.7</w:t>
      </w:r>
      <w:r>
        <w:rPr>
          <w:rFonts w:ascii="Arial" w:cs="Arial" w:eastAsia="Arial" w:hAnsi="Arial"/>
          <w:sz w:val="17"/>
          <w:szCs w:val="17"/>
          <w:color w:val="auto"/>
        </w:rPr>
        <w:t>, the parties will enter into a mutually acceptable joint defense agreement so as to maintain to the extent practicable any applicable attorney-client privilege or work product immunity of any member of any Group.</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9" w:lineRule="auto"/>
        <w:tabs>
          <w:tab w:leader="none" w:pos="177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w:t>
      </w:r>
      <w:r>
        <w:rPr>
          <w:rFonts w:ascii="Arial" w:cs="Arial" w:eastAsia="Arial" w:hAnsi="Arial"/>
          <w:sz w:val="16"/>
          <w:szCs w:val="16"/>
          <w:color w:val="auto"/>
        </w:rPr>
        <w:t>, until the five-year anniversary of the Distribution Date, each of Oil States and Civeo, on behalf of itself and each member of its respective Group, agrees to hold, and to cause its respective Representatives to hold, in strict confidence, with at least the same degree of care that applies to Oil States’ confidential and proprietary information pursuant to policies in effect as of the Distribution Date, all Information concerning each such other Group that is either in its possession (including Information in its possession prior to the Distribution Date) or furnished by any such other Group or its respective Representatives at any time pursuant to this Agreement, the Separation and Distribution Agreement, any other Ancillary Agreement or otherwise, and shall not use any such Information other than for such purposes as shall be expressly permitted hereunder or thereunder, except, in each case, to the extent that such Information has been (i) in the public domain through no fault of such party or any member of such Group or any of their respective Representatives, (ii) later lawfully acquired from other sources by such party (or any member of such party’s Group) which sources are not themselves bound by a confidentiality obligation, or (iii) independently generated without reference to any proprietary or confidential Information of the other party.</w:t>
      </w:r>
    </w:p>
    <w:p>
      <w:pPr>
        <w:spacing w:after="0" w:line="166" w:lineRule="exact"/>
        <w:rPr>
          <w:rFonts w:ascii="Arial" w:cs="Arial" w:eastAsia="Arial" w:hAnsi="Arial"/>
          <w:sz w:val="16"/>
          <w:szCs w:val="16"/>
          <w:color w:val="auto"/>
        </w:rPr>
      </w:pPr>
    </w:p>
    <w:p>
      <w:pPr>
        <w:jc w:val="both"/>
        <w:ind w:firstLine="1305"/>
        <w:spacing w:after="0" w:line="270" w:lineRule="auto"/>
        <w:tabs>
          <w:tab w:leader="none" w:pos="173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Each party agrees not to release or disclose, or permit to be released or disclosed, any such Information to any other Person, except its Representatives who need to know such Information (who shall be advised of their obligations hereunder with respect to such Information), except in compliance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Without limiting the foregoing, when any Information is no longer needed for the purposes contemplated by this Agreement, the Separation and Distribution Agreement or any other Ancillary Agreement, each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 provided, however,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it is kept in the party’s legal files for purposes of resolving any dispute that may arise under this Agreement, the Separation and Distribution Agreement or any Ancillary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0" w:name="page161"/>
    <w:bookmarkEnd w:id="160"/>
    <w:p>
      <w:pPr>
        <w:jc w:val="both"/>
        <w:ind w:firstLine="648"/>
        <w:spacing w:after="0" w:line="295"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u w:val="single" w:color="auto"/>
          <w:color w:val="auto"/>
        </w:rPr>
        <w:t>Protective Arrangements</w:t>
      </w:r>
      <w:r>
        <w:rPr>
          <w:rFonts w:ascii="Arial" w:cs="Arial" w:eastAsia="Arial" w:hAnsi="Arial"/>
          <w:sz w:val="16"/>
          <w:szCs w:val="16"/>
          <w:color w:val="auto"/>
        </w:rPr>
        <w:t>. In the event that any party or any member of its Group either determines on the advice of its counsel that it is required to disclose any Information pursuant to applicable Law or receives any demand under lawful process or from any Governmental Authority to disclose or provide Information of any other party (or any member of any other party’s Group) that is subject to the confidentiality provisions hereof, such party shall notify the other party prior to disclosing or providing such Information and shall cooperate at the expense of the requesting party in seeking any reasonable protective arrangements requested by such other party. Subject to the foregoing, the Person that received such request may thereafter disclose or provide Information to the extent required by such Law (as so advised by counsel) or by lawful process or such Governmental Authority.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ASSURANCES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9" w:lineRule="auto"/>
        <w:tabs>
          <w:tab w:leader="none" w:pos="17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hereto shall use its commercially reasonable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Separation and Distribution Agreement and the other Ancillary Agreements.</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77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Without limiting the foregoing, prior to, on and after the Distribution Date, each party hereto shall cooperate with the other parties, and without any further consideration, but at the expense of the requesting party, to execute and deliver, or use its commercially reasonable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third-party consents or Governmental Approvals), and to take all such other actions as such party may reasonably be requested to take by any other party hereto from time to time, consistent with the terms of this Agreement, the Separation and Distribution Agreement and the other Ancillary Agreements, in order to effectuate the provisions and purposes of this Agreement, the Separation and Distribution Agreement and the other Ancillary Agreements and the transfers of the Civeo Assets and the assignment and assumption of the Civeo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free and clear of any Security Interest, if and to the extent it is practicable to do so.</w:t>
      </w:r>
    </w:p>
    <w:p>
      <w:pPr>
        <w:spacing w:after="0" w:line="169" w:lineRule="exact"/>
        <w:rPr>
          <w:rFonts w:ascii="Arial" w:cs="Arial" w:eastAsia="Arial" w:hAnsi="Arial"/>
          <w:sz w:val="16"/>
          <w:szCs w:val="16"/>
          <w:color w:val="auto"/>
        </w:rPr>
      </w:pPr>
    </w:p>
    <w:p>
      <w:pPr>
        <w:jc w:val="both"/>
        <w:ind w:firstLine="1305"/>
        <w:spacing w:after="0" w:line="259" w:lineRule="auto"/>
        <w:tabs>
          <w:tab w:leader="none" w:pos="179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or prior to the Distribution Date, Oil States and Civeo in their respective capacities as direct and indirect stockholders of their respective Subsidiaries, shall each ratify any actions which are reasonably necessary or desirable to be taken by Oil States, Civeo or any other Subsidiary of Oil States, as the case may be, to effectuate the transactions contemplated by this Agreement, the Separation and Distribution Agreement and the other Ancillary Agreements.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61" w:name="page162"/>
    <w:bookmarkEnd w:id="161"/>
    <w:p>
      <w:pPr>
        <w:jc w:val="both"/>
        <w:ind w:firstLine="648"/>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Attorney-Client Privilege</w:t>
      </w:r>
      <w:r>
        <w:rPr>
          <w:rFonts w:ascii="Arial" w:cs="Arial" w:eastAsia="Arial" w:hAnsi="Arial"/>
          <w:sz w:val="17"/>
          <w:szCs w:val="17"/>
          <w:color w:val="auto"/>
        </w:rPr>
        <w:t>. Civeo agrees that, in the event of any Dispute or other litigation, dispute, controversy or claim between Oil States or a member of the Oil States Group, on the one hand, and Civeo or a member of the Civeo Group, on the other hand, Civeo will not, and will cause the members of its Group not to, seek any waiver of attorney-client privilege with respect to any communications relating to advice given prior to the Distribution Date by counsel to Oil States or any Person that was a subsidiary of Oil States prior to the Distribution Date, regardless of any argument that such advice may have affected the interests of both parties. Moreover, Civeo will, and will cause the members of its Group to, honor any such attorney-client privilege between Oil States and the members of its Group and its or their counsel, and will not assert that Oil States or a member of its Group has waived, relinquished or otherwise lost such privilege. For the avoidance of doubt, in the event of any litigation, dispute, controversy or claim between Oil States or a member of its Group, on the one hand, and a Third Party other than a member of the Civeo Group, on the other hand, Oil States shall retain the right to assert attorney-client privilege with respect to any communications relating to advice given prior to the Distribution Date by counsel to Oil States or any Person that was a subsidiary of Oil States prior to the Distribution Date.</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No Attorney Testimony</w:t>
      </w:r>
      <w:r>
        <w:rPr>
          <w:rFonts w:ascii="Arial" w:cs="Arial" w:eastAsia="Arial" w:hAnsi="Arial"/>
          <w:sz w:val="18"/>
          <w:szCs w:val="18"/>
          <w:color w:val="auto"/>
        </w:rPr>
        <w:t>. No in-house attorney or outside attorney may be called to testify about or present evidence covering the interpretation or meaning of this Agreement in any dispute between the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u w:val="single" w:color="auto"/>
          <w:color w:val="auto"/>
        </w:rPr>
        <w:t>Counterparts; Entire Agreement</w:t>
      </w:r>
      <w:r>
        <w:rPr>
          <w:rFonts w:ascii="Arial" w:cs="Arial" w:eastAsia="Arial" w:hAnsi="Arial"/>
          <w:sz w:val="16"/>
          <w:szCs w:val="16"/>
          <w:color w:val="auto"/>
        </w:rPr>
        <w:t>.</w:t>
      </w:r>
    </w:p>
    <w:p>
      <w:pPr>
        <w:spacing w:after="0" w:line="229" w:lineRule="exact"/>
        <w:rPr>
          <w:sz w:val="20"/>
          <w:szCs w:val="20"/>
          <w:color w:val="auto"/>
        </w:rPr>
      </w:pPr>
    </w:p>
    <w:p>
      <w:pPr>
        <w:ind w:firstLine="1305"/>
        <w:spacing w:after="0" w:line="308" w:lineRule="auto"/>
        <w:tabs>
          <w:tab w:leader="none" w:pos="172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the Separation and Distribution Agreement and the Ancillary Agreements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74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the case of any conflict between this Agreement and the Separation and Distribution Agreement or any other Ancillary Agreement (other than the Tax Sharing Agreement and the Employee Matters Agreement) in relation to any matters addressed by this Agreement, this Agreement shall prevail. Notwithstanding anything to the contrary in this Agreement, the Separation and Distribution Agreement or any other Ancillary Agreement, in the case of any conflict between this Agreement and the Tax Sharing Agreement in relation to matters addressed by the Tax Sharing Agreement, the Tax Sharing Agreement shall prevail. Notwithstanding anything to the contrary in this Agreement, the Separation and Distribution Agreement or any other Ancillary Agreement, in the case of any conflict between this Agreement and the Employee Matters Agreement in relation to matters addressed by the Employee Matters Agreement, the Employee Matters Agreement shall prevail.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2" w:name="page163"/>
    <w:bookmarkEnd w:id="162"/>
    <w:p>
      <w:pPr>
        <w:jc w:val="both"/>
        <w:ind w:firstLine="1305"/>
        <w:spacing w:after="0" w:line="257" w:lineRule="auto"/>
        <w:tabs>
          <w:tab w:leader="none" w:pos="178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party hereto acknowledges that it and each other party hereto may execute this Agreement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this Agreement to be manually executed (any such execution to be as of the date of the initial date thereof).</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Assignability</w:t>
      </w:r>
      <w:r>
        <w:rPr>
          <w:rFonts w:ascii="Arial" w:cs="Arial" w:eastAsia="Arial" w:hAnsi="Arial"/>
          <w:sz w:val="18"/>
          <w:szCs w:val="18"/>
          <w:color w:val="auto"/>
        </w:rPr>
        <w:t>. This Agreement shall be binding upon and inure to the benefit of the parties hereto and thereto, respectively, and their respective successors and permitted assigns; provided, however, that no party hereto or thereto may assign its respective rights or delegate its respective obligations under this Agreement without the express prior written consent of the other parties hereto.</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Third-Party Beneficiaries</w:t>
      </w:r>
      <w:r>
        <w:rPr>
          <w:rFonts w:ascii="Arial" w:cs="Arial" w:eastAsia="Arial" w:hAnsi="Arial"/>
          <w:sz w:val="16"/>
          <w:szCs w:val="16"/>
          <w:color w:val="auto"/>
        </w:rPr>
        <w:t>. Except for the indemnification rights under this Agreement of any Oil States Indemnitee or Civeo Indemnitee in their respective capacities as such, (a) the provisions of this Agreement are solely for the benefit of the parties and are not intended to confer upon any Person except the parties any rights or remedies hereunder, and (b) there are no third-party beneficiaries of this Agreement and this Agreement shall not provide any third person with any remedy, claim, liability, reimbursement, claim of action or other right in excess of those existing without reference to this Agreement.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Oil States,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Oil States International,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4620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Cindy B. Taylor and Lias J. Steen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713-652-0499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3" w:name="page164"/>
    <w:bookmarkEnd w:id="163"/>
    <w:p>
      <w:pPr>
        <w:ind w:left="660"/>
        <w:spacing w:after="0"/>
        <w:rPr>
          <w:sz w:val="20"/>
          <w:szCs w:val="20"/>
          <w:color w:val="auto"/>
        </w:rPr>
      </w:pPr>
      <w:r>
        <w:rPr>
          <w:rFonts w:ascii="Arial" w:cs="Arial" w:eastAsia="Arial" w:hAnsi="Arial"/>
          <w:sz w:val="18"/>
          <w:szCs w:val="18"/>
          <w:color w:val="auto"/>
        </w:rPr>
        <w:t>If to Civeo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Bradley J. Dodson and Frank C. Steininger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713-651-0369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to the other party, change the address and contact person to which any such notices are to be given.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No party shall be deemed in default of this Agreement to the extent that any delay or failure in the performance of its obligations under this Agreement, other than a delay or failure to make a payment, results from any cause beyond its reasonable control and without its fault or negligence, such as acts of God, acts of civil or military authority, embargoes, epidemics, war, riots, insurrections, fires, explosions, earthquakes, floods, unusually severe weather conditions, labor problems or unavailability of parts, or, in the case of computer systems, any failure in electrical or air conditioning equipment. In the event of any such excused delay, the time for performance shall be extended for a period equal to the time lost by reason of the delay.</w:t>
      </w:r>
    </w:p>
    <w:p>
      <w:pPr>
        <w:spacing w:after="0" w:line="1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Survival of Covenants</w:t>
      </w:r>
      <w:r>
        <w:rPr>
          <w:rFonts w:ascii="Arial" w:cs="Arial" w:eastAsia="Arial" w:hAnsi="Arial"/>
          <w:sz w:val="18"/>
          <w:szCs w:val="18"/>
          <w:color w:val="auto"/>
        </w:rPr>
        <w:t>. The covenants, representations and warranties contained in this Agreement, and liability for the breach of any obligations contained herein, shall survive the Separation and the Distribution and shall remain in full force and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other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No provisions of this Agreement shall be deemed waived, amended, supplemented or modified by any party, unless such waiver, amendment, supplement or modification is in writing and signed by the authorized representative of the party against whom it is sought to enforce such waiver, amendment, supplement or modification.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4" w:name="page165"/>
    <w:bookmarkEnd w:id="164"/>
    <w:p>
      <w:pPr>
        <w:jc w:val="both"/>
        <w:ind w:firstLine="648"/>
        <w:spacing w:after="0" w:line="25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In this Agreement, (a) words in the singular shall be held to include the plural and vice versa and words of one gender shall be held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means “including, without limitation”; (e) the word “or” shall not be exclusive; and (f) unless expressly stated to the contrary in this Agreement or in any Ancillary Agreement, all references to “the date hereof,” “the date of this Agreement,” “hereby” and “hereupon” and words of similar import shall all be references to the date first stated in the preamble to this Agreement, regardless of any amendment or restatement hereof.</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Limitations of Liability</w:t>
      </w:r>
      <w:r>
        <w:rPr>
          <w:rFonts w:ascii="Arial" w:cs="Arial" w:eastAsia="Arial" w:hAnsi="Arial"/>
          <w:sz w:val="18"/>
          <w:szCs w:val="18"/>
          <w:color w:val="auto"/>
        </w:rPr>
        <w:t xml:space="preserve">. </w:t>
      </w:r>
      <w:r>
        <w:rPr>
          <w:rFonts w:ascii="Arial" w:cs="Arial" w:eastAsia="Arial" w:hAnsi="Arial"/>
          <w:sz w:val="18"/>
          <w:szCs w:val="18"/>
          <w:b w:val="1"/>
          <w:bCs w:val="1"/>
          <w:color w:val="auto"/>
        </w:rPr>
        <w:t>NOTWITHSTANDING ANYTHING IN THIS AGREEMENT TO THE CONTRARY, NEITHER CIVEO</w:t>
      </w:r>
      <w:r>
        <w:rPr>
          <w:rFonts w:ascii="Arial" w:cs="Arial" w:eastAsia="Arial" w:hAnsi="Arial"/>
          <w:sz w:val="18"/>
          <w:szCs w:val="18"/>
          <w:color w:val="auto"/>
        </w:rPr>
        <w:t xml:space="preserve"> </w:t>
      </w:r>
      <w:r>
        <w:rPr>
          <w:rFonts w:ascii="Arial" w:cs="Arial" w:eastAsia="Arial" w:hAnsi="Arial"/>
          <w:sz w:val="18"/>
          <w:szCs w:val="18"/>
          <w:b w:val="1"/>
          <w:bCs w:val="1"/>
          <w:color w:val="auto"/>
        </w:rPr>
        <w:t>OR ITS AFFILIATES, ON THE ONE HAND, NOR OIL STATES OR ITS AFFILIATES, ON THE OTHER HAND, SHALL BE LIABLE UNDER THIS AGREEMENT TO THE OTHER FOR ANY (I) DAMAGES THAT ARE NOT PROBABLE AND REASONABLY FORESEEABLE OR (II) PUNITIVE OR SIMILAR DAMAGES, IN EACH CASE IN EXCESS OF COMPENSATORY DAMAGES OF THE OTHER ARISING IN CONNECTION WITH THE TRANSACTIONS CONTEMPLATED BY THIS AGREEMENT, THE SEPARATION AND DISTRIBUTION AGREEMENT OR ANY OTHER ANCILLARY AGREEMENT (OTHER THAN ANY SUCH LIABILITY WITH RESPECT TO A THIRD-PARTY CLAIM).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5" w:name="page166"/>
    <w:bookmarkEnd w:id="16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Indemnification and Release Agreement to be executed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6" w:name="page167"/>
    <w:bookmarkEnd w:id="166"/>
    <w:p>
      <w:pPr>
        <w:jc w:val="center"/>
        <w:ind w:right="118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Assumed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w:t>
      </w: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167" w:name="page168"/>
    <w:bookmarkEnd w:id="167"/>
    <w:p>
      <w:pPr>
        <w:jc w:val="center"/>
        <w:ind w:right="1180"/>
        <w:spacing w:after="0"/>
        <w:rPr>
          <w:sz w:val="20"/>
          <w:szCs w:val="20"/>
          <w:color w:val="auto"/>
        </w:rPr>
      </w:pPr>
      <w:r>
        <w:rPr>
          <w:rFonts w:ascii="Arial" w:cs="Arial" w:eastAsia="Arial" w:hAnsi="Arial"/>
          <w:sz w:val="18"/>
          <w:szCs w:val="18"/>
          <w:b w:val="1"/>
          <w:bCs w:val="1"/>
          <w:color w:val="auto"/>
        </w:rPr>
        <w:t>Schedule 2.9(a)</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Guarantees and Letters of Credit</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Schedule 2.9(a)</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1" w:right="239" w:bottom="1440" w:gutter="0" w:footer="0" w:header="0"/>
        </w:sectPr>
      </w:pPr>
    </w:p>
    <w:bookmarkStart w:id="168" w:name="page169"/>
    <w:bookmarkEnd w:id="168"/>
    <w:p>
      <w:pPr>
        <w:jc w:val="center"/>
        <w:ind w:right="1180"/>
        <w:spacing w:after="0"/>
        <w:rPr>
          <w:sz w:val="20"/>
          <w:szCs w:val="20"/>
          <w:color w:val="auto"/>
        </w:rPr>
      </w:pPr>
      <w:r>
        <w:rPr>
          <w:rFonts w:ascii="Arial" w:cs="Arial" w:eastAsia="Arial" w:hAnsi="Arial"/>
          <w:sz w:val="18"/>
          <w:szCs w:val="18"/>
          <w:b w:val="1"/>
          <w:bCs w:val="1"/>
          <w:color w:val="auto"/>
        </w:rPr>
        <w:t>Schedule 3.1(c)</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Insurance Policies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Schedule 3.1(c)</w:t>
      </w:r>
    </w:p>
    <w:p>
      <w:pPr>
        <w:spacing w:after="0" w:line="2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Effective ____________, 2014</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Civeo Corporation, a Delaware corporation, hereby adopts the 2014 Equity Participation Plan of Civeo Corporation (the “Plan”), effective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2014 (the “Effective Date”), for the benefit of its eligible Employees, Directors and consultants.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Plan are as follows:</w:t>
      </w:r>
    </w:p>
    <w:p>
      <w:pPr>
        <w:spacing w:after="0" w:line="225" w:lineRule="exact"/>
        <w:rPr>
          <w:sz w:val="20"/>
          <w:szCs w:val="20"/>
          <w:color w:val="auto"/>
        </w:rPr>
      </w:pPr>
    </w:p>
    <w:p>
      <w:pPr>
        <w:ind w:firstLine="656"/>
        <w:spacing w:after="0" w:line="342" w:lineRule="auto"/>
        <w:tabs>
          <w:tab w:leader="none" w:pos="113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stock and/or rights which recognize such growth, development and financial success.</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19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Employees, Directors and consultants considered essential to the long range success of the Company by offering them an opportunity to own stock in the Company and/or rights which will reflect the growth, development and financial success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Wherever the following terms are used in the Plan they shall have the meaning specified below, unless the context clearly indicates otherwise.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Affiliate</w:t>
      </w:r>
      <w:r>
        <w:rPr>
          <w:rFonts w:ascii="Arial" w:cs="Arial" w:eastAsia="Arial" w:hAnsi="Arial"/>
          <w:sz w:val="18"/>
          <w:szCs w:val="18"/>
          <w:color w:val="auto"/>
        </w:rPr>
        <w:t>. “Affiliate” shall mean any entity that, directly or through one or more intermediaries, is controlled by the Company or controls the Company as determined by the Committee.</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Award Limit</w:t>
      </w:r>
      <w:r>
        <w:rPr>
          <w:rFonts w:ascii="Arial" w:cs="Arial" w:eastAsia="Arial" w:hAnsi="Arial"/>
          <w:sz w:val="16"/>
          <w:szCs w:val="16"/>
          <w:color w:val="auto"/>
        </w:rPr>
        <w:t>. “Award Limit” shall mean 800,000 shares of Common Stock.</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Board</w:t>
      </w:r>
      <w:r>
        <w:rPr>
          <w:rFonts w:ascii="Arial" w:cs="Arial" w:eastAsia="Arial" w:hAnsi="Arial"/>
          <w:sz w:val="16"/>
          <w:szCs w:val="16"/>
          <w:color w:val="auto"/>
        </w:rPr>
        <w:t>. “Board” shall mean the Board of Directors of the Company.</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Change of Control</w:t>
      </w:r>
      <w:r>
        <w:rPr>
          <w:rFonts w:ascii="Arial" w:cs="Arial" w:eastAsia="Arial" w:hAnsi="Arial"/>
          <w:sz w:val="16"/>
          <w:szCs w:val="16"/>
          <w:color w:val="auto"/>
        </w:rPr>
        <w:t>. “Change of Control” shall mean any of the following:</w:t>
      </w:r>
    </w:p>
    <w:p>
      <w:pPr>
        <w:spacing w:after="0" w:line="225" w:lineRule="exact"/>
        <w:rPr>
          <w:sz w:val="20"/>
          <w:szCs w:val="20"/>
          <w:color w:val="auto"/>
        </w:rPr>
      </w:pPr>
    </w:p>
    <w:p>
      <w:pPr>
        <w:jc w:val="both"/>
        <w:ind w:left="660" w:firstLine="645"/>
        <w:spacing w:after="0" w:line="291" w:lineRule="auto"/>
        <w:tabs>
          <w:tab w:leader="none" w:pos="17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“Exchange Act”)), (other than a trustee or other fiduciary holding securities under an employee benefit plan of the Company or any affiliate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0" w:name="page171"/>
    <w:bookmarkEnd w:id="170"/>
    <w:p>
      <w:pPr>
        <w:jc w:val="both"/>
        <w:ind w:firstLine="645"/>
        <w:spacing w:after="0" w:line="255" w:lineRule="auto"/>
        <w:tabs>
          <w:tab w:leader="none" w:pos="12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193" w:lineRule="exact"/>
        <w:rPr>
          <w:rFonts w:ascii="Arial" w:cs="Arial" w:eastAsia="Arial" w:hAnsi="Arial"/>
          <w:sz w:val="18"/>
          <w:szCs w:val="18"/>
          <w:color w:val="auto"/>
        </w:rPr>
      </w:pPr>
    </w:p>
    <w:p>
      <w:pPr>
        <w:jc w:val="both"/>
        <w:ind w:firstLine="645"/>
        <w:spacing w:after="0" w:line="276" w:lineRule="auto"/>
        <w:tabs>
          <w:tab w:leader="none" w:pos="11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080" w:hanging="435"/>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right="20" w:firstLine="645"/>
        <w:spacing w:after="0" w:line="277" w:lineRule="auto"/>
        <w:tabs>
          <w:tab w:leader="none" w:pos="114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i w:val="1"/>
          <w:iCs w:val="1"/>
          <w:color w:val="auto"/>
        </w:rPr>
        <w:t>Code</w:t>
      </w:r>
      <w:r>
        <w:rPr>
          <w:rFonts w:ascii="Arial" w:cs="Arial" w:eastAsia="Arial" w:hAnsi="Arial"/>
          <w:sz w:val="16"/>
          <w:szCs w:val="16"/>
          <w:color w:val="auto"/>
        </w:rPr>
        <w:t>. “Code” shall mean the Internal Revenue Code of 1986, as amended.</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Committee</w:t>
      </w:r>
      <w:r>
        <w:rPr>
          <w:rFonts w:ascii="Arial" w:cs="Arial" w:eastAsia="Arial" w:hAnsi="Arial"/>
          <w:sz w:val="16"/>
          <w:szCs w:val="16"/>
          <w:color w:val="auto"/>
        </w:rPr>
        <w:t>. “Committee” shall mean the Board or a subcommittee of the Board appointed as provided in Section 8.1.</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i w:val="1"/>
          <w:iCs w:val="1"/>
          <w:color w:val="auto"/>
        </w:rPr>
        <w:t>Common Stock</w:t>
      </w:r>
      <w:r>
        <w:rPr>
          <w:rFonts w:ascii="Arial" w:cs="Arial" w:eastAsia="Arial" w:hAnsi="Arial"/>
          <w:sz w:val="16"/>
          <w:szCs w:val="16"/>
          <w:color w:val="auto"/>
        </w:rPr>
        <w:t>. “Common Stock” shall mean the common stock of the Company, par value $0.01 per share.</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Company</w:t>
      </w:r>
      <w:r>
        <w:rPr>
          <w:rFonts w:ascii="Arial" w:cs="Arial" w:eastAsia="Arial" w:hAnsi="Arial"/>
          <w:sz w:val="16"/>
          <w:szCs w:val="16"/>
          <w:color w:val="auto"/>
        </w:rPr>
        <w:t>. “Company” shall mean Civeo Corporation, a Delaware corporation.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i w:val="1"/>
          <w:iCs w:val="1"/>
          <w:color w:val="auto"/>
        </w:rPr>
        <w:t>Deferred Stock</w:t>
      </w:r>
      <w:r>
        <w:rPr>
          <w:rFonts w:ascii="Arial" w:cs="Arial" w:eastAsia="Arial" w:hAnsi="Arial"/>
          <w:sz w:val="16"/>
          <w:szCs w:val="16"/>
          <w:color w:val="auto"/>
        </w:rPr>
        <w:t>. “Deferred Stock” shall mean Common Stock awarded under Article VII of the Plan.</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i w:val="1"/>
          <w:iCs w:val="1"/>
          <w:color w:val="auto"/>
        </w:rPr>
        <w:t>Director</w:t>
      </w:r>
      <w:r>
        <w:rPr>
          <w:rFonts w:ascii="Arial" w:cs="Arial" w:eastAsia="Arial" w:hAnsi="Arial"/>
          <w:sz w:val="16"/>
          <w:szCs w:val="16"/>
          <w:color w:val="auto"/>
        </w:rPr>
        <w:t>. “Director” shall mean a member of the Board who is not an Employee.</w:t>
      </w:r>
    </w:p>
    <w:p>
      <w:pPr>
        <w:spacing w:after="0" w:line="200" w:lineRule="exact"/>
        <w:rPr>
          <w:sz w:val="20"/>
          <w:szCs w:val="20"/>
          <w:color w:val="auto"/>
        </w:rPr>
      </w:pPr>
    </w:p>
    <w:p>
      <w:pPr>
        <w:spacing w:after="0" w:line="26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71" w:name="page172"/>
    <w:bookmarkEnd w:id="171"/>
    <w:p>
      <w:pPr>
        <w:jc w:val="both"/>
        <w:ind w:firstLine="648"/>
        <w:spacing w:after="0" w:line="30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Dividend Equivalent</w:t>
      </w:r>
      <w:r>
        <w:rPr>
          <w:rFonts w:ascii="Arial" w:cs="Arial" w:eastAsia="Arial" w:hAnsi="Arial"/>
          <w:sz w:val="17"/>
          <w:szCs w:val="17"/>
          <w:color w:val="auto"/>
        </w:rPr>
        <w:t>. “Dividend Equivalent” shall mean a right to receive the equivalent value (in cash or Common Stock) of dividends paid on Common Stock, awarded under Article VII of the Plan. Dividend Equivalents shall not be permitted on Options under the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Affiliate or Subsidiary.</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Exchange Act</w:t>
      </w:r>
      <w:r>
        <w:rPr>
          <w:rFonts w:ascii="Arial" w:cs="Arial" w:eastAsia="Arial" w:hAnsi="Arial"/>
          <w:sz w:val="16"/>
          <w:szCs w:val="16"/>
          <w:color w:val="auto"/>
        </w:rPr>
        <w:t>. “Exchange Act” shall mean the Securities Exchange Act of 1934, as amended.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i w:val="1"/>
          <w:iCs w:val="1"/>
          <w:color w:val="auto"/>
        </w:rPr>
        <w:t>Fair Market Value</w:t>
      </w:r>
      <w:r>
        <w:rPr>
          <w:rFonts w:ascii="Arial" w:cs="Arial" w:eastAsia="Arial" w:hAnsi="Arial"/>
          <w:sz w:val="16"/>
          <w:szCs w:val="16"/>
          <w:color w:val="auto"/>
        </w:rPr>
        <w:t>. “Fair Market Value” of a share of Common Stock as of a given date shall be (i) the closing price of a share of Common Stock on the principal exchange on which shares of Common Stock are then trading, if any (as reported in any reporting service approved by the Committee), on the trading day previous to such date, or if shares were not traded on the trading day previous to such date, then on the next preceding date on which a trade occurred, or (ii) if Common Stock is not traded on an exchange but is quoted on Nasdaq or a successor quotation system, the mean between the closing representative bid and asked prices for the Common Stock on the trading day previous to such date as reported by Nasdaq or such successor quotation system; or (iii) if Common Stock is not publicly traded on an exchange and not quoted on Nasdaq or a successor quotation system, the Fair Market Value of a share of Common Stock as established by the Committee acting in good faith. Notwithstanding the foregoing, the Fair Market Value of a share of Common Stock on the date of an initial public offering of Common Stock shall be the offering price under such initial public offering.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i w:val="1"/>
          <w:iCs w:val="1"/>
          <w:color w:val="auto"/>
        </w:rPr>
        <w:t>Grantee</w:t>
      </w:r>
      <w:r>
        <w:rPr>
          <w:rFonts w:ascii="Arial" w:cs="Arial" w:eastAsia="Arial" w:hAnsi="Arial"/>
          <w:sz w:val="18"/>
          <w:szCs w:val="18"/>
          <w:color w:val="auto"/>
        </w:rPr>
        <w:t>. “Grantee” shall mean an Employee, Director or consultant granted a Performance Award, Dividend Equivalent, or Stock Payment, or an award of Deferred Stock, under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“Non-Qualified Stock Option” shall mean an Option which is not designated as an Incentive Stock Option by the Committee.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Option</w:t>
      </w:r>
      <w:r>
        <w:rPr>
          <w:rFonts w:ascii="Arial" w:cs="Arial" w:eastAsia="Arial" w:hAnsi="Arial"/>
          <w:sz w:val="18"/>
          <w:szCs w:val="18"/>
          <w:color w:val="auto"/>
        </w:rPr>
        <w:t>. “Option” shall mean a stock option granted under Article III of the Plan). An Option granted under the Plan shall, as determined by the Committee, be either a Non-Qualified Stock Option or an Incentive Stock Option; provided, however, that Options granted to Employees, Directors and consultants of an Affiliate that is not a Subsidiary shall be Non-Qualified Stock Options.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i w:val="1"/>
          <w:iCs w:val="1"/>
          <w:color w:val="auto"/>
        </w:rPr>
        <w:t>Optionee</w:t>
      </w:r>
      <w:r>
        <w:rPr>
          <w:rFonts w:ascii="Arial" w:cs="Arial" w:eastAsia="Arial" w:hAnsi="Arial"/>
          <w:sz w:val="16"/>
          <w:szCs w:val="16"/>
          <w:color w:val="auto"/>
        </w:rPr>
        <w:t>. “Optionee” shall mean an Employee, Director or consultant granted an Option under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Performance Award</w:t>
      </w:r>
      <w:r>
        <w:rPr>
          <w:rFonts w:ascii="Arial" w:cs="Arial" w:eastAsia="Arial" w:hAnsi="Arial"/>
          <w:sz w:val="18"/>
          <w:szCs w:val="18"/>
          <w:color w:val="auto"/>
        </w:rPr>
        <w:t>. “Performance Award” shall mean a performance or incentive award, other than an Option, Restricted Stock, Deferred Stock or Stock Payments, that is paid in cash, Common Stock or a combination of both, awarded under Article VII of the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2" w:name="page173"/>
    <w:bookmarkEnd w:id="172"/>
    <w:p>
      <w:pPr>
        <w:jc w:val="both"/>
        <w:ind w:firstLine="648"/>
        <w:spacing w:after="0" w:line="285" w:lineRule="auto"/>
        <w:rPr>
          <w:sz w:val="20"/>
          <w:szCs w:val="20"/>
          <w:color w:val="auto"/>
        </w:rPr>
      </w:pPr>
      <w:r>
        <w:rPr>
          <w:rFonts w:ascii="Arial" w:cs="Arial" w:eastAsia="Arial" w:hAnsi="Arial"/>
          <w:sz w:val="16"/>
          <w:szCs w:val="16"/>
          <w:color w:val="auto"/>
        </w:rPr>
        <w:t xml:space="preserve">1.20 </w:t>
      </w:r>
      <w:r>
        <w:rPr>
          <w:rFonts w:ascii="Arial" w:cs="Arial" w:eastAsia="Arial" w:hAnsi="Arial"/>
          <w:sz w:val="16"/>
          <w:szCs w:val="16"/>
          <w:i w:val="1"/>
          <w:iCs w:val="1"/>
          <w:color w:val="auto"/>
        </w:rPr>
        <w:t>Performance Objectives</w:t>
      </w:r>
      <w:r>
        <w:rPr>
          <w:rFonts w:ascii="Arial" w:cs="Arial" w:eastAsia="Arial" w:hAnsi="Arial"/>
          <w:sz w:val="16"/>
          <w:szCs w:val="16"/>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Participant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w:t>
      </w:r>
    </w:p>
    <w:p>
      <w:pPr>
        <w:spacing w:after="0" w:line="2" w:lineRule="exact"/>
        <w:rPr>
          <w:sz w:val="20"/>
          <w:szCs w:val="20"/>
          <w:color w:val="auto"/>
        </w:rPr>
      </w:pPr>
    </w:p>
    <w:p>
      <w:pPr>
        <w:jc w:val="both"/>
        <w:ind w:firstLine="8"/>
        <w:spacing w:after="0" w:line="252" w:lineRule="auto"/>
        <w:tabs>
          <w:tab w:leader="none" w:pos="26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Company’s common stock.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9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Plan</w:t>
      </w:r>
      <w:r>
        <w:rPr>
          <w:rFonts w:ascii="Arial" w:cs="Arial" w:eastAsia="Arial" w:hAnsi="Arial"/>
          <w:sz w:val="16"/>
          <w:szCs w:val="16"/>
          <w:color w:val="auto"/>
        </w:rPr>
        <w:t>. “Plan” shall mean the 2014 Equity Participation Plan of Civeo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QDRO</w:t>
      </w:r>
      <w:r>
        <w:rPr>
          <w:rFonts w:ascii="Arial" w:cs="Arial" w:eastAsia="Arial" w:hAnsi="Arial"/>
          <w:sz w:val="18"/>
          <w:szCs w:val="18"/>
          <w:color w:val="auto"/>
        </w:rPr>
        <w:t>. “QDRO” shall mean a qualified domestic relations order as defined by the Code or Title I of the Employee Retirement Income Security Act of 1974, as amended, or the rules thereunder.</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shall mean Common Stock awarded under Article VI of the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Restricted Stockholder</w:t>
      </w:r>
      <w:r>
        <w:rPr>
          <w:rFonts w:ascii="Arial" w:cs="Arial" w:eastAsia="Arial" w:hAnsi="Arial"/>
          <w:sz w:val="18"/>
          <w:szCs w:val="18"/>
          <w:color w:val="auto"/>
        </w:rPr>
        <w:t>. “Restricted Stockholder” shall mean an Employee, Director or consultant granted an award of Restricted Stock under Article VI of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i w:val="1"/>
          <w:iCs w:val="1"/>
          <w:color w:val="auto"/>
        </w:rPr>
        <w:t>Rule 16b-3</w:t>
      </w:r>
      <w:r>
        <w:rPr>
          <w:rFonts w:ascii="Arial" w:cs="Arial" w:eastAsia="Arial" w:hAnsi="Arial"/>
          <w:sz w:val="16"/>
          <w:szCs w:val="16"/>
          <w:color w:val="auto"/>
        </w:rPr>
        <w:t>. “Rule 16b-3” shall mean that certain Rule 16b-3 under the Exchange Act, as such Rule may be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Stock Payment</w:t>
      </w:r>
      <w:r>
        <w:rPr>
          <w:rFonts w:ascii="Arial" w:cs="Arial" w:eastAsia="Arial" w:hAnsi="Arial"/>
          <w:sz w:val="18"/>
          <w:szCs w:val="18"/>
          <w:color w:val="auto"/>
        </w:rPr>
        <w:t>.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stock possessing 50 percent or more of the total combined voting power of all classes of stock in one of the other corporations in such chain.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SUBJECT TO PLAN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Shares Subject to Plan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7" w:lineRule="auto"/>
        <w:tabs>
          <w:tab w:leader="none" w:pos="17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shares of stock subject to Options, awards of Restricted Stock, Performance Awards, Dividend Equivalents, awards of Deferred Stock, or Stock Payments shall be Common Stock. The aggregate number of such shares which may be issued upon exercise of such options or rights or upon any such awards under the Plan shall not exceed four million (4,000,000), subject to the requirements of Section 9.4. The shares of Common Stock issuable upon exercise of such options or rights or upon any such awards may be either previously authorized but unissued shares or treasury shares.</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7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maximum number of shares which may be subject to Options, Restricted Stock or Deferred Stock granted under the Plan to any individual in any calendar year shall not exceed the Award Limit. The maximum value of Performance Awards granted under the Plan to any individual in any calendar year shall not exceed $4,000,000.</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Add-back Restricted Stock Performance Awards, Dividend Equivalents, Awards of Deferred Stock or Stock Payments</w:t>
      </w:r>
      <w:r>
        <w:rPr>
          <w:rFonts w:ascii="Arial" w:cs="Arial" w:eastAsia="Arial" w:hAnsi="Arial"/>
          <w:sz w:val="16"/>
          <w:szCs w:val="16"/>
          <w:color w:val="auto"/>
        </w:rPr>
        <w:t>. If any Restricted Stock Performance Awards, Dividend Equivalents, Awards of Deferred Stock or Stock Payments, or other right to acquire shares of Common Stock under any other award under the Plan, expires or is forfeited and canceled without having been fully vested, the number of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may again be optioned, granted or awarded hereunder, subject to the limitations of Section 2.1. Notwithstanding the foregoing, shares of Common Stock subject to an award under the Plan shall not again be made available for issuance as awards under the Plan if such shares are (a) tendered in payment for an award,</w:t>
      </w:r>
    </w:p>
    <w:p>
      <w:pPr>
        <w:spacing w:after="0" w:line="3" w:lineRule="exact"/>
        <w:rPr>
          <w:sz w:val="20"/>
          <w:szCs w:val="20"/>
          <w:color w:val="auto"/>
        </w:rPr>
      </w:pPr>
    </w:p>
    <w:p>
      <w:pPr>
        <w:ind w:left="260" w:hanging="252"/>
        <w:spacing w:after="0"/>
        <w:tabs>
          <w:tab w:leader="none" w:pos="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delivered or withheld for payment of taxes, or (c) not issued or delivered as a result of a net settlement process.</w:t>
      </w:r>
    </w:p>
    <w:p>
      <w:pPr>
        <w:spacing w:after="0" w:line="210"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OF OPTIONS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Eligibility</w:t>
      </w:r>
      <w:r>
        <w:rPr>
          <w:rFonts w:ascii="Arial" w:cs="Arial" w:eastAsia="Arial" w:hAnsi="Arial"/>
          <w:sz w:val="16"/>
          <w:szCs w:val="16"/>
          <w:color w:val="auto"/>
        </w:rPr>
        <w:t>. Any Employee, Director or consultant selected by the Committee pursuant to Section 3.4(a)(i) shall be eligible to be granted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Disqualification for Stock Ownership</w:t>
      </w:r>
      <w:r>
        <w:rPr>
          <w:rFonts w:ascii="Arial" w:cs="Arial" w:eastAsia="Arial" w:hAnsi="Arial"/>
          <w:sz w:val="17"/>
          <w:szCs w:val="17"/>
          <w:color w:val="auto"/>
        </w:rPr>
        <w:t>. No person may be granted an Incentive Stock Option under the Plan if such person, at the time the Incentive Stock Option is granted, owns stock possessing more than ten percent (10%) of the total combined voting power of all classes of stock of the Company or any then existing Subsidiary unless such Incentive Stock Option conforms to the applicable provisions of Section 422 of the Code.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4" w:name="page175"/>
    <w:bookmarkEnd w:id="174"/>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Qualification of Incentive Stock Options</w:t>
      </w:r>
      <w:r>
        <w:rPr>
          <w:rFonts w:ascii="Arial" w:cs="Arial" w:eastAsia="Arial" w:hAnsi="Arial"/>
          <w:sz w:val="18"/>
          <w:szCs w:val="18"/>
          <w:color w:val="auto"/>
        </w:rPr>
        <w:t>. No Incentive Stock Option shall be granted unless such Option, when granted, qualifies as an “incentive stock option” under Section 422 of the Code. No Incentive Stock Option shall be granted to any person who is not an employee of the Company or a Subsidiary.</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Granting of Options</w:t>
      </w:r>
    </w:p>
    <w:p>
      <w:pPr>
        <w:spacing w:after="0" w:line="225" w:lineRule="exact"/>
        <w:rPr>
          <w:sz w:val="20"/>
          <w:szCs w:val="20"/>
          <w:color w:val="auto"/>
        </w:rPr>
      </w:pPr>
    </w:p>
    <w:p>
      <w:pPr>
        <w:ind w:left="1720" w:hanging="415"/>
        <w:spacing w:after="0"/>
        <w:tabs>
          <w:tab w:leader="none" w:pos="1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the Plan: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70" w:lineRule="exact"/>
        <w:rPr>
          <w:rFonts w:ascii="Arial" w:cs="Arial" w:eastAsia="Arial" w:hAnsi="Arial"/>
          <w:sz w:val="18"/>
          <w:szCs w:val="18"/>
          <w:color w:val="auto"/>
        </w:rPr>
      </w:pPr>
    </w:p>
    <w:p>
      <w:pPr>
        <w:ind w:left="1300" w:firstLine="653"/>
        <w:spacing w:after="0" w:line="277" w:lineRule="auto"/>
        <w:tabs>
          <w:tab w:leader="none" w:pos="239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Employees, Directors or consultants;</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Determine whether such Options are to be Incentive Stock Options or Non-Qualified Stock Options; and</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Determine the terms and conditions of such Options, consistent with the Plan.</w:t>
      </w:r>
    </w:p>
    <w:p>
      <w:pPr>
        <w:spacing w:after="0" w:line="225" w:lineRule="exact"/>
        <w:rPr>
          <w:rFonts w:ascii="Arial" w:cs="Arial" w:eastAsia="Arial" w:hAnsi="Arial"/>
          <w:sz w:val="18"/>
          <w:szCs w:val="18"/>
          <w:color w:val="auto"/>
        </w:rPr>
      </w:pPr>
    </w:p>
    <w:p>
      <w:pPr>
        <w:ind w:left="660" w:firstLine="645"/>
        <w:spacing w:after="0" w:line="277" w:lineRule="auto"/>
        <w:tabs>
          <w:tab w:leader="none" w:pos="177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70" w:lineRule="exact"/>
        <w:rPr>
          <w:rFonts w:ascii="Arial" w:cs="Arial" w:eastAsia="Arial" w:hAnsi="Arial"/>
          <w:sz w:val="18"/>
          <w:szCs w:val="18"/>
          <w:color w:val="auto"/>
        </w:rPr>
      </w:pPr>
    </w:p>
    <w:p>
      <w:pPr>
        <w:ind w:left="660" w:firstLine="645"/>
        <w:spacing w:after="0" w:line="277" w:lineRule="auto"/>
        <w:tabs>
          <w:tab w:leader="none" w:pos="173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Incentive Stock Option granted under the Plan may be modified by the Committee to disqualify such option from treatment as an “incentive stock option” under Section 422 of the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Option Agreement</w:t>
      </w:r>
      <w:r>
        <w:rPr>
          <w:rFonts w:ascii="Arial" w:cs="Arial" w:eastAsia="Arial" w:hAnsi="Arial"/>
          <w:sz w:val="17"/>
          <w:szCs w:val="17"/>
          <w:color w:val="auto"/>
        </w:rPr>
        <w:t>. Each Option shall be evidenced by a Stock Option Agreement, which shall be executed by the Optionee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Option Price</w:t>
      </w:r>
      <w:r>
        <w:rPr>
          <w:rFonts w:ascii="Arial" w:cs="Arial" w:eastAsia="Arial" w:hAnsi="Arial"/>
          <w:sz w:val="18"/>
          <w:szCs w:val="18"/>
          <w:color w:val="auto"/>
        </w:rPr>
        <w:t>. The price per share of the shares subject to each Option shall be set by the Committee; provided, however, that, except as provided in Section 8.1 with respect to assumed options, such price shall not be less than 100% of the Fair Market Value of a share of Common Stock on the date the Option is granted.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5" w:name="page176"/>
    <w:bookmarkEnd w:id="175"/>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Option Term</w:t>
      </w:r>
      <w:r>
        <w:rPr>
          <w:rFonts w:ascii="Arial" w:cs="Arial" w:eastAsia="Arial" w:hAnsi="Arial"/>
          <w:sz w:val="18"/>
          <w:szCs w:val="18"/>
          <w:color w:val="auto"/>
        </w:rPr>
        <w:t>. The term of an Option shall be set by the Committee in its discretion; provided, however, that in the case of Incentive Stock Options, the term shall not be more than ten (10) years from the date the Incentive Stock Option is granted, or five (5) years from such date if the Incentive Stock Option is granted to an individual then owning (within the meaning of Section 424(d) of the Code) more than 10% of the total combined voting power of all classes of stock of the Company or any Subsidiary).</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Option Vesting</w:t>
      </w:r>
    </w:p>
    <w:p>
      <w:pPr>
        <w:spacing w:after="0" w:line="225" w:lineRule="exact"/>
        <w:rPr>
          <w:sz w:val="20"/>
          <w:szCs w:val="20"/>
          <w:color w:val="auto"/>
        </w:rPr>
      </w:pPr>
    </w:p>
    <w:p>
      <w:pPr>
        <w:jc w:val="both"/>
        <w:ind w:left="660" w:firstLine="645"/>
        <w:spacing w:after="0" w:line="259" w:lineRule="auto"/>
        <w:tabs>
          <w:tab w:leader="none" w:pos="17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vests.</w:t>
      </w:r>
    </w:p>
    <w:p>
      <w:pPr>
        <w:spacing w:after="0" w:line="186" w:lineRule="exact"/>
        <w:rPr>
          <w:rFonts w:ascii="Arial" w:cs="Arial" w:eastAsia="Arial" w:hAnsi="Arial"/>
          <w:sz w:val="18"/>
          <w:szCs w:val="18"/>
          <w:color w:val="auto"/>
        </w:rPr>
      </w:pPr>
    </w:p>
    <w:p>
      <w:pPr>
        <w:jc w:val="both"/>
        <w:ind w:left="660" w:firstLine="645"/>
        <w:spacing w:after="0" w:line="273" w:lineRule="auto"/>
        <w:tabs>
          <w:tab w:leader="none" w:pos="179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stock shall be determined as of the time the Option with respect to such stock is granted.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Restrictions on Repricing of Options</w:t>
      </w:r>
      <w:r>
        <w:rPr>
          <w:rFonts w:ascii="Arial" w:cs="Arial" w:eastAsia="Arial" w:hAnsi="Arial"/>
          <w:sz w:val="18"/>
          <w:szCs w:val="18"/>
          <w:color w:val="auto"/>
        </w:rPr>
        <w:t>. Except as provided in Section 9.3, the Committee may not, without approval of the Company’s stockholders, amend any outstanding Stock Option Agreement to lower the Option price of an underwater Option or cancel an outstanding underwater Option in exchange for cash, another award or an Option having a lower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Partial Exercise</w:t>
      </w:r>
      <w:r>
        <w:rPr>
          <w:rFonts w:ascii="Arial" w:cs="Arial" w:eastAsia="Arial" w:hAnsi="Arial"/>
          <w:sz w:val="17"/>
          <w:szCs w:val="17"/>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or his office:</w:t>
      </w:r>
    </w:p>
    <w:p>
      <w:pPr>
        <w:spacing w:after="0" w:line="170" w:lineRule="exact"/>
        <w:rPr>
          <w:sz w:val="20"/>
          <w:szCs w:val="20"/>
          <w:color w:val="auto"/>
        </w:rPr>
      </w:pPr>
    </w:p>
    <w:p>
      <w:pPr>
        <w:ind w:left="660" w:firstLine="645"/>
        <w:spacing w:after="0" w:line="277" w:lineRule="auto"/>
        <w:tabs>
          <w:tab w:leader="none" w:pos="179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6" w:name="page177"/>
    <w:bookmarkEnd w:id="176"/>
    <w:p>
      <w:pPr>
        <w:jc w:val="both"/>
        <w:ind w:left="660" w:firstLine="645"/>
        <w:spacing w:after="0" w:line="279" w:lineRule="auto"/>
        <w:tabs>
          <w:tab w:leader="none" w:pos="178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71" w:lineRule="exact"/>
        <w:rPr>
          <w:rFonts w:ascii="Arial" w:cs="Arial" w:eastAsia="Arial" w:hAnsi="Arial"/>
          <w:sz w:val="17"/>
          <w:szCs w:val="17"/>
          <w:color w:val="auto"/>
        </w:rPr>
      </w:pPr>
    </w:p>
    <w:p>
      <w:pPr>
        <w:ind w:left="660" w:firstLine="645"/>
        <w:spacing w:after="0" w:line="277" w:lineRule="auto"/>
        <w:tabs>
          <w:tab w:leader="none" w:pos="17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9.1 by any person or persons other than the Optionee, appropriate proof of the right of such person or persons to exercise the Option; and</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178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Full cash payment to the Secretary of the Company for the shares with respect to which the Option, or portion thereof, is exercised. However, the Committee may in its discretion or provide in the grant agreement (i) that payment may be made, in whole or in part, through the delivery of shares of Common Stock owned by the Optionee, duly endorsed for transfer to the Company, with a Fair Market Value on the date of delivery not in excess of the aggregate exercise price of the Option or exercised portion thereof and subject to such other limitations as the Committee may impose thereon, (ii) allow payment, in whole or in part, through the surrender of shares of Common Stock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Stock Certificates</w:t>
      </w:r>
      <w:r>
        <w:rPr>
          <w:rFonts w:ascii="Arial" w:cs="Arial" w:eastAsia="Arial" w:hAnsi="Arial"/>
          <w:sz w:val="18"/>
          <w:szCs w:val="18"/>
          <w:color w:val="auto"/>
        </w:rPr>
        <w:t>. The Company shall not be required to issue or deliver any certificate or certificates for shares of stock purchased upon the exercise of any Option or portion thereof prior to fulfillment of all of the following conditions:</w:t>
      </w:r>
    </w:p>
    <w:p>
      <w:pPr>
        <w:spacing w:after="0" w:line="170" w:lineRule="exact"/>
        <w:rPr>
          <w:sz w:val="20"/>
          <w:szCs w:val="20"/>
          <w:color w:val="auto"/>
        </w:rPr>
      </w:pPr>
    </w:p>
    <w:p>
      <w:pPr>
        <w:ind w:left="1720" w:hanging="415"/>
        <w:spacing w:after="0"/>
        <w:tabs>
          <w:tab w:leader="none" w:pos="1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225" w:lineRule="exact"/>
        <w:rPr>
          <w:rFonts w:ascii="Arial" w:cs="Arial" w:eastAsia="Arial" w:hAnsi="Arial"/>
          <w:sz w:val="18"/>
          <w:szCs w:val="18"/>
          <w:color w:val="auto"/>
        </w:rPr>
      </w:pPr>
    </w:p>
    <w:p>
      <w:pPr>
        <w:jc w:val="both"/>
        <w:ind w:left="660" w:right="20" w:firstLine="645"/>
        <w:spacing w:after="0" w:line="264" w:lineRule="auto"/>
        <w:tabs>
          <w:tab w:leader="none" w:pos="18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81" w:lineRule="exact"/>
        <w:rPr>
          <w:rFonts w:ascii="Arial" w:cs="Arial" w:eastAsia="Arial" w:hAnsi="Arial"/>
          <w:sz w:val="18"/>
          <w:szCs w:val="18"/>
          <w:color w:val="auto"/>
        </w:rPr>
      </w:pPr>
    </w:p>
    <w:p>
      <w:pPr>
        <w:ind w:left="660" w:firstLine="645"/>
        <w:spacing w:after="0" w:line="277" w:lineRule="auto"/>
        <w:tabs>
          <w:tab w:leader="none" w:pos="1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7" w:name="page178"/>
    <w:bookmarkEnd w:id="177"/>
    <w:p>
      <w:pPr>
        <w:ind w:left="660" w:firstLine="645"/>
        <w:spacing w:after="0" w:line="277" w:lineRule="auto"/>
        <w:tabs>
          <w:tab w:leader="none" w:pos="17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establish from time to time for reasons of administrative convenience; and</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Rights as Stockholders</w:t>
      </w:r>
      <w:r>
        <w:rPr>
          <w:rFonts w:ascii="Arial" w:cs="Arial" w:eastAsia="Arial" w:hAnsi="Arial"/>
          <w:sz w:val="18"/>
          <w:szCs w:val="18"/>
          <w:color w:val="auto"/>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Ownership and Transfer Restrictions</w:t>
      </w:r>
      <w:r>
        <w:rPr>
          <w:rFonts w:ascii="Arial" w:cs="Arial" w:eastAsia="Arial" w:hAnsi="Arial"/>
          <w:sz w:val="17"/>
          <w:szCs w:val="17"/>
          <w:color w:val="auto"/>
        </w:rPr>
        <w:t>. The Committee,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evidencing such shares. The Committee may require the Optionee to give the Company prompt notice of any disposition of shares of Common Stock acquired by exercise of an Incentive Stock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STOCK</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Award of Restricted Stock</w:t>
      </w:r>
    </w:p>
    <w:p>
      <w:pPr>
        <w:spacing w:after="0" w:line="225" w:lineRule="exact"/>
        <w:rPr>
          <w:sz w:val="20"/>
          <w:szCs w:val="20"/>
          <w:color w:val="auto"/>
        </w:rPr>
      </w:pPr>
    </w:p>
    <w:p>
      <w:pPr>
        <w:ind w:left="1720" w:hanging="415"/>
        <w:spacing w:after="0"/>
        <w:tabs>
          <w:tab w:leader="none" w:pos="1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other awards under the Plan) such of them as in its opinion should be awarded Restricted Stock; and</w:t>
      </w:r>
    </w:p>
    <w:p>
      <w:pPr>
        <w:spacing w:after="0" w:line="170" w:lineRule="exact"/>
        <w:rPr>
          <w:rFonts w:ascii="Arial" w:cs="Arial" w:eastAsia="Arial" w:hAnsi="Arial"/>
          <w:sz w:val="18"/>
          <w:szCs w:val="18"/>
          <w:color w:val="auto"/>
        </w:rPr>
      </w:pPr>
    </w:p>
    <w:p>
      <w:pPr>
        <w:ind w:left="1300" w:right="20" w:firstLine="653"/>
        <w:spacing w:after="0" w:line="277" w:lineRule="auto"/>
        <w:tabs>
          <w:tab w:leader="none" w:pos="247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Determine the terms and conditions applicable to such Restricted Stock, consistent with the Plan, which may include the achievement of Performance Objectives.</w:t>
      </w:r>
    </w:p>
    <w:p>
      <w:pPr>
        <w:spacing w:after="0" w:line="170" w:lineRule="exact"/>
        <w:rPr>
          <w:rFonts w:ascii="Arial" w:cs="Arial" w:eastAsia="Arial" w:hAnsi="Arial"/>
          <w:sz w:val="18"/>
          <w:szCs w:val="18"/>
          <w:color w:val="auto"/>
        </w:rPr>
      </w:pPr>
    </w:p>
    <w:p>
      <w:pPr>
        <w:ind w:left="660" w:right="20" w:firstLine="645"/>
        <w:spacing w:after="0" w:line="342" w:lineRule="auto"/>
        <w:tabs>
          <w:tab w:leader="none" w:pos="175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Upon the selection of an Employee, Director or consultant to be awarded Restricted Stock, the Committee shall instruct the Secretary of the Company to issue such Restricted Stock and may impose such conditions on the issuance of such Restricted Stock as it deems appropriate.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Stock Agreement</w:t>
      </w:r>
      <w:r>
        <w:rPr>
          <w:rFonts w:ascii="Arial" w:cs="Arial" w:eastAsia="Arial" w:hAnsi="Arial"/>
          <w:sz w:val="18"/>
          <w:szCs w:val="18"/>
          <w:color w:val="auto"/>
        </w:rPr>
        <w:t>. Restricted Stock shall be issued only pursuant to a Restricted Stock Agreement, which shall be executed by the selected Employee, Director or consultant and an authorized officer of the Company and which shall contain such terms and conditions as the Committee shall determine, consistent with the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8" w:name="page179"/>
    <w:bookmarkEnd w:id="178"/>
    <w:p>
      <w:pPr>
        <w:jc w:val="both"/>
        <w:ind w:firstLine="648"/>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Rights as Stockholders</w:t>
      </w:r>
      <w:r>
        <w:rPr>
          <w:rFonts w:ascii="Arial" w:cs="Arial" w:eastAsia="Arial" w:hAnsi="Arial"/>
          <w:sz w:val="17"/>
          <w:szCs w:val="17"/>
          <w:color w:val="auto"/>
        </w:rPr>
        <w:t>. Upon the issuance of Restricted Stock, the Restricted Stockholder shall have, unless otherwise provided by the Committee, all the rights of a stockholder with respect to said shares, subject to the restrictions in his Restricted Stock Agreement, including the right to receive all dividends and other distributions paid or made with respect to the shares; provided, however, that in the discretion of the Committee, any extraordinary distributions with respect to the Common Stock shall be subject to the restrictions set forth in Section 6.4.</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Restriction</w:t>
      </w:r>
      <w:r>
        <w:rPr>
          <w:rFonts w:ascii="Arial" w:cs="Arial" w:eastAsia="Arial" w:hAnsi="Arial"/>
          <w:sz w:val="18"/>
          <w:szCs w:val="18"/>
          <w:color w:val="auto"/>
        </w:rPr>
        <w:t>. All shares of Restricted Stock issued under the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Stock is issued, the Committee may, on such terms and conditions as it may determine to be appropriate, remove any or all of the restrictions imposed by the terms of the Restricted Stock Agreement. Restricted Stock may not be sold or encumbered until all restrictions are terminated or expire.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Escrow</w:t>
      </w:r>
      <w:r>
        <w:rPr>
          <w:rFonts w:ascii="Arial" w:cs="Arial" w:eastAsia="Arial" w:hAnsi="Arial"/>
          <w:sz w:val="18"/>
          <w:szCs w:val="18"/>
          <w:color w:val="auto"/>
        </w:rPr>
        <w:t>. Where physical share certificates of Restricted Stock are issued,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Legend</w:t>
      </w:r>
      <w:r>
        <w:rPr>
          <w:rFonts w:ascii="Arial" w:cs="Arial" w:eastAsia="Arial" w:hAnsi="Arial"/>
          <w:sz w:val="16"/>
          <w:szCs w:val="16"/>
          <w:color w:val="auto"/>
        </w:rPr>
        <w:t>. Where physical share certificates of Restricted Stock are issued, in order to enforce the restrictions imposed upon shares of Restricted Stock hereunder, the Committee shall cause a legend or legends to be placed on certificates representing all shares of Restricted Stock that are still subject to restrictions under Restricted Stock Agreements, which legend or legends shall make appropriate reference to the conditions imposed thereby.</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Form of Issuance</w:t>
      </w:r>
      <w:r>
        <w:rPr>
          <w:rFonts w:ascii="Arial" w:cs="Arial" w:eastAsia="Arial" w:hAnsi="Arial"/>
          <w:sz w:val="18"/>
          <w:szCs w:val="18"/>
          <w:color w:val="auto"/>
        </w:rPr>
        <w:t>. Restricted Stock issued under the Plan may, in the discretion of the Committee, be by means of an electronic, book-entry statement, rather than by issuing physical share certificates.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PERFORMANCE AWARDS, DIVIDEND EQUIVALENTS,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DEFERRED STOCK, STOCK PAYMENTS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Performance Awards</w:t>
      </w:r>
      <w:r>
        <w:rPr>
          <w:rFonts w:ascii="Arial" w:cs="Arial" w:eastAsia="Arial" w:hAnsi="Arial"/>
          <w:sz w:val="16"/>
          <w:szCs w:val="16"/>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9" w:name="page180"/>
    <w:bookmarkEnd w:id="179"/>
    <w:p>
      <w:pPr>
        <w:jc w:val="both"/>
        <w:ind w:firstLine="648"/>
        <w:spacing w:after="0" w:line="29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Dividend Equivalents</w:t>
      </w:r>
      <w:r>
        <w:rPr>
          <w:rFonts w:ascii="Arial" w:cs="Arial" w:eastAsia="Arial" w:hAnsi="Arial"/>
          <w:sz w:val="16"/>
          <w:szCs w:val="16"/>
          <w:color w:val="auto"/>
        </w:rPr>
        <w:t>. Any Employee, Director or consultant selected by the Committee may be granted Dividend Equivalents based on the dividends declared on Common Stock, to be credited as of dividend payment dates, during the period between the date, Deferred Stock or Performance Award is granted, and the date such Deferred Stock or Performance Award vests or expires, as determined by the Committee. Such Dividend Equivalents shall be converted to cash or additional shares of Common Stock by such formula and at such time and subject to such limitations as may be determined by the Committee. Dividend Equivalents shall not be paid out prior to the time the underlying Deferred Stock or Performance Award vests.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Stock Payments</w:t>
      </w:r>
      <w:r>
        <w:rPr>
          <w:rFonts w:ascii="Arial" w:cs="Arial" w:eastAsia="Arial" w:hAnsi="Arial"/>
          <w:sz w:val="18"/>
          <w:szCs w:val="18"/>
          <w:color w:val="auto"/>
        </w:rPr>
        <w:t>. Any Employee, Director or consultant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Stock or other specific performance criteria determined appropriate by the Committee, determined on the date such Stock Payment is made or on any date thereafter.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Deferred Stock</w:t>
      </w:r>
      <w:r>
        <w:rPr>
          <w:rFonts w:ascii="Arial" w:cs="Arial" w:eastAsia="Arial" w:hAnsi="Arial"/>
          <w:sz w:val="18"/>
          <w:szCs w:val="18"/>
          <w:color w:val="auto"/>
        </w:rPr>
        <w:t>. Any Employee, Director or consultant selected by the Committee may be granted an award of Deferred Stock in the manner determined from time to time by the Committee. The number of shares of Deferred Stock shall be determined by the Committee and may be linked to the achievement of such specific Performance Objectives determined to be appropriate by the Committee over any period or periods determined by the Committee. Common Stock underlying a Deferred Stock award will not be issued until the Deferred Stock award has vested, pursuant to a vesting schedule or Performance Objectives set by the Committee, as the case may be. Unless otherwise provided by the Committee, a Grantee of Deferred Stock shall have no rights as a Company stockholder with respect to such Deferred Stock until such time as the award has vested and the Common Stock underlying the award has been issued.</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w:t>
      </w:r>
      <w:r>
        <w:rPr>
          <w:rFonts w:ascii="Arial" w:cs="Arial" w:eastAsia="Arial" w:hAnsi="Arial"/>
          <w:sz w:val="16"/>
          <w:szCs w:val="16"/>
          <w:color w:val="auto"/>
        </w:rPr>
        <w:t>, Dividend Equivalent Agreement, Deferred Stock Agreement, Stock Payment Agreement. Each Performance Award, Dividend Equivalent, award of Deferred Stock and/or Stock Payment shall be evidenced by an agreement, which shall be executed by the Grantee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The term of a Performance Award, Dividend Equivalent, award of Deferred Stock and/or Stock Payment shall be set by the Committee in its discretion.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Payment Upon Termination of Employment</w:t>
      </w:r>
      <w:r>
        <w:rPr>
          <w:rFonts w:ascii="Arial" w:cs="Arial" w:eastAsia="Arial" w:hAnsi="Arial"/>
          <w:sz w:val="16"/>
          <w:szCs w:val="16"/>
          <w:color w:val="auto"/>
        </w:rPr>
        <w:t>. A Performance Award, Dividend Equivalent, award of Deferred Stock and/or Stock Payment is payable only while the Grantee is an Employee, Director or consultant; provided that the Committee may determine that the Performance Award, Dividend Equivalent, award of Deferred Stock and/or Stock Payment may be paid subsequent to termination of employment or termination of directorship or consultancy without cause, or following a change in control of the Company, or because of the Grantee’s retirement, death or disability,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0" w:name="page181"/>
    <w:bookmarkEnd w:id="180"/>
    <w:p>
      <w:pPr>
        <w:jc w:val="both"/>
        <w:ind w:right="20"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w:t>
      </w:r>
      <w:r>
        <w:rPr>
          <w:rFonts w:ascii="Arial" w:cs="Arial" w:eastAsia="Arial" w:hAnsi="Arial"/>
          <w:sz w:val="18"/>
          <w:szCs w:val="18"/>
          <w:color w:val="auto"/>
        </w:rPr>
        <w:t>. Payment of the amount determined under Section 7.1 or 7.2 above shall be in cash, in Common Stock or a combination of both, as determined by the Committee. To the extent any payment under this Article VII is effected in Common Stock, it shall be made subject to satisfaction of all provisions of Section 5.3.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Committee</w:t>
      </w:r>
      <w:r>
        <w:rPr>
          <w:rFonts w:ascii="Arial" w:cs="Arial" w:eastAsia="Arial" w:hAnsi="Arial"/>
          <w:sz w:val="18"/>
          <w:szCs w:val="18"/>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Duties and Powers of Committee</w:t>
      </w:r>
      <w:r>
        <w:rPr>
          <w:rFonts w:ascii="Arial" w:cs="Arial" w:eastAsia="Arial" w:hAnsi="Arial"/>
          <w:sz w:val="17"/>
          <w:szCs w:val="17"/>
          <w:color w:val="auto"/>
        </w:rPr>
        <w:t>. It shall be the duty of the Committee to conduct the general administration of the Plan in accordance with its provisions. The Committee shall have the power to interpret the Plan and the agreements pursuant to which Options, awards of Restricted Stock or Deferred Stock, Performance Awards, Dividend Equivalents or Stock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Compensation; Professional Assistance, Good Faith Actions</w:t>
      </w:r>
      <w:r>
        <w:rPr>
          <w:rFonts w:ascii="Arial" w:cs="Arial" w:eastAsia="Arial" w:hAnsi="Arial"/>
          <w:sz w:val="17"/>
          <w:szCs w:val="17"/>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the Plan, Options, awards of Restricted Stock or Deferred Stock, Performance Awards, Dividend Equivalents or Stock Payments, and all members of the Committee and the Board shall be fully protected by the Company in respect of any such action, determination or interpretation.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1" w:name="page182"/>
    <w:bookmarkEnd w:id="181"/>
    <w:p>
      <w:pPr>
        <w:jc w:val="both"/>
        <w:ind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Delegation of Authority by the Committee</w:t>
      </w:r>
      <w:r>
        <w:rPr>
          <w:rFonts w:ascii="Arial" w:cs="Arial" w:eastAsia="Arial" w:hAnsi="Arial"/>
          <w:sz w:val="18"/>
          <w:szCs w:val="18"/>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 Transferable</w:t>
      </w:r>
      <w:r>
        <w:rPr>
          <w:rFonts w:ascii="Arial" w:cs="Arial" w:eastAsia="Arial" w:hAnsi="Arial"/>
          <w:sz w:val="17"/>
          <w:szCs w:val="17"/>
          <w:color w:val="auto"/>
        </w:rPr>
        <w:t>. Except as provided below, Options, Restricted Stock awards, Deferred Stock awards, Performance Awards, Dividend Equivalents or Stock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Deferred Stock award, Performance Award,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Stock Option to such family members and persons as may be permitted by this Committee, subject to such restrictions and limitations, if any, that the Committee, in its discretion, may impose on such transfer.</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2" w:name="page183"/>
    <w:bookmarkEnd w:id="182"/>
    <w:p>
      <w:pPr>
        <w:jc w:val="both"/>
        <w:ind w:firstLine="648"/>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Amendment, Suspension or Termination of the Plan</w:t>
      </w:r>
      <w:r>
        <w:rPr>
          <w:rFonts w:ascii="Arial" w:cs="Arial" w:eastAsia="Arial" w:hAnsi="Arial"/>
          <w:sz w:val="16"/>
          <w:szCs w:val="16"/>
          <w:color w:val="auto"/>
        </w:rPr>
        <w:t>. This Plan may be wholly or partially amended or otherwise modified, suspended or terminated at any time or from time to time by the Board or the Committee. However, without approval of the Company’s stockholders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and no action of the Committee may be taken that would otherwise require stockholder approval as a matter of applicable law, regulation or rule. No amendment, suspension or termination of the Plan shall, without the consent of the holder of Options, Restricted Stock awards, Deferred Stock awards, Performance Awards, Dividend Equivalents or Stock Payments, materially alter or impair any rights or obligations under any Options, Restricted Stock awards, Deferred Stock awards, Performance Awards, Dividend Equivalents or Stock Payments theretofore granted or awarded, unless the award itself otherwise expressly so provides. No Options, Restricted Stock, Deferred Stock, Performance Awards, Dividend Equivalents or Stock Payments may be granted or awarded during any period of suspension or after termination of the Plan, and in no event may any Incentive Stock Option be granted under the Plan after the first to occur of the following events:</w:t>
      </w:r>
    </w:p>
    <w:p>
      <w:pPr>
        <w:spacing w:after="0" w:line="169" w:lineRule="exact"/>
        <w:rPr>
          <w:sz w:val="20"/>
          <w:szCs w:val="20"/>
          <w:color w:val="auto"/>
        </w:rPr>
      </w:pPr>
    </w:p>
    <w:p>
      <w:pPr>
        <w:ind w:left="1720" w:hanging="415"/>
        <w:spacing w:after="0"/>
        <w:tabs>
          <w:tab w:leader="none" w:pos="1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adopted by the Board;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is approved by the Company’s stockholders under Section 9.4.</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3" w:lineRule="auto"/>
        <w:tabs>
          <w:tab w:leader="none" w:pos="17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Section 9.3(e),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Dividend Equivalent, Deferred Stock award or Stock Payment, then the Committee shall, in such manner as it may deem equitable, adjust any or all of</w:t>
      </w:r>
    </w:p>
    <w:p>
      <w:pPr>
        <w:spacing w:after="0" w:line="197" w:lineRule="exact"/>
        <w:rPr>
          <w:rFonts w:ascii="Arial" w:cs="Arial" w:eastAsia="Arial" w:hAnsi="Arial"/>
          <w:sz w:val="18"/>
          <w:szCs w:val="18"/>
          <w:color w:val="auto"/>
        </w:rPr>
      </w:pPr>
    </w:p>
    <w:p>
      <w:pPr>
        <w:jc w:val="both"/>
        <w:ind w:left="1300" w:firstLine="653"/>
        <w:spacing w:after="0" w:line="259" w:lineRule="auto"/>
        <w:tabs>
          <w:tab w:leader="none" w:pos="234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Options, Performance Awards, Dividend Equivalents or Stock Payments may be granted under the Plan, or which may be granted as Restricted Stock or Deferred Stock (including, but not limited to, adjustments of the limitations in Section 2.1 on the maximum number and kind of shares which may be issued and adjustments of the Award Limit),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83" w:name="page184"/>
    <w:bookmarkEnd w:id="183"/>
    <w:p>
      <w:pPr>
        <w:jc w:val="both"/>
        <w:ind w:left="640" w:firstLine="653"/>
        <w:spacing w:after="0" w:line="264" w:lineRule="auto"/>
        <w:tabs>
          <w:tab w:leader="none" w:pos="19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Options, Performance Awards, Dividend Equivalents, or Stock Payments, and in the number and kind of shares of outstanding Restricted Stock or Deferred Stock, and</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grant or exercise price with respect to any Option, Performance Award, Dividend Equivalent or Stock Payment.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or any successor accounting standard, such adjustment by the Committee shall be required.</w:t>
      </w:r>
    </w:p>
    <w:p>
      <w:pPr>
        <w:spacing w:after="0" w:line="181" w:lineRule="exact"/>
        <w:rPr>
          <w:sz w:val="20"/>
          <w:szCs w:val="20"/>
          <w:color w:val="auto"/>
        </w:rPr>
      </w:pPr>
    </w:p>
    <w:p>
      <w:pPr>
        <w:jc w:val="both"/>
        <w:ind w:firstLine="645"/>
        <w:spacing w:after="0" w:line="279" w:lineRule="auto"/>
        <w:tabs>
          <w:tab w:leader="none" w:pos="108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which results in shares of Common Stock being exchanged for or converted into cash, securities (including securities of another corporation) or other property, the Committee will have the right to terminate the Plan as of the date of the event or transaction, in which case all options, rights and other awards granted under the Plan shall become the right to receive such cash, securities or other property, net of any applicable exercise price.</w:t>
      </w:r>
    </w:p>
    <w:p>
      <w:pPr>
        <w:spacing w:after="0" w:line="171" w:lineRule="exact"/>
        <w:rPr>
          <w:rFonts w:ascii="Arial" w:cs="Arial" w:eastAsia="Arial" w:hAnsi="Arial"/>
          <w:sz w:val="17"/>
          <w:szCs w:val="17"/>
          <w:color w:val="auto"/>
        </w:rPr>
      </w:pPr>
    </w:p>
    <w:p>
      <w:pPr>
        <w:jc w:val="both"/>
        <w:ind w:firstLine="645"/>
        <w:spacing w:after="0" w:line="273" w:lineRule="auto"/>
        <w:tabs>
          <w:tab w:leader="none" w:pos="118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78" w:lineRule="exact"/>
        <w:rPr>
          <w:rFonts w:ascii="Arial" w:cs="Arial" w:eastAsia="Arial" w:hAnsi="Arial"/>
          <w:sz w:val="17"/>
          <w:szCs w:val="17"/>
          <w:color w:val="auto"/>
        </w:rPr>
      </w:pPr>
    </w:p>
    <w:p>
      <w:pPr>
        <w:jc w:val="both"/>
        <w:ind w:left="640" w:firstLine="653"/>
        <w:spacing w:after="0" w:line="297" w:lineRule="auto"/>
        <w:tabs>
          <w:tab w:leader="none" w:pos="170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Performance Award, Dividend Equivalent, or Stock Payment, or any Restricted Stock or Deferred Stock for an amount of cash equal to the amount that could have been attained upon the exercise of such option, right or award or realization of the Optionee’s rights had such option, right or award been currently exercisable or payable or the replacement of such option, right or award with other rights or property selected by the Committee in its sole discretion;</w:t>
      </w:r>
    </w:p>
    <w:p>
      <w:pPr>
        <w:spacing w:after="0" w:line="158" w:lineRule="exact"/>
        <w:rPr>
          <w:rFonts w:ascii="Arial" w:cs="Arial" w:eastAsia="Arial" w:hAnsi="Arial"/>
          <w:sz w:val="16"/>
          <w:szCs w:val="16"/>
          <w:color w:val="auto"/>
        </w:rPr>
      </w:pPr>
    </w:p>
    <w:p>
      <w:pPr>
        <w:jc w:val="both"/>
        <w:ind w:left="640" w:firstLine="653"/>
        <w:spacing w:after="0" w:line="264" w:lineRule="auto"/>
        <w:tabs>
          <w:tab w:leader="none" w:pos="181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may provide, either by the terms of such Option, Performance Award, Dividend Equivalent, or Stock Payment, or Restricted Stock or Deferred Stock or by action taken prior to the occurrence of such transaction or event that it cannot be exercised after such event;</w:t>
      </w: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184" w:name="page185"/>
    <w:bookmarkEnd w:id="184"/>
    <w:p>
      <w:pPr>
        <w:jc w:val="both"/>
        <w:ind w:left="100" w:firstLine="653"/>
        <w:spacing w:after="0" w:line="297" w:lineRule="auto"/>
        <w:tabs>
          <w:tab w:leader="none" w:pos="128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Performance Award, Dividend Equivalent, or Stock Payment, or Restricted Stock or Deferred Stock;</w:t>
      </w:r>
    </w:p>
    <w:p>
      <w:pPr>
        <w:spacing w:after="0" w:line="158" w:lineRule="exact"/>
        <w:rPr>
          <w:rFonts w:ascii="Arial" w:cs="Arial" w:eastAsia="Arial" w:hAnsi="Arial"/>
          <w:sz w:val="16"/>
          <w:szCs w:val="16"/>
          <w:color w:val="auto"/>
        </w:rPr>
      </w:pPr>
    </w:p>
    <w:p>
      <w:pPr>
        <w:jc w:val="both"/>
        <w:ind w:left="100" w:firstLine="653"/>
        <w:spacing w:after="0" w:line="297" w:lineRule="auto"/>
        <w:tabs>
          <w:tab w:leader="none" w:pos="125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58" w:lineRule="exact"/>
        <w:rPr>
          <w:rFonts w:ascii="Arial" w:cs="Arial" w:eastAsia="Arial" w:hAnsi="Arial"/>
          <w:sz w:val="16"/>
          <w:szCs w:val="16"/>
          <w:color w:val="auto"/>
        </w:rPr>
      </w:pPr>
    </w:p>
    <w:p>
      <w:pPr>
        <w:jc w:val="both"/>
        <w:ind w:left="100" w:firstLine="653"/>
        <w:spacing w:after="0" w:line="257" w:lineRule="auto"/>
        <w:tabs>
          <w:tab w:leader="none" w:pos="126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in the number and type of shares of Common Stock (or other securities or property) subject to outstanding Options, Performance Awards, Dividend Equivalents, or Stock Payments,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188" w:lineRule="exact"/>
        <w:rPr>
          <w:rFonts w:ascii="Arial" w:cs="Arial" w:eastAsia="Arial" w:hAnsi="Arial"/>
          <w:sz w:val="18"/>
          <w:szCs w:val="18"/>
          <w:color w:val="auto"/>
        </w:rPr>
      </w:pPr>
    </w:p>
    <w:p>
      <w:pPr>
        <w:jc w:val="both"/>
        <w:ind w:left="100" w:firstLine="653"/>
        <w:spacing w:after="0" w:line="259" w:lineRule="auto"/>
        <w:tabs>
          <w:tab w:leader="none" w:pos="126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a Restricted Stock award or Deferred Stock award or by action taken prior to the occurrence of such event that, for a specified period of time prior to such event, the restrictions imposed under a Restricted Stock Agreement or a Deferred Stock Agreement upon some or all shares of Restricted Stock or Deferred Stock may be terminated; and</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13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to the Performance Objectives of any outstanding award.</w:t>
      </w:r>
    </w:p>
    <w:p>
      <w:pPr>
        <w:spacing w:after="0" w:line="170" w:lineRule="exact"/>
        <w:rPr>
          <w:rFonts w:ascii="Arial" w:cs="Arial" w:eastAsia="Arial" w:hAnsi="Arial"/>
          <w:sz w:val="18"/>
          <w:szCs w:val="18"/>
          <w:color w:val="auto"/>
        </w:rPr>
      </w:pPr>
    </w:p>
    <w:p>
      <w:pPr>
        <w:jc w:val="both"/>
        <w:ind w:left="-540" w:firstLine="645"/>
        <w:spacing w:after="0" w:line="279" w:lineRule="auto"/>
        <w:tabs>
          <w:tab w:leader="none" w:pos="6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Notwithstanding anything in Sections 9.3(a), 9.3(c) or 9.3(e) to the contrary, except to the extent an award agreement expressly provides to the contrary, in the event of a Change of Control of the Company all outstanding awards automatically shall become fully vested immediately prior to such Change in Control (or such earlier time as set by the Committee), all restrictions, if any, with respect to such awards shall lapse, all performance criteria, if any, with respect to such awards shall be deemed to have been met at their target level.</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185" w:name="page186"/>
    <w:bookmarkEnd w:id="185"/>
    <w:p>
      <w:pPr>
        <w:jc w:val="both"/>
        <w:ind w:left="660" w:firstLine="645"/>
        <w:spacing w:after="0" w:line="264" w:lineRule="auto"/>
        <w:tabs>
          <w:tab w:leader="none" w:pos="18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w:t>
      </w:r>
    </w:p>
    <w:p>
      <w:pPr>
        <w:spacing w:after="0" w:line="18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i w:val="1"/>
          <w:iCs w:val="1"/>
          <w:color w:val="auto"/>
        </w:rPr>
        <w:t>Approval of Plan by Stockholders</w:t>
      </w:r>
      <w:r>
        <w:rPr>
          <w:rFonts w:ascii="Arial" w:cs="Arial" w:eastAsia="Arial" w:hAnsi="Arial"/>
          <w:sz w:val="17"/>
          <w:szCs w:val="17"/>
          <w:color w:val="auto"/>
        </w:rPr>
        <w:t>. The Plan was approved by Oil States International, Inc., the sole shareholder of the Company,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2014.</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shall be entitled to require payment in cash or deduction from other compensation payable to each Optionee, Grantee or Restricted Stockholder of any sums required by applicable tax law to be withheld with respect to the issuance, vesting or exercise of any Option, Restricted Stock, Deferred Stock, Performance Award, Dividend Equivalent or Stock Payment. Subject to the timing requirements of Section 5.3, the Committee may, in its discretion and in satisfaction of the foregoing requirement, allow such Optionee, Grantee or Restricted Stockholder to elect to have the Company withhold shares of Common Stock otherwise issuable under such Option or afterward (or allow the return of shares of Common Stock) having a Fair Market Value equal to the minimum tax sums required to be withheld by the Company. Notwithstanding the foregoing, any such person who is subject to Section 16b with respect to Company Stock may direct that the Company’s tax withholding obligation be satisfied by withholding the appropriate number of shares from such award and/or the “constructive” tender of already-owned shares of Common Stock.</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i w:val="1"/>
          <w:iCs w:val="1"/>
          <w:color w:val="auto"/>
        </w:rPr>
        <w:t>Limitations Applicable to Section 16 Persons and Performance-Based Compensation</w:t>
      </w:r>
      <w:r>
        <w:rPr>
          <w:rFonts w:ascii="Arial" w:cs="Arial" w:eastAsia="Arial" w:hAnsi="Arial"/>
          <w:sz w:val="16"/>
          <w:szCs w:val="16"/>
          <w:color w:val="auto"/>
        </w:rPr>
        <w:t>. Notwithstanding any other provision of the Plan, the Plan and any Option, Performance Award, Dividend Equivalent or Stock Payment granted, or Restricted Stock or Deferred Stock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Dividend Equivalents, Stock Payments, Restricted Stock and Deferred Stock granted or awarded hereunder shall be deemed amended to the extent necessary to conform to such applicable exemptive rule. Furthermore, notwithstanding any other provision of the Plan, any award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6" w:name="page187"/>
    <w:bookmarkEnd w:id="186"/>
    <w:p>
      <w:pPr>
        <w:jc w:val="both"/>
        <w:ind w:firstLine="648"/>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Limitations Applicable to Awards</w:t>
      </w:r>
      <w:r>
        <w:rPr>
          <w:rFonts w:ascii="Arial" w:cs="Arial" w:eastAsia="Arial" w:hAnsi="Arial"/>
          <w:sz w:val="16"/>
          <w:szCs w:val="16"/>
          <w:color w:val="auto"/>
        </w:rPr>
        <w:t>. Provisions of Article VI and Article VII to the contrary notwithstanding, and subject to the exceptions provided below, awards of Restricted Stock, stock-based Performance Awards, full value Stock Payments and Deferred Stock shall be subject to a minimum one-year vesting period if performance-based and shall be subject to a minimum three-year vesting period (1/3 each year) if solely tenure-based. Notwithstanding the foregoing, (i) vesting may be accelerated upon death, disability, retirement or Change of Control (of the Company, or a division of the Company respecting divisional Grantees) and (ii) vesting may occur earlier than the minimums set forth above with respect to a number of shares from awards or grants which shares in the aggregate do not exceed the result of multiplying (x) 10% times (y) the total cumulative number of shares authorized under the Plan. The calculation of the number of shares which are not Otherwise Exempt Shares and which are covered by the exception in clause (ii) immediately above shall be made at the time of award except in the case of an acceleration of the vesting period in which case the calculation shall be made at the time of acceleration. “Otherwise Exempt Shares” are shares which meet the minimum vesting requirements of the first sentence of this Section 9.7 or are entitled to the benefit of clause (i) of this Section 9.7. Provisions of the Plan to the contrary notwithstanding, discretionary awards to Directors, specifically excluding awards to directors related to their annual retainer, shall be determined solely by the Committee.</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i w:val="1"/>
          <w:iCs w:val="1"/>
          <w:color w:val="auto"/>
        </w:rPr>
        <w:t>Effect of Plan Upon Options and Compensation Plans</w:t>
      </w:r>
      <w:r>
        <w:rPr>
          <w:rFonts w:ascii="Arial" w:cs="Arial" w:eastAsia="Arial" w:hAnsi="Arial"/>
          <w:sz w:val="16"/>
          <w:szCs w:val="16"/>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Compliance with Laws</w:t>
      </w:r>
      <w:r>
        <w:rPr>
          <w:rFonts w:ascii="Arial" w:cs="Arial" w:eastAsia="Arial" w:hAnsi="Arial"/>
          <w:sz w:val="17"/>
          <w:szCs w:val="17"/>
          <w:color w:val="auto"/>
        </w:rPr>
        <w:t>. This Plan, the granting and vesting of Options, Restricted Stock awards, Deferred Stock awards, Performance Awards, Dividend Equivalents or Stock Payments under the Plan and the issuance and delivery of shares of Common Stock and the payment of money under the Plan or under Options, Performance Awards, Dividend Equivalents or Stock Payments granted or Restricted Stock or Deferred Stock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Deferred Stock awards, Performance Awards, Dividend Equivalents or Stock Payments granted or awarded hereunder shall be deemed amended to the extent necessary to conform to such laws, rules and regulations.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i w:val="1"/>
          <w:iCs w:val="1"/>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Texas without regard to conflicts of laws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8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Compensation Plan</w:t>
      </w:r>
    </w:p>
    <w:p>
      <w:pPr>
        <w:spacing w:after="0" w:line="225"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AND INTENT.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purpose of this Annual Incentive Compensation Plan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is to promote the interests of Civeo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its stockholders by motivating the key employees of the Company and its affiliates to produce outstanding results, encouraging superior performance, increasing productivity, and aiding in the ability to attract and retain such key employees through annual cash bonus opportunities. This Plan was approved by the Company’s Board of Directors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xml:space="preserve">”) on </w:t>
      </w:r>
      <w:r>
        <w:rPr>
          <w:rFonts w:ascii="Arial" w:cs="Arial" w:eastAsia="Arial" w:hAnsi="Arial"/>
          <w:sz w:val="17"/>
          <w:szCs w:val="17"/>
          <w:b w:val="1"/>
          <w:bCs w:val="1"/>
          <w:color w:val="auto"/>
        </w:rPr>
        <w:t>[●]</w:t>
      </w:r>
      <w:r>
        <w:rPr>
          <w:rFonts w:ascii="Arial" w:cs="Arial" w:eastAsia="Arial" w:hAnsi="Arial"/>
          <w:sz w:val="17"/>
          <w:szCs w:val="17"/>
          <w:color w:val="auto"/>
        </w:rPr>
        <w:t xml:space="preserve"> and by Oil States International, Inc., as the Company’s sole stockholder, on </w:t>
      </w:r>
      <w:r>
        <w:rPr>
          <w:rFonts w:ascii="Arial" w:cs="Arial" w:eastAsia="Arial" w:hAnsi="Arial"/>
          <w:sz w:val="17"/>
          <w:szCs w:val="17"/>
          <w:b w:val="1"/>
          <w:bCs w:val="1"/>
          <w:color w:val="auto"/>
        </w:rPr>
        <w:t>[●]</w:t>
      </w:r>
      <w:r>
        <w:rPr>
          <w:rFonts w:ascii="Arial" w:cs="Arial" w:eastAsia="Arial" w:hAnsi="Arial"/>
          <w:sz w:val="17"/>
          <w:szCs w:val="17"/>
          <w:color w:val="auto"/>
        </w:rPr>
        <w:t>. The Plan is intended to provide the Company with the ability to grant qualified performance-based compensation under Section 162(m)(4)(c) of the Code, and shall be administered and interpreted with respect to bonus awards intended to qualify as such so to ensure such compliance.</w:t>
      </w:r>
    </w:p>
    <w:p>
      <w:pPr>
        <w:spacing w:after="0" w:line="174"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GUIDELINES.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administration of the Plan and any potential financial remuneration to come as a result of its implementation is subject to the determination by the Compensation Committee of the Board (the “</w:t>
      </w:r>
      <w:r>
        <w:rPr>
          <w:rFonts w:ascii="Arial" w:cs="Arial" w:eastAsia="Arial" w:hAnsi="Arial"/>
          <w:sz w:val="18"/>
          <w:szCs w:val="18"/>
          <w:b w:val="1"/>
          <w:bCs w:val="1"/>
          <w:u w:val="single" w:color="auto"/>
          <w:color w:val="auto"/>
        </w:rPr>
        <w:t>Compensation Committee</w:t>
      </w:r>
      <w:r>
        <w:rPr>
          <w:rFonts w:ascii="Arial" w:cs="Arial" w:eastAsia="Arial" w:hAnsi="Arial"/>
          <w:sz w:val="18"/>
          <w:szCs w:val="18"/>
          <w:color w:val="auto"/>
        </w:rPr>
        <w:t>”) that the performance goals for the applicable periods have been achieved. The Plan is an additional compensation program designed to encourage Plan participants (“</w:t>
      </w:r>
      <w:r>
        <w:rPr>
          <w:rFonts w:ascii="Arial" w:cs="Arial" w:eastAsia="Arial" w:hAnsi="Arial"/>
          <w:sz w:val="18"/>
          <w:szCs w:val="18"/>
          <w:b w:val="1"/>
          <w:bCs w:val="1"/>
          <w:u w:val="single" w:color="auto"/>
          <w:color w:val="auto"/>
        </w:rPr>
        <w:t>Participants</w:t>
      </w:r>
      <w:r>
        <w:rPr>
          <w:rFonts w:ascii="Arial" w:cs="Arial" w:eastAsia="Arial" w:hAnsi="Arial"/>
          <w:sz w:val="18"/>
          <w:szCs w:val="18"/>
          <w:color w:val="auto"/>
        </w:rPr>
        <w:t>”) to exceed specified objective performance targets for the designated period. Payments under the Plan will be made upon approval by the Company’s Compensation Committee after it reviews the performance results for the designated period. The maximum bonus that shall be payable under bonus awards that the Compensation Committee intends to qualify as “performance-based compensation” under section 162(m) of the Code granted to any single Participant during any 12-month period may not exceed $4,000,000.</w:t>
      </w:r>
    </w:p>
    <w:p>
      <w:pPr>
        <w:spacing w:after="0" w:line="18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TARGETS.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Designation of Performance Targets</w:t>
      </w:r>
      <w:r>
        <w:rPr>
          <w:rFonts w:ascii="Arial" w:cs="Arial" w:eastAsia="Arial" w:hAnsi="Arial"/>
          <w:sz w:val="17"/>
          <w:szCs w:val="17"/>
          <w:color w:val="auto"/>
        </w:rPr>
        <w:t>. The Compensation Committee shall determine the performance target or targets to be used for each calendar year (a “</w:t>
      </w:r>
      <w:r>
        <w:rPr>
          <w:rFonts w:ascii="Arial" w:cs="Arial" w:eastAsia="Arial" w:hAnsi="Arial"/>
          <w:sz w:val="17"/>
          <w:szCs w:val="17"/>
          <w:b w:val="1"/>
          <w:bCs w:val="1"/>
          <w:u w:val="single" w:color="auto"/>
          <w:color w:val="auto"/>
        </w:rPr>
        <w:t>Plan Year</w:t>
      </w:r>
      <w:r>
        <w:rPr>
          <w:rFonts w:ascii="Arial" w:cs="Arial" w:eastAsia="Arial" w:hAnsi="Arial"/>
          <w:sz w:val="17"/>
          <w:szCs w:val="17"/>
          <w:color w:val="auto"/>
        </w:rPr>
        <w:t>”) for determining the bonuses to be paid as a result of this Plan. Performance targets may be based on Company, regional, business units and/or individual achievements, or any combination of the same or on such other factors as the Compensation Committee may determine. Different performance targets may be established for different Participants for any Plan Year. Satisfactory results as determined by the Compensation Committee, in its sole discretion, must be achieved in order for a performance payment to occur under the Plan. Notwithstanding the foregoing, for purposes of bonuses intended to constitute “performance based compensation” under Section 162(m) of the Internal Revenue Code (the “</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xml:space="preserve">”), the performance targets under the Plan shall be limited to those set forth in </w:t>
      </w:r>
      <w:r>
        <w:rPr>
          <w:rFonts w:ascii="Arial" w:cs="Arial" w:eastAsia="Arial" w:hAnsi="Arial"/>
          <w:sz w:val="17"/>
          <w:szCs w:val="17"/>
          <w:u w:val="single" w:color="auto"/>
          <w:color w:val="auto"/>
        </w:rPr>
        <w:t>Section 3.3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72675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8" w:name="page189"/>
    <w:bookmarkEnd w:id="188"/>
    <w:p>
      <w:pPr>
        <w:jc w:val="both"/>
        <w:ind w:firstLine="648"/>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Performance Targets</w:t>
      </w:r>
      <w:r>
        <w:rPr>
          <w:rFonts w:ascii="Arial" w:cs="Arial" w:eastAsia="Arial" w:hAnsi="Arial"/>
          <w:sz w:val="17"/>
          <w:szCs w:val="17"/>
          <w:color w:val="auto"/>
        </w:rPr>
        <w:t>. The performance targets for any award intended to qualify as “performance-based compensation” under Section 162(m) of the Code shall be with respect to one or more of the following: (i) net income; (ii) pre-tax income; (iii) operating income; (iv) cash flow;</w:t>
      </w:r>
    </w:p>
    <w:p>
      <w:pPr>
        <w:spacing w:after="0" w:line="1"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earnings per share; (vi) earnings before any one or more of the following items: interest, taxes, depreciation or amortization; (vii) return on equity;</w:t>
      </w:r>
    </w:p>
    <w:p>
      <w:pPr>
        <w:spacing w:after="0" w:line="20" w:lineRule="exact"/>
        <w:rPr>
          <w:rFonts w:ascii="Arial" w:cs="Arial" w:eastAsia="Arial" w:hAnsi="Arial"/>
          <w:sz w:val="17"/>
          <w:szCs w:val="17"/>
          <w:color w:val="auto"/>
        </w:rPr>
      </w:pPr>
    </w:p>
    <w:p>
      <w:pPr>
        <w:jc w:val="both"/>
        <w:ind w:firstLine="8"/>
        <w:spacing w:after="0" w:line="253" w:lineRule="auto"/>
        <w:tabs>
          <w:tab w:leader="none" w:pos="4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return on invested capital or assets; (ix) cost reductions or savings; (x) funds from operations and (xi) appreciation in the fair market value of the Company’s common stock. Which objectives to use with respect to an award, the weighting of the objectives if more than one is used, and whether the objective is to be measured against a Company-established budget or target, an index or a peer group of companies, shall be determined by the Compensation Committee in its discretion at the time of grant of the award. A performance target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need not be based on an increase or a positive result and may include, for example, maintaining the status quo or limiting economic losses.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Equitable Adjustment to Performance Targets</w:t>
      </w:r>
      <w:r>
        <w:rPr>
          <w:rFonts w:ascii="Arial" w:cs="Arial" w:eastAsia="Arial" w:hAnsi="Arial"/>
          <w:sz w:val="18"/>
          <w:szCs w:val="18"/>
          <w:color w:val="auto"/>
        </w:rPr>
        <w:t>. The performance target applicable to any Participant for a Plan Year shall be subject to equitable adjustment at the sole discretion of the Compensation Committee to reflect the occurrence of any significant events during the Plan Year. Notwithstanding the foregoing, in no event shall such adjustment be made with respect to any performance target of a bonus award intended to qualify as “performance-based compensation” under Section 162(m) of the Code to the extent such adjustment would cause the bonus to cease to meet the requirements of “performance-based compensation” under Section 162(m) of the Code.</w:t>
      </w:r>
    </w:p>
    <w:p>
      <w:pPr>
        <w:spacing w:after="0" w:line="184"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Employees of the Company and its affiliates eligible to participate in the Plan shall be designated by the Compensation Committee as Participants.</w:t>
      </w:r>
    </w:p>
    <w:p>
      <w:pPr>
        <w:spacing w:after="0" w:line="244" w:lineRule="exact"/>
        <w:rPr>
          <w:rFonts w:ascii="Arial" w:cs="Arial" w:eastAsia="Arial" w:hAnsi="Arial"/>
          <w:sz w:val="18"/>
          <w:szCs w:val="18"/>
          <w:b w:val="1"/>
          <w:bCs w:val="1"/>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PAY.</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Participant’s designated target bonus for a Plan Year shall be determined under criteria established or approved by the Compensation Committee for that Plan Year. In the discretion of the Compensation Committee, different target bonuses may be established for Participants. Care will be used in communicating to any Participant his performance targets and potential performance amount for a Plan Year. The amount of target bonus, if any, a Participant may receive for any Plan Year will depend upon the performance level achieved for that Plan Year, as determined by the Compensation Committee. Payment of a performance bonus for any Plan Year shall be made no later than the fifteenth day of the third month following the end of such Plan Year.</w:t>
      </w:r>
    </w:p>
    <w:p>
      <w:pPr>
        <w:spacing w:after="0" w:line="154"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Participant's termination of employment for any reason prior to a performance payment will result in the Participant’s forfeiture of any right, title or interest in a performance payment under the Plan, unless and to the extent waived by the Compensation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forfeitures shall be waived to the extent such waiver would cause a bonus award intended to qualify as “performance-based compensation” under Section 162(m) of the Code to fail to do so.</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189" w:name="page190"/>
    <w:bookmarkEnd w:id="189"/>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Company’s Compensation Committee, at its sole discretion, reserves the right to amend the Plan and to terminate the Plan at any time.</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PLAN.</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 The Compensation Committee may delegate the responsibility for the day-to-day administration and operation of the Plan to the President (or his designee(s)) of the Company or any participating affiliate. The Compensation Committee (or the person(s) to which administrative authority has been delegated) shall have the authority to interpret and construe any and all provisions of the Plan. Any determination made by the Compensation Committee (or the person(s) to which administrative authority has been delegated) shall be final and conclusive and binding on all persons. Notwithstanding the foregoing, the Compensation Committee shall not delegate any authority with respect to a bonus award intended to constitute performance-based compensation” under Section 162(m) of the Code, to the extent such delegation would cause the bonus award to fail to so qualify.</w:t>
      </w:r>
    </w:p>
    <w:p>
      <w:pPr>
        <w:spacing w:after="0" w:line="1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Neither the Company, any participating affiliate, the Board, any member or any committee thereof, nor any employee of the Company or any participating affiliate shall be liable for any act, omission, interpretation, construction or determination made in connection with the Plan in good faith; and the members of the Board, the Compensation Committee and/or the employees of the Company and any participating affiliate shall be entitled to indemnification and reimbursement by the Company to the maximum extent permitted by law in respect of any claim, loss, damage or expense (including counsel’s fees) arising from their acts, omissions and conduct in their official capacity with respect to the Plan.</w:t>
      </w:r>
    </w:p>
    <w:p>
      <w:pPr>
        <w:spacing w:after="0" w:line="168"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Administration of Performance-Based Compensation Awards</w:t>
      </w:r>
      <w:r>
        <w:rPr>
          <w:rFonts w:ascii="Arial" w:cs="Arial" w:eastAsia="Arial" w:hAnsi="Arial"/>
          <w:sz w:val="18"/>
          <w:szCs w:val="18"/>
          <w:color w:val="auto"/>
        </w:rPr>
        <w:t>. Any bonus awards granted hereunder which are intended to constitute “performance-based compensation” under Section 162(m) of the Code shall be administered solely by a committee or subcommittee of two or more members of the Board composed solely of individuals who constitute an “outside director” (within the meaning of Treasury Regulation Section 1.162-27 under section 162(m) of the Code), except to the extent administration of the Plan by “outside directors” is not then required in order to qualify for tax deductibility under Section 162(m) of the Code. All references herein to the “Compensation Committee” when applied to awards intended to constitute “performance-based compensation” shall be references to the committee described in the preceding sentence, which such committee shall be the Compensation Committee to the extent it meets such requirements..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Performance Period; Timing for Establishing Performance Targets</w:t>
      </w:r>
      <w:r>
        <w:rPr>
          <w:rFonts w:ascii="Arial" w:cs="Arial" w:eastAsia="Arial" w:hAnsi="Arial"/>
          <w:sz w:val="18"/>
          <w:szCs w:val="18"/>
          <w:color w:val="auto"/>
        </w:rPr>
        <w:t>. Achievement of performance goals in respect of bonus awards under the plan intended to constitute “performance-based compensation” under Section 162(m) of the Code shall be measured over a Plan Year or other performance period of up to ten years, as specified by the Compensation Committee. Performance targets shall be established not later than 90 days after the beginning of any performance period applicable to such bonus awards, or at such other date as may be required or permitted for “performance-based compensation” under section 162(m) of the Code.</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0" w:name="page191"/>
    <w:bookmarkEnd w:id="190"/>
    <w:p>
      <w:pPr>
        <w:jc w:val="both"/>
        <w:ind w:firstLine="648"/>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u w:val="single" w:color="auto"/>
          <w:color w:val="auto"/>
        </w:rPr>
        <w:t>Determination of Performance and Forfeiture</w:t>
      </w:r>
      <w:r>
        <w:rPr>
          <w:rFonts w:ascii="Arial" w:cs="Arial" w:eastAsia="Arial" w:hAnsi="Arial"/>
          <w:sz w:val="17"/>
          <w:szCs w:val="17"/>
          <w:color w:val="auto"/>
        </w:rPr>
        <w:t>. After the end of each Plan Year, the committee administering any bonus awards intended to constitute “performance-based compensation” under Section 162(m) of the Code shall certify the amount, if any, of (A) the bonus pool, and the maximum amount of the potential bonus award payable to each Participant in the bonus pool, or (B) the amount of the potential bonus award otherwise payable to each Participant. The Compensation Committee (or other committee administering such awards) may, in its discretion, reduce the amount of a settlement otherwise to be made in connection with such bonus awards, but may not exercise discretion to increase any such amount payable to an employee who has received a bonus award intended constitute “performance-based compensation” under Section 162(m) of the Code. The Compensation Committee (or such other committee administering the award) shall specify the circumstances in which such bonus awards shall be paid or forfeited in the event of termination of employment by the Participant prior to the end of a performance period or settlement of bonus awards.</w:t>
      </w:r>
    </w:p>
    <w:p>
      <w:pPr>
        <w:spacing w:after="0" w:line="172"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Non-Guarantee of Employment</w:t>
      </w:r>
      <w:r>
        <w:rPr>
          <w:rFonts w:ascii="Arial" w:cs="Arial" w:eastAsia="Arial" w:hAnsi="Arial"/>
          <w:sz w:val="16"/>
          <w:szCs w:val="16"/>
          <w:color w:val="auto"/>
        </w:rPr>
        <w:t>. Nothing contained in this Plan shall be construed as a contract of employment between the Company and/or a participating affiliate and a Participant, and nothing in this Plan shall confer upon any Participant any right to continued employment with the Company or a participating affiliate, or to interfere with the right of the Company or a participating affiliate to discharge a Participant, with or without cause.</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Interests Not Transferable</w:t>
      </w:r>
      <w:r>
        <w:rPr>
          <w:rFonts w:ascii="Arial" w:cs="Arial" w:eastAsia="Arial" w:hAnsi="Arial"/>
          <w:sz w:val="18"/>
          <w:szCs w:val="18"/>
          <w:color w:val="auto"/>
        </w:rPr>
        <w:t>. No benefits under the Plan shall be subject in any manner to alienation, sale, transfer, assignment, pledge, attachment or other legal process, or encumbrance of any kind, and any attempt to do so shall be void.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Facility of Payment</w:t>
      </w:r>
      <w:r>
        <w:rPr>
          <w:rFonts w:ascii="Arial" w:cs="Arial" w:eastAsia="Arial" w:hAnsi="Arial"/>
          <w:sz w:val="18"/>
          <w:szCs w:val="18"/>
          <w:color w:val="auto"/>
        </w:rPr>
        <w:t>. Any amounts payable hereunder to any person under legal disability or who, in the judgment of the Compensation Committee or its designee, is unable to properly manage his financial affairs, may be paid to the legal representative of such person, or may be applied for the benefit of such person in any manner which the Compensation Committee or its designee may select, and each participating affiliate shall be relieved of any further liability for payment of such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Company and/or any participating affiliate may deduct from any payments otherwise due under this Plan to a Participant (or beneficiary) amounts required by law to be withheld for purposes of federal, state or local taxes.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Gender and Number</w:t>
      </w:r>
      <w:r>
        <w:rPr>
          <w:rFonts w:ascii="Arial" w:cs="Arial" w:eastAsia="Arial" w:hAnsi="Arial"/>
          <w:sz w:val="18"/>
          <w:szCs w:val="18"/>
          <w:color w:val="auto"/>
        </w:rPr>
        <w:t>. Words in the masculine gender shall include the feminine gender, the plural shall include the singular and the singular shall include the plural.</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u w:val="single" w:color="auto"/>
          <w:color w:val="auto"/>
        </w:rPr>
        <w:t>Controlling Law</w:t>
      </w:r>
      <w:r>
        <w:rPr>
          <w:rFonts w:ascii="Arial" w:cs="Arial" w:eastAsia="Arial" w:hAnsi="Arial"/>
          <w:sz w:val="16"/>
          <w:szCs w:val="16"/>
          <w:color w:val="auto"/>
        </w:rPr>
        <w:t>. To the extent not superseded by federal law, the law of the State of Texas shall be controlling in all matters relating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1" w:name="page192"/>
    <w:bookmarkEnd w:id="191"/>
    <w:p>
      <w:pPr>
        <w:jc w:val="both"/>
        <w:ind w:firstLine="648"/>
        <w:spacing w:after="0" w:line="28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No Rights to Award</w:t>
      </w:r>
      <w:r>
        <w:rPr>
          <w:rFonts w:ascii="Arial" w:cs="Arial" w:eastAsia="Arial" w:hAnsi="Arial"/>
          <w:sz w:val="18"/>
          <w:szCs w:val="18"/>
          <w:color w:val="auto"/>
        </w:rPr>
        <w:t>. No person shall have any claim to be granted any award under the Plan, and there is no obligation for uniformity of treatment of Participants. The terms and conditions of awards need not be the same with respect to each recipient.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the Plan or any award is or becomes or is deemed to be invalid, illegal, or unenforceable in any jurisdiction or as to any person or award, or would disqualify the Plan or any award under the law deemed applicable by the Compensation Committee, such provision shall be construed or deemed amended to conform to the applicable laws, or if it cannot be construed or deemed amended without, in the determination of the Compensation Committee, materially altering the intent of the Plan or the award, such provision shall be stricken as to such jurisdiction, person or award and the remainder of the Plan and any such award shall remain in full force and effect.</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participating affiliate and a Participant or any other person. To the extent that any person acquires a right to receive payments from the Company or any participating affiliate pursuant to an award, such right shall be no greater than the right of any general unsecured creditor of the Company or any participating affiliate.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Headings are given to the Sections of the Plan solely as a convenience to facilitate reference. Such headings shall not be deemed in any way material or relevant to the construction or interpretation of the Plan or any provision thereof.</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5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CANADIAN LONG TERM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Date of Award</w:t>
      </w:r>
      <w:r>
        <w:rPr>
          <w:rFonts w:ascii="Arial" w:cs="Arial" w:eastAsia="Arial" w:hAnsi="Arial"/>
          <w:sz w:val="18"/>
          <w:szCs w:val="18"/>
          <w:color w:val="auto"/>
        </w:rPr>
        <w: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Units Awarded</w:t>
      </w:r>
      <w:r>
        <w:rPr>
          <w:rFonts w:ascii="Arial" w:cs="Arial" w:eastAsia="Arial" w:hAnsi="Arial"/>
          <w:sz w:val="18"/>
          <w:szCs w:val="18"/>
          <w:color w:val="auto"/>
        </w:rPr>
        <w:t>: (Units)</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(Schedule)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cash based and the value of your award will track the price of Civeo stock. The “units” you are awarded do not represent actual shares of stock, but the right to receive a cash payment that is based on the value of Civeo stock on a date certain. The awards vest annually over a three year period, one third each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each vesting date, the value for that year is determined based on Civeo’s stock price, and the Company will send you a cash payment for that value, subject to your payment of all taxes and regular withholdings. To be eligible to receive the payment, you must be employed by the Company on the vesting date of the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of how the Plan operates</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You are awarded 300 units on (Same as “Date of Award”)</w:t>
      </w:r>
    </w:p>
    <w:p>
      <w:pPr>
        <w:spacing w:after="0" w:line="225"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One year later on (Day before “Date of Award”), 2014, if you are still employed by the Company, you would be eligible to receive a cash payment of 100 multiplied by the price of Civeo stock at the close of business on (Day before “Date of Award”), 2014. The value of your award will rise and fall with the value of the Civeo stock over the course of the vesting period, thereby aligning your interests with that of our shareholders.</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(Day before “Date of Award”) in 2015 and 2016, the other 200 units would vest, pro-rata and you would be eligible for a payment, conditioned upon being employed by the Company on the vesting date(s).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the death of a participant during the vesting period, all units would vest at the date of death and the participant’s estate would be paid the value of the units.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that a participant becomes disabled, as defined in the Company’s Long Term Disability policy, the participant will still continue to be eligible for participation on the Plan, as long as the participate remains an employee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retirement of a participant prior to a vesting date, all unvested units in the Plan are forfeited upon the date of retirement.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 change of control of Civeo Corporation, all units would vest upon the date of the Change of Control and the participant would be paid the value of the units as of the date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29210</wp:posOffset>
            </wp:positionV>
            <wp:extent cx="25387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25" w:lineRule="exact"/>
        <w:rPr>
          <w:sz w:val="20"/>
          <w:szCs w:val="20"/>
          <w:color w:val="auto"/>
        </w:rPr>
      </w:pPr>
    </w:p>
    <w:p>
      <w:pPr>
        <w:ind w:left="340"/>
        <w:spacing w:after="0"/>
        <w:tabs>
          <w:tab w:leader="none" w:pos="2380" w:val="left"/>
          <w:tab w:leader="none" w:pos="3480" w:val="left"/>
          <w:tab w:leader="none" w:pos="10060" w:val="left"/>
        </w:tabs>
        <w:rPr>
          <w:sz w:val="20"/>
          <w:szCs w:val="20"/>
          <w:color w:val="auto"/>
        </w:rPr>
      </w:pPr>
      <w:r>
        <w:rPr>
          <w:rFonts w:ascii="Arial" w:cs="Arial" w:eastAsia="Arial" w:hAnsi="Arial"/>
          <w:sz w:val="18"/>
          <w:szCs w:val="18"/>
          <w:color w:val="auto"/>
        </w:rPr>
        <w:t>AGREEMENT made this</w:t>
        <w:tab/>
        <w:t>day of</w:t>
      </w:r>
      <w:r>
        <w:rPr>
          <w:sz w:val="20"/>
          <w:szCs w:val="20"/>
          <w:color w:val="auto"/>
        </w:rPr>
        <w:tab/>
      </w:r>
      <w:r>
        <w:rPr>
          <w:rFonts w:ascii="Arial" w:cs="Arial" w:eastAsia="Arial" w:hAnsi="Arial"/>
          <w:sz w:val="18"/>
          <w:szCs w:val="18"/>
          <w:color w:val="auto"/>
        </w:rPr>
        <w:t>between CIVEO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225"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(the "</w:t>
      </w:r>
      <w:r>
        <w:rPr>
          <w:rFonts w:ascii="Arial" w:cs="Arial" w:eastAsia="Arial" w:hAnsi="Arial"/>
          <w:sz w:val="18"/>
          <w:szCs w:val="18"/>
          <w:b w:val="1"/>
          <w:bCs w:val="1"/>
          <w:color w:val="auto"/>
        </w:rPr>
        <w:t>Plan</w:t>
      </w:r>
      <w:r>
        <w:rPr>
          <w:rFonts w:ascii="Arial" w:cs="Arial" w:eastAsia="Arial" w:hAnsi="Arial"/>
          <w:sz w:val="18"/>
          <w:szCs w:val="18"/>
          <w:color w:val="auto"/>
        </w:rPr>
        <w:t>"), by affording Employee the opportunity to purchase shares of the common stock of the Company, par value $.01 per share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Employee hereby agree as follows:</w:t>
      </w:r>
    </w:p>
    <w:p>
      <w:pPr>
        <w:spacing w:after="0" w:line="176" w:lineRule="exact"/>
        <w:rPr>
          <w:sz w:val="20"/>
          <w:szCs w:val="20"/>
          <w:color w:val="auto"/>
        </w:rPr>
      </w:pPr>
    </w:p>
    <w:p>
      <w:pPr>
        <w:ind w:left="700" w:hanging="368"/>
        <w:spacing w:after="0"/>
        <w:tabs>
          <w:tab w:leader="none" w:pos="7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GRANT OF OPTION. The Company hereby irrevocably grants to Employee the right and option ("</w:t>
      </w:r>
      <w:r>
        <w:rPr>
          <w:rFonts w:ascii="Arial" w:cs="Arial" w:eastAsia="Arial" w:hAnsi="Arial"/>
          <w:sz w:val="17"/>
          <w:szCs w:val="17"/>
          <w:b w:val="1"/>
          <w:bCs w:val="1"/>
          <w:color w:val="auto"/>
        </w:rPr>
        <w:t>Option</w:t>
      </w:r>
      <w:r>
        <w:rPr>
          <w:rFonts w:ascii="Arial" w:cs="Arial" w:eastAsia="Arial" w:hAnsi="Arial"/>
          <w:sz w:val="17"/>
          <w:szCs w:val="17"/>
          <w:color w:val="auto"/>
        </w:rPr>
        <w:t>") to purchase all or any part of an</w:t>
      </w:r>
    </w:p>
    <w:p>
      <w:pPr>
        <w:spacing w:after="0" w:line="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aggregate of shares of Stock, on the terms and conditions set forth herein and in the Plan, which Plan is incorporated herein by reference as a part of this Agreement. In the event of any conflict between the terms of this Agreement and the Plan, the Plan shall control. Capitalized terms used but not defined in this Agreement, shall have the meaning attributed to such terms under the Plan, unless the context requires otherwise. This Option shall not be treated as an incentive stock option, within the meaning of section 422(b)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17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2. PURCHASE PRICE. The purchase price of Stock purchased pursuant to the exercise of this Option shall be $ per share, which has been determined to be not less than the fair market value of the Stock at the date of grant of this Option. For all purposes of this Agreement, fair market value of Stock shall be determined in accordance with the provisions of the Plan.</w:t>
      </w:r>
    </w:p>
    <w:p>
      <w:pPr>
        <w:spacing w:after="0" w:line="181" w:lineRule="exact"/>
        <w:rPr>
          <w:sz w:val="20"/>
          <w:szCs w:val="20"/>
          <w:color w:val="auto"/>
        </w:rPr>
      </w:pPr>
    </w:p>
    <w:p>
      <w:pPr>
        <w:ind w:right="60" w:firstLine="332"/>
        <w:spacing w:after="0" w:line="302" w:lineRule="auto"/>
        <w:tabs>
          <w:tab w:leader="none" w:pos="6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EXERCISE OF OPTION. Subject to the earlier expiration of this Option as herein provided, this Option may be exercised, by written notice to the Company at its principal executive office addressed to the attention of its Corporate Secretary at any time and from time to time after the date of grant hereof, but, except as otherwise provided below, this Option shall not be exercisable for more than a percentage of the aggregate number of shares offered by this Option determined by the number of full years from the date of grant hereof to the date of such exercise, in accordance with the following schedule:</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 FULL YEARS</w:t>
            </w:r>
          </w:p>
        </w:tc>
        <w:tc>
          <w:tcPr>
            <w:tcW w:w="200" w:type="dxa"/>
            <w:vAlign w:val="bottom"/>
          </w:tcPr>
          <w:p>
            <w:pPr>
              <w:spacing w:after="0"/>
              <w:rPr>
                <w:sz w:val="20"/>
                <w:szCs w:val="20"/>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PERCENTAGE OF SHARES THAT MAY BE PURCHASED</w:t>
            </w:r>
          </w:p>
        </w:tc>
      </w:tr>
      <w:tr>
        <w:trPr>
          <w:trHeight w:val="210"/>
        </w:trPr>
        <w:tc>
          <w:tcPr>
            <w:tcW w:w="5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 year</w:t>
            </w:r>
          </w:p>
        </w:tc>
        <w:tc>
          <w:tcPr>
            <w:tcW w:w="200" w:type="dxa"/>
            <w:vAlign w:val="bottom"/>
            <w:shd w:val="clear" w:color="auto" w:fill="CCEEFF"/>
          </w:tcPr>
          <w:p>
            <w:pPr>
              <w:spacing w:after="0"/>
              <w:rPr>
                <w:sz w:val="18"/>
                <w:szCs w:val="18"/>
                <w:color w:val="auto"/>
              </w:rPr>
            </w:pPr>
          </w:p>
        </w:tc>
        <w:tc>
          <w:tcPr>
            <w:tcW w:w="5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12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52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25%</w:t>
            </w:r>
          </w:p>
        </w:tc>
      </w:tr>
      <w:tr>
        <w:trPr>
          <w:trHeight w:val="216"/>
        </w:trPr>
        <w:tc>
          <w:tcPr>
            <w:tcW w:w="5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5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50%</w:t>
            </w:r>
          </w:p>
        </w:tc>
      </w:tr>
      <w:tr>
        <w:trPr>
          <w:trHeight w:val="216"/>
        </w:trPr>
        <w:tc>
          <w:tcPr>
            <w:tcW w:w="512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52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75%</w:t>
            </w:r>
          </w:p>
        </w:tc>
      </w:tr>
      <w:tr>
        <w:trPr>
          <w:trHeight w:val="216"/>
        </w:trPr>
        <w:tc>
          <w:tcPr>
            <w:tcW w:w="5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 or more</w:t>
            </w:r>
          </w:p>
        </w:tc>
        <w:tc>
          <w:tcPr>
            <w:tcW w:w="52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Option will terminate and cease to be exercisable upon Employee's termination of employment with the Company, except that:</w:t>
      </w:r>
    </w:p>
    <w:p>
      <w:pPr>
        <w:spacing w:after="0" w:line="225" w:lineRule="exact"/>
        <w:rPr>
          <w:sz w:val="20"/>
          <w:szCs w:val="20"/>
          <w:color w:val="auto"/>
        </w:rPr>
      </w:pPr>
    </w:p>
    <w:p>
      <w:pPr>
        <w:ind w:left="340" w:right="180" w:firstLine="277"/>
        <w:spacing w:after="0" w:line="273" w:lineRule="auto"/>
        <w:tabs>
          <w:tab w:leader="none" w:pos="105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Employee's employment with the Company terminates by reason of disability (within the meaning of section 22(e)(3) of the Code) or retirement, this Option may be exercised in full by Employee at any time during the period of one year following such termination, or by Employee's estate (or the person who acquires this Option by will or the laws of descent and distribution or otherwise by reason of the death of Employee) during a one year period following Employee's death if Employee dies during the one year period following such termination. As used in this paragraph, "retirement" shall mean the termination of Employee's employment with the Company for reasons other than cause (as defined in (c) below) on or after attainment of age 65 or, with the express written consent of the Committee, on or after the age of 55.</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5" w:name="page196"/>
    <w:bookmarkEnd w:id="195"/>
    <w:p>
      <w:pPr>
        <w:jc w:val="both"/>
        <w:ind w:left="340" w:firstLine="277"/>
        <w:spacing w:after="0" w:line="264" w:lineRule="auto"/>
        <w:tabs>
          <w:tab w:leader="none" w:pos="10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Employee dies while in the employ of the Company, Employee's estate, or the person who acquires this Option by will or the laws of descent and distribution or otherwise by reason of the death of Employee, may exercise this Option in full at any time during the period of one year following the date of Employee's death.</w:t>
      </w:r>
    </w:p>
    <w:p>
      <w:pPr>
        <w:spacing w:after="0" w:line="235" w:lineRule="exact"/>
        <w:rPr>
          <w:rFonts w:ascii="Arial" w:cs="Arial" w:eastAsia="Arial" w:hAnsi="Arial"/>
          <w:sz w:val="18"/>
          <w:szCs w:val="18"/>
          <w:color w:val="auto"/>
        </w:rPr>
      </w:pPr>
    </w:p>
    <w:p>
      <w:pPr>
        <w:ind w:left="340" w:right="60" w:firstLine="277"/>
        <w:spacing w:after="0" w:line="253" w:lineRule="auto"/>
        <w:tabs>
          <w:tab w:leader="none" w:pos="105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Employee's employment with the Company terminates for any reason other than as described in (a) or (b) above, unless such employment is terminated for cause, this Option may be exercised by Employee at any time during the period of three months following such termination, or by Employee's estate (or the person who acquires this Option by will or the laws of descent and distribution or otherwise by reason of the death of Employee) during a period of one year following Employee's death if Employee dies during such three-month period, but in each case only as to the number of shares Employee was entitled to purchase hereunder as of the date Employee's employment so terminates. As used in this paragraph, the term "cause" shall mean Employee (i) has been convicted of a misdemeanor involving moral turpitude or of a felony, (ii) has engaged in gross negligence or willful misconduct in the performance of the duties of Employee's employment, (iii) has willfully disregarded any written corporate policies established by the Company, or (iv) has materially breached any material provision of any written agreement between Employee and the Company or any of its Affiliates.</w:t>
      </w:r>
    </w:p>
    <w:p>
      <w:pPr>
        <w:spacing w:after="0" w:line="25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Option shall not be exercisable in any event after the expiration of six years from the date of grant hereof. The purchase price of shares as to which this Option is exercised shall be paid in full at the time of exercise (a) in cash (including check, bank draft or money order payable to the order of the Company), (b) by constructively tendering to the Company shares of Stock having a fair market value equal to the purchase price and which shares, if acquired pursuant to a Company granted option, have been held by Employee for more than six months, (c) if the Stock is readily tradeable on a national securities market, through a "cashless-broker" exercise in accordance with a Company-established policy or program for the same, or (d) any combination of the foregoing. No fraction of a share of Stock shall be issued by the Company upon exercise of an Option or accepted by the Company in payment of the exercise price thereof; rather, Employee shall provide a cash payment for such amount as is necessary to affect the issuance and acceptance of only whole shares of Stock. Unless and until a certificate or certificates representing such shares shall have been issued by the Company to Employee, Employee (or the person permitted to exercise this Option in the event of Employee's death) shall not be or have any of the rights or privileges of a shareholder of the Company with respect to shares acquirable upon an exercise of this Option.</w:t>
      </w:r>
    </w:p>
    <w:p>
      <w:pPr>
        <w:spacing w:after="0" w:line="178" w:lineRule="exact"/>
        <w:rPr>
          <w:sz w:val="20"/>
          <w:szCs w:val="20"/>
          <w:color w:val="auto"/>
        </w:rPr>
      </w:pPr>
    </w:p>
    <w:p>
      <w:pPr>
        <w:ind w:firstLine="332"/>
        <w:spacing w:after="0" w:line="271" w:lineRule="auto"/>
        <w:tabs>
          <w:tab w:leader="none" w:pos="68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WITHHOLDING OF TAX. To the extent that the exercise of this Option or the disposition of shares of Stock acquired by exercise of this Option results in compensation income to Employee for federal or state income tax purposes, Employee shall deliver to the Company at the time of such exercise or disposition such amount of money or, with the consent of the Committee, shares of Stock as the Company may require to meet its minimum withholding obligations under applicable tax laws or regulations, provided that if, when the Option is exercised, Employee is subject to Section 16(b) of the Securities Exchange Act of 1934, as amended, by reason of being a current or former officer or director of the Company or an Affiliate, Employee may direct the Company to withhold a number of Option shares for the exercise sufficient to satisfy such minimum tax withholding requirements. No exercise of this Option shall be effective until Employee (or the person entitled to exercise the option, as applicable) has made arrangements approved by the Company to satisfy all applicable minimum tax withholding requirements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196" w:name="page197"/>
    <w:bookmarkEnd w:id="196"/>
    <w:p>
      <w:pPr>
        <w:ind w:firstLine="332"/>
        <w:spacing w:after="0" w:line="255" w:lineRule="auto"/>
        <w:tabs>
          <w:tab w:leader="none" w:pos="68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STATUS OF STOCK. The Company has registered for issuance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shares of Stock acquirable upon exercise of this Option, and intends to keep such registration effective throughout the period this Option is exercisable. In the absence of such effective registration or an available exemption from registration under the Act, issuance of shares of Stock acquirable upon exercise of this Option will be delayed until registration of such shares is effective or an exemption from registration under the Act is available. The Company intends to use its reasonable best efforts to ensure that no such delay will occur. In the event exemption from registration under the Act is available upon an exercise of this Option, Employee (or the person permitted to exercise this Option in the event of Employee's death or incapacity), if requested by the Company to do so, will execute and deliver to the Company in writing an agreement containing such provisions as the Company may require to assure compliance with applicable securities laws.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Employee agrees that the shares of Stock which Employee may acquire by exercising this Option will not be sold or otherwise disposed of in any manner which would constitute a violation of any applicable securities laws, whether federal or state. Employee also agrees (i) that the certificates representing the shares of Stock purchased under this Option may bear such legend or legends as the Committee deems appropriate in order to assure compliance with applicable securities laws, and (ii) that the Company may refuse to register the transfer of the shares of Stock purchased under this Option on the stock transfer records of the Company if such proposed transfer would in the opinion of counsel satisfactory to the Company constitute a violation of any applicable securities laws and (iii) that the Company may give related instructions to its transfer agent, if any, to stop registration of the transfer of the shares of Stock purchased under this Option.</w:t>
      </w:r>
    </w:p>
    <w:p>
      <w:pPr>
        <w:spacing w:after="0" w:line="189" w:lineRule="exact"/>
        <w:rPr>
          <w:sz w:val="20"/>
          <w:szCs w:val="20"/>
          <w:color w:val="auto"/>
        </w:rPr>
      </w:pPr>
    </w:p>
    <w:p>
      <w:pPr>
        <w:ind w:right="560" w:firstLine="332"/>
        <w:spacing w:after="0" w:line="286" w:lineRule="auto"/>
        <w:tabs>
          <w:tab w:leader="none" w:pos="68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EMPLOYMENT RELATIONSHIP. Employee shall be considered to be in the employment of the Company as long as Employee remains an Employee, Director or consultant of the Company or any of its Affiliates. Any question as to whether and when there has been a termination of such employment, and the cause of such termination, shall be determined by the Committee and its determination shall be final.</w:t>
      </w:r>
    </w:p>
    <w:p>
      <w:pPr>
        <w:spacing w:after="0" w:line="165" w:lineRule="exact"/>
        <w:rPr>
          <w:rFonts w:ascii="Arial" w:cs="Arial" w:eastAsia="Arial" w:hAnsi="Arial"/>
          <w:sz w:val="17"/>
          <w:szCs w:val="17"/>
          <w:color w:val="auto"/>
        </w:rPr>
      </w:pPr>
    </w:p>
    <w:p>
      <w:pPr>
        <w:ind w:right="420" w:firstLine="332"/>
        <w:spacing w:after="0" w:line="277" w:lineRule="auto"/>
        <w:tabs>
          <w:tab w:leader="none" w:pos="68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BINDING EFFECT. This Agreement shall be binding upon and inure to the benefit of any successors to the Company and all persons lawfully claiming under Employee.</w:t>
      </w:r>
    </w:p>
    <w:p>
      <w:pPr>
        <w:spacing w:after="0" w:line="170" w:lineRule="exact"/>
        <w:rPr>
          <w:rFonts w:ascii="Arial" w:cs="Arial" w:eastAsia="Arial" w:hAnsi="Arial"/>
          <w:sz w:val="18"/>
          <w:szCs w:val="18"/>
          <w:color w:val="auto"/>
        </w:rPr>
      </w:pPr>
    </w:p>
    <w:p>
      <w:pPr>
        <w:ind w:right="400" w:firstLine="332"/>
        <w:spacing w:after="0" w:line="277" w:lineRule="auto"/>
        <w:tabs>
          <w:tab w:leader="none" w:pos="68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Texas, without regard to conflicts of law principles thereof.</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97" w:name="page198"/>
    <w:bookmarkEnd w:id="197"/>
    <w:p>
      <w:pPr>
        <w:ind w:firstLine="324"/>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its officer thereunto duly authorized, and Employee has executed this Agreement, all as of the day and year first above written.</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-130175</wp:posOffset>
            </wp:positionV>
            <wp:extent cx="37306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80"/>
          </w:cols>
          <w:pgMar w:left="240" w:top="584" w:right="679" w:bottom="1440" w:gutter="0" w:footer="0" w:header="0"/>
        </w:sectPr>
      </w:pPr>
    </w:p>
    <w:bookmarkStart w:id="198" w:name="page199"/>
    <w:bookmarkEnd w:id="198"/>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AGREEMENT is made as of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 Civeo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w:t>
      </w:r>
    </w:p>
    <w:p>
      <w:pPr>
        <w:spacing w:after="0" w:line="463" w:lineRule="exact"/>
        <w:rPr>
          <w:sz w:val="20"/>
          <w:szCs w:val="20"/>
          <w:color w:val="auto"/>
        </w:rPr>
      </w:pPr>
    </w:p>
    <w:p>
      <w:pPr>
        <w:sectPr>
          <w:pgSz w:w="11900" w:h="16838" w:orient="portrait"/>
          <w:cols w:equalWidth="0" w:num="2">
            <w:col w:w="2960" w:space="720"/>
            <w:col w:w="7740"/>
          </w:cols>
          <w:pgMar w:left="240" w:top="121" w:right="239" w:bottom="1440" w:gutter="0" w:footer="0" w:header="0"/>
          <w:type w:val="continuous"/>
        </w:sectPr>
      </w:pPr>
    </w:p>
    <w:p>
      <w:pPr>
        <w:ind w:right="60" w:firstLine="324"/>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(the "</w:t>
      </w:r>
      <w:r>
        <w:rPr>
          <w:rFonts w:ascii="Arial" w:cs="Arial" w:eastAsia="Arial" w:hAnsi="Arial"/>
          <w:sz w:val="18"/>
          <w:szCs w:val="18"/>
          <w:b w:val="1"/>
          <w:bCs w:val="1"/>
          <w:color w:val="auto"/>
        </w:rPr>
        <w:t>Plan</w:t>
      </w:r>
      <w:r>
        <w:rPr>
          <w:rFonts w:ascii="Arial" w:cs="Arial" w:eastAsia="Arial" w:hAnsi="Arial"/>
          <w:sz w:val="18"/>
          <w:szCs w:val="18"/>
          <w:color w:val="auto"/>
        </w:rPr>
        <w:t>"), by affording Employee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Employee hereby agree as follows:</w:t>
      </w:r>
    </w:p>
    <w:p>
      <w:pPr>
        <w:spacing w:after="0" w:line="18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1. AWARD OF SHARES. Upon execution of this Agreement, the Company shall issue shares of Stock to Employee. Employee acknowledges receipt of a copy of the Plan, and agrees that this award of Stock shall be subject to all of the terms and conditions set forth herein and in the Plan, including future amendments thereto, if any, pursuant to the terms thereof, which Plan is incorporated herein by reference as a part of this Agreement. In the event of any conflict between the terms of this Agreement and the Plan, the terms of the Plan shall govern.</w:t>
      </w:r>
    </w:p>
    <w:p>
      <w:pPr>
        <w:spacing w:after="0" w:line="171" w:lineRule="exact"/>
        <w:rPr>
          <w:sz w:val="20"/>
          <w:szCs w:val="20"/>
          <w:color w:val="auto"/>
        </w:rPr>
      </w:pPr>
    </w:p>
    <w:p>
      <w:pPr>
        <w:ind w:right="20" w:firstLine="332"/>
        <w:spacing w:after="0" w:line="287" w:lineRule="auto"/>
        <w:tabs>
          <w:tab w:leader="none" w:pos="68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FORFEITURE RESTRICTIONS. The Stock issued to Employee pursuant to this Agreement may not be sold, assigned, pledged, exchanged, hypothecated or otherwise transferred, encumbered or disposed of to the extent then subject to the Forfeiture Restrictions (as hereinafter defined), and in the event of termination of Employee's employment with the Company for any reason (other than as provided below), automatically upon such termination Employee shall, for no consideration, forfeit to the Company all Stock to the extent then subject to the Forfeiture Restrictions. The prohibition against transfer and the obligation to forfeit and surrender Stock to the Company upon termination of employment are herein referred to as "</w:t>
      </w:r>
      <w:r>
        <w:rPr>
          <w:rFonts w:ascii="Arial" w:cs="Arial" w:eastAsia="Arial" w:hAnsi="Arial"/>
          <w:sz w:val="16"/>
          <w:szCs w:val="16"/>
          <w:b w:val="1"/>
          <w:bCs w:val="1"/>
          <w:color w:val="auto"/>
        </w:rPr>
        <w:t>Forfeiture Restrictions</w:t>
      </w:r>
      <w:r>
        <w:rPr>
          <w:rFonts w:ascii="Arial" w:cs="Arial" w:eastAsia="Arial" w:hAnsi="Arial"/>
          <w:sz w:val="16"/>
          <w:szCs w:val="16"/>
          <w:color w:val="auto"/>
        </w:rPr>
        <w:t>," and the shares which are then subject to the Forfeiture Restrictions are herein sometimes referred to as "</w:t>
      </w:r>
      <w:r>
        <w:rPr>
          <w:rFonts w:ascii="Arial" w:cs="Arial" w:eastAsia="Arial" w:hAnsi="Arial"/>
          <w:sz w:val="16"/>
          <w:szCs w:val="16"/>
          <w:b w:val="1"/>
          <w:bCs w:val="1"/>
          <w:color w:val="auto"/>
        </w:rPr>
        <w:t>Restricted Shares</w:t>
      </w:r>
      <w:r>
        <w:rPr>
          <w:rFonts w:ascii="Arial" w:cs="Arial" w:eastAsia="Arial" w:hAnsi="Arial"/>
          <w:sz w:val="16"/>
          <w:szCs w:val="16"/>
          <w:color w:val="auto"/>
        </w:rPr>
        <w:t>." The Forfeiture Restrictions shall be binding upon and enforceable against any transferee of the Stock. The Forfeiture Restrictions shall lapse as to Stock issued to Employee pursuant to this Agreement as follows: (a) with respect to 1/4 of the Restricted Shares, on the first anniversary of the Effective Date, (b) with respect to 1/4 of the Restricted Shares, on the second anniversary of the Effective Date, (c) with respect to 1/4 of the Restricted Shares, on the third anniversary of the Effective Date, and (d) with respect to 1/4 of the Restricted Shares, on the fourth anniversary of the Effective Date. Notwithstanding the foregoing, the Forfeiture Restrictions shall lapse as to all of the Stock on (i) the date a Change of Control occurs or (ii) the termination of Employee's employment due to his death or a disability that entitles Employee to receive benefits under a long term disability plan of the Company.</w:t>
      </w:r>
    </w:p>
    <w:p>
      <w:pPr>
        <w:spacing w:after="0" w:line="168" w:lineRule="exact"/>
        <w:rPr>
          <w:rFonts w:ascii="Arial" w:cs="Arial" w:eastAsia="Arial" w:hAnsi="Arial"/>
          <w:sz w:val="16"/>
          <w:szCs w:val="16"/>
          <w:color w:val="auto"/>
        </w:rPr>
      </w:pPr>
    </w:p>
    <w:p>
      <w:pPr>
        <w:jc w:val="both"/>
        <w:ind w:right="120" w:firstLine="332"/>
        <w:spacing w:after="0" w:line="286" w:lineRule="auto"/>
        <w:tabs>
          <w:tab w:leader="none" w:pos="68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CERTIFICATES. A certificate evidencing the Restricted Shares shall be issued by the Company in Employee's name, pursuant to which Employee shall have voting rights and shall be entitled to receive dividends and other distributions (provided, however, that dividends or other distributions paid in any form other than cash shall be subject to the Forfeiture Restrictions). The certificate shall bear the following legend:</w:t>
      </w:r>
    </w:p>
    <w:p>
      <w:pPr>
        <w:spacing w:after="0" w:line="166" w:lineRule="exact"/>
        <w:rPr>
          <w:sz w:val="20"/>
          <w:szCs w:val="20"/>
          <w:color w:val="auto"/>
        </w:rPr>
      </w:pPr>
    </w:p>
    <w:p>
      <w:pPr>
        <w:ind w:left="660" w:right="720"/>
        <w:spacing w:after="0" w:line="257" w:lineRule="auto"/>
        <w:rPr>
          <w:sz w:val="20"/>
          <w:szCs w:val="20"/>
          <w:color w:val="auto"/>
        </w:rPr>
      </w:pPr>
      <w:r>
        <w:rPr>
          <w:rFonts w:ascii="Arial" w:cs="Arial" w:eastAsia="Arial" w:hAnsi="Arial"/>
          <w:sz w:val="18"/>
          <w:szCs w:val="18"/>
          <w:color w:val="auto"/>
        </w:rPr>
        <w:t>The shares evidenced by this certificate have been issued pursuant to an agreement made as of , , a copy of which is attached hereto and incorporated herein, between the Company and the registered holder of the shares, and are subject to forfeiture to the Company under certain circumstances described in such agreement. The sale, assignment, pledge or other transfer of the shares of stock evidenced by this certificate is prohibited under the terms and conditions of such agreement, and such shares may not be sold, assigned, pledged or otherwise transferred except as provided in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99" w:name="page200"/>
    <w:bookmarkEnd w:id="199"/>
    <w:p>
      <w:pPr>
        <w:ind w:right="1360" w:firstLine="324"/>
        <w:spacing w:after="0" w:line="277" w:lineRule="auto"/>
        <w:rPr>
          <w:sz w:val="20"/>
          <w:szCs w:val="20"/>
          <w:color w:val="auto"/>
        </w:rPr>
      </w:pPr>
      <w:r>
        <w:rPr>
          <w:rFonts w:ascii="Arial" w:cs="Arial" w:eastAsia="Arial" w:hAnsi="Arial"/>
          <w:sz w:val="18"/>
          <w:szCs w:val="18"/>
          <w:color w:val="auto"/>
        </w:rPr>
        <w:t>Notwithstanding the foregoing, the Company may, in its discretion, elect to complete the delivery of the Restricted Shares by means of electronic, book-entry statement, rather than issuing physical share certificates.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may cause the certificate, if any, to be delivered upon issuance to the Secretary of the Company as a depository for safekeeping until the forfeiture occurs or the Forfeiture Restrictions lapse pursuant to the terms of this Agreement. Upon request of the Company, Employee shall deliver to the Company a stock power, endorsed in blank, relating to the Restricted Shares then subject to the Forfeiture Restrictions. Upon the lapse of the Forfeiture Restrictions without forfeiture, the Company shall cause a new certificate or certificates to be issued for the remaining Stock after the Company's tax withholding obligation has been satisfied pursuant to paragraph 5, without legend in the name of Employee in exchange for the certificate evidencing the Restricted Shares or, as may be the case, the Company shall issue appropriate instructions to the transfer agent if the electronic, book-entry method is utilized.</w:t>
      </w:r>
    </w:p>
    <w:p>
      <w:pPr>
        <w:spacing w:after="0" w:line="165" w:lineRule="exact"/>
        <w:rPr>
          <w:sz w:val="20"/>
          <w:szCs w:val="20"/>
          <w:color w:val="auto"/>
        </w:rPr>
      </w:pPr>
    </w:p>
    <w:p>
      <w:pPr>
        <w:ind w:right="360" w:firstLine="332"/>
        <w:spacing w:after="0" w:line="277" w:lineRule="auto"/>
        <w:tabs>
          <w:tab w:leader="none" w:pos="6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CONSIDERATION. It is understood that the consideration for the issuance of Restricted Shares shall be Employee's agreement to render future services to the Company, which services shall have a value not less than the par value of such Restricted Shares.</w:t>
      </w:r>
    </w:p>
    <w:p>
      <w:pPr>
        <w:spacing w:after="0" w:line="224" w:lineRule="exact"/>
        <w:rPr>
          <w:rFonts w:ascii="Arial" w:cs="Arial" w:eastAsia="Arial" w:hAnsi="Arial"/>
          <w:sz w:val="18"/>
          <w:szCs w:val="18"/>
          <w:color w:val="auto"/>
        </w:rPr>
      </w:pPr>
    </w:p>
    <w:p>
      <w:pPr>
        <w:ind w:firstLine="332"/>
        <w:spacing w:after="0" w:line="272" w:lineRule="auto"/>
        <w:tabs>
          <w:tab w:leader="none" w:pos="68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WITHHOLDING OF TAX. To the extent that the receipt of the Restricted Shares results in compensation income to Employee for federal or state tax purposes, Employee shall deliver to the Company at the time of such receipt, such amount of money or shares of unrestricted Stock as the Company may require to meet its withholding obligation under applicable tax laws or regulations, and, if Employee fails to do so, the Company is authorized to withhold from any cash or Stock remuneration then or thereafter payable to Employee any tax required to be withheld by reason of such resulting compensation income. To the extent that the lapse of any Forfeiture Restrictions results in compensation income to Employee for federal or state tax purposes and Employee has not otherwise made arrangements to satisfy its withholding obligation, the Company shall withhold from the Restricted Shares such shares as the Company may require to meet its withholding obligations under applicable tax laws or regulations.</w:t>
      </w:r>
    </w:p>
    <w:p>
      <w:pPr>
        <w:spacing w:after="0" w:line="231" w:lineRule="exact"/>
        <w:rPr>
          <w:rFonts w:ascii="Arial" w:cs="Arial" w:eastAsia="Arial" w:hAnsi="Arial"/>
          <w:sz w:val="17"/>
          <w:szCs w:val="17"/>
          <w:color w:val="auto"/>
        </w:rPr>
      </w:pPr>
    </w:p>
    <w:p>
      <w:pPr>
        <w:ind w:right="220" w:firstLine="332"/>
        <w:spacing w:after="0" w:line="273" w:lineRule="auto"/>
        <w:tabs>
          <w:tab w:leader="none" w:pos="68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STATUS OF STOCK. Employee agrees that the Restricted Shares will not be sold or otherwise disposed of in any manner that would constitute a violation of any applicable federal or state securities laws. Employee also agrees (i) that the certificates representing the Restricted Shares may bear such legend or legends as the Committee deems appropriate in order to ensure compliance with applicable securities laws, (ii) that the Company may refuse to register the transfer of the Restricted Shares on the stock transfer records of the Company if such proposed transfer would in the opinion of counsel satisfactory to the Company constitute a violation of any applicable securities law and (iii) that the Company may give related instructions to its transfer agent, if any, to stop registration of the transfer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0" w:name="page201"/>
    <w:bookmarkEnd w:id="200"/>
    <w:p>
      <w:pPr>
        <w:ind w:left="-332" w:right="60" w:firstLine="332"/>
        <w:spacing w:after="0" w:line="259" w:lineRule="auto"/>
        <w:tabs>
          <w:tab w:leader="none" w:pos="3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EMPLOYMENT RELATIONSHIP. For purposes of this Agreement, Employee shall be considered to be in the employment of the Company as long as Employee remains an employee of the Company, any parent or subsidiary entity of the Company or any successor to any of the foregoing. Any question as to whether and when there has been a termination of such employment, and the cause of such termination, shall be determined by the Committee, and its determination shall be final.</w:t>
      </w:r>
    </w:p>
    <w:p>
      <w:pPr>
        <w:spacing w:after="0" w:line="240" w:lineRule="exact"/>
        <w:rPr>
          <w:rFonts w:ascii="Arial" w:cs="Arial" w:eastAsia="Arial" w:hAnsi="Arial"/>
          <w:sz w:val="18"/>
          <w:szCs w:val="18"/>
          <w:color w:val="auto"/>
        </w:rPr>
      </w:pPr>
    </w:p>
    <w:p>
      <w:pPr>
        <w:ind w:left="-332" w:right="40" w:firstLine="332"/>
        <w:spacing w:after="0" w:line="264" w:lineRule="auto"/>
        <w:tabs>
          <w:tab w:leader="none" w:pos="3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COMMITTEE'S POWERS. No provision contained in this Agreement shall in any way terminate, modify or alter, or be construed or interpreted as terminating, modifying or altering any of the powers, rights or authority vested in the Committee pursuant to the terms of the Plan, including, without limitation, the Committee's rights to make certain determinations and elections with respect to the Restricted Shares.</w:t>
      </w:r>
    </w:p>
    <w:p>
      <w:pPr>
        <w:spacing w:after="0" w:line="235" w:lineRule="exact"/>
        <w:rPr>
          <w:rFonts w:ascii="Arial" w:cs="Arial" w:eastAsia="Arial" w:hAnsi="Arial"/>
          <w:sz w:val="18"/>
          <w:szCs w:val="18"/>
          <w:color w:val="auto"/>
        </w:rPr>
      </w:pPr>
    </w:p>
    <w:p>
      <w:pPr>
        <w:ind w:left="-332" w:right="380" w:firstLine="332"/>
        <w:spacing w:after="0" w:line="277" w:lineRule="auto"/>
        <w:tabs>
          <w:tab w:leader="none" w:pos="3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BINDING EFFECT. This Agreement shall be binding upon and inure to the benefit of any successors to the Company and all persons lawfully claiming under Employee.</w:t>
      </w:r>
    </w:p>
    <w:p>
      <w:pPr>
        <w:spacing w:after="0" w:line="224" w:lineRule="exact"/>
        <w:rPr>
          <w:rFonts w:ascii="Arial" w:cs="Arial" w:eastAsia="Arial" w:hAnsi="Arial"/>
          <w:sz w:val="18"/>
          <w:szCs w:val="18"/>
          <w:color w:val="auto"/>
        </w:rPr>
      </w:pPr>
    </w:p>
    <w:p>
      <w:pPr>
        <w:ind w:left="-332" w:firstLine="332"/>
        <w:spacing w:after="0" w:line="277" w:lineRule="auto"/>
        <w:tabs>
          <w:tab w:leader="none" w:pos="4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NON-ALIENATION. Employee shall not have any right to pledge, hypothecate, anticipate or assign this Agreement or the rights hereunder, except by will or the laws of descent and distribution.</w:t>
      </w:r>
    </w:p>
    <w:p>
      <w:pPr>
        <w:spacing w:after="0" w:line="224" w:lineRule="exact"/>
        <w:rPr>
          <w:rFonts w:ascii="Arial" w:cs="Arial" w:eastAsia="Arial" w:hAnsi="Arial"/>
          <w:sz w:val="18"/>
          <w:szCs w:val="18"/>
          <w:color w:val="auto"/>
        </w:rPr>
      </w:pPr>
    </w:p>
    <w:p>
      <w:pPr>
        <w:jc w:val="both"/>
        <w:ind w:left="-332" w:right="200" w:firstLine="332"/>
        <w:spacing w:after="0" w:line="264" w:lineRule="auto"/>
        <w:tabs>
          <w:tab w:leader="none" w:pos="4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NOT A CONTRACT OF EMPLOYMENT. This Agreement shall not be deemed to constitute a contract of employment, nor shall any provision hereof affect (a) the right of the Company to discharge Employee at will or (b) the terms and conditions of any other agreement between the Company and Employee except as expressly provided herein.</w:t>
      </w:r>
    </w:p>
    <w:p>
      <w:pPr>
        <w:spacing w:after="0" w:line="235" w:lineRule="exact"/>
        <w:rPr>
          <w:rFonts w:ascii="Arial" w:cs="Arial" w:eastAsia="Arial" w:hAnsi="Arial"/>
          <w:sz w:val="18"/>
          <w:szCs w:val="18"/>
          <w:color w:val="auto"/>
        </w:rPr>
      </w:pPr>
    </w:p>
    <w:p>
      <w:pPr>
        <w:ind w:left="-332" w:right="420" w:firstLine="332"/>
        <w:spacing w:after="0" w:line="277" w:lineRule="auto"/>
        <w:tabs>
          <w:tab w:leader="none" w:pos="4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COUNTERPARTS. This Agreement may be executed in one or more counterparts, each of which shall be deemed to be an original, but all of which together will constitute one and the same Agreement.</w:t>
      </w:r>
    </w:p>
    <w:p>
      <w:pPr>
        <w:spacing w:after="0" w:line="224" w:lineRule="exact"/>
        <w:rPr>
          <w:rFonts w:ascii="Arial" w:cs="Arial" w:eastAsia="Arial" w:hAnsi="Arial"/>
          <w:sz w:val="18"/>
          <w:szCs w:val="18"/>
          <w:color w:val="auto"/>
        </w:rPr>
      </w:pPr>
    </w:p>
    <w:p>
      <w:pPr>
        <w:ind w:left="448" w:hanging="448"/>
        <w:spacing w:after="0"/>
        <w:tabs>
          <w:tab w:leader="none" w:pos="4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509905</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5" w:right="259" w:bottom="1440" w:gutter="0" w:footer="0" w:header="0"/>
        </w:sectPr>
      </w:pPr>
    </w:p>
    <w:bookmarkStart w:id="201" w:name="page202"/>
    <w:bookmarkEnd w:id="201"/>
    <w:p>
      <w:pPr>
        <w:ind w:firstLine="324"/>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an officer thereunto duly authorized, and Employee has executed this Agreement, all effective as of the Effective Date.</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-130175</wp:posOffset>
            </wp:positionV>
            <wp:extent cx="37306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ectPr>
          <w:pgSz w:w="11900" w:h="16838" w:orient="portrait"/>
          <w:cols w:equalWidth="0" w:num="1">
            <w:col w:w="10980"/>
          </w:cols>
          <w:pgMar w:left="240" w:top="584" w:right="67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THIS AGREEMENT is made as of the day of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 Civeo Corporation, a Delaware corporation (the</w:t>
      </w:r>
    </w:p>
    <w:p>
      <w:pPr>
        <w:spacing w:after="0" w:line="452" w:lineRule="exact"/>
        <w:rPr>
          <w:sz w:val="20"/>
          <w:szCs w:val="20"/>
          <w:color w:val="auto"/>
        </w:rPr>
      </w:pPr>
    </w:p>
    <w:p>
      <w:pPr>
        <w:sectPr>
          <w:pgSz w:w="11900" w:h="16838" w:orient="portrait"/>
          <w:cols w:equalWidth="0" w:num="2">
            <w:col w:w="4700" w:space="720"/>
            <w:col w:w="6000"/>
          </w:cols>
          <w:pgMar w:left="240" w:top="122" w:right="239" w:bottom="1440" w:gutter="0" w:footer="0" w:header="0"/>
          <w:type w:val="continuous"/>
        </w:sectPr>
      </w:pPr>
    </w:p>
    <w:p>
      <w:pPr>
        <w:jc w:val="both"/>
        <w:ind w:firstLine="648"/>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(the “</w:t>
      </w:r>
      <w:r>
        <w:rPr>
          <w:rFonts w:ascii="Arial" w:cs="Arial" w:eastAsia="Arial" w:hAnsi="Arial"/>
          <w:sz w:val="18"/>
          <w:szCs w:val="18"/>
          <w:b w:val="1"/>
          <w:bCs w:val="1"/>
          <w:color w:val="auto"/>
        </w:rPr>
        <w:t>Plan</w:t>
      </w:r>
      <w:r>
        <w:rPr>
          <w:rFonts w:ascii="Arial" w:cs="Arial" w:eastAsia="Arial" w:hAnsi="Arial"/>
          <w:sz w:val="18"/>
          <w:szCs w:val="18"/>
          <w:color w:val="auto"/>
        </w:rPr>
        <w:t>”), by affording Director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Director hereby agree as follows: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 AWARD OF SHARES. Upon execution of this Agreement, the Company shall issue shares of Stock to Director. Director acknowledges receipt of a copy of the Plan, and agrees that this award of Stock shall be subject to all of the terms and conditions set forth herein and in the Plan, including future amendments thereto, if any, pursuant to the terms thereof, which Plan is incorporated herein by reference as a part of this Agreement. In the event of any conflict between the terms of this Agreement and the Plan, the terms of the Plan shall govern.</w:t>
      </w:r>
    </w:p>
    <w:p>
      <w:pPr>
        <w:spacing w:after="0" w:line="171" w:lineRule="exact"/>
        <w:rPr>
          <w:sz w:val="20"/>
          <w:szCs w:val="20"/>
          <w:color w:val="auto"/>
        </w:rPr>
      </w:pPr>
    </w:p>
    <w:p>
      <w:pPr>
        <w:jc w:val="both"/>
        <w:ind w:firstLine="656"/>
        <w:spacing w:after="0" w:line="287" w:lineRule="auto"/>
        <w:tabs>
          <w:tab w:leader="none" w:pos="108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FORFEITURE RESTRICTIONS. The Stock issued to Director pursuant to this Agreement may not be sold, assigned, pledged, exchanged, hypothecated or otherwise transferred, encumbered or disposed of to the extent then subject to the Forfeiture Restrictions (as hereinafter defined), and in the event of termination of Director’s service on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for any reason (other than as provided below), automatically upon such termination Director shall, for no consideration, forfeit to the Company all such Stock to the extent then subject to the Forfeiture Restrictions. The prohibition against transfer and the obligation to forfeit and surrender Stock to the Company upon termination of service on the Board are herein referred to as “</w:t>
      </w:r>
      <w:r>
        <w:rPr>
          <w:rFonts w:ascii="Arial" w:cs="Arial" w:eastAsia="Arial" w:hAnsi="Arial"/>
          <w:sz w:val="16"/>
          <w:szCs w:val="16"/>
          <w:b w:val="1"/>
          <w:bCs w:val="1"/>
          <w:color w:val="auto"/>
        </w:rPr>
        <w:t>Forfeiture Restrictions</w:t>
      </w:r>
      <w:r>
        <w:rPr>
          <w:rFonts w:ascii="Arial" w:cs="Arial" w:eastAsia="Arial" w:hAnsi="Arial"/>
          <w:sz w:val="16"/>
          <w:szCs w:val="16"/>
          <w:color w:val="auto"/>
        </w:rPr>
        <w:t>,” and the shares which are then subject to the Forfeiture Restrictions are herein sometimes referred to as “</w:t>
      </w:r>
      <w:r>
        <w:rPr>
          <w:rFonts w:ascii="Arial" w:cs="Arial" w:eastAsia="Arial" w:hAnsi="Arial"/>
          <w:sz w:val="16"/>
          <w:szCs w:val="16"/>
          <w:b w:val="1"/>
          <w:bCs w:val="1"/>
          <w:color w:val="auto"/>
        </w:rPr>
        <w:t>Restricted Shares</w:t>
      </w:r>
      <w:r>
        <w:rPr>
          <w:rFonts w:ascii="Arial" w:cs="Arial" w:eastAsia="Arial" w:hAnsi="Arial"/>
          <w:sz w:val="16"/>
          <w:szCs w:val="16"/>
          <w:color w:val="auto"/>
        </w:rPr>
        <w:t>.” The Forfeiture Restrictions shall be binding upon and enforceable against any transferee of such Stock. The Forfeiture Restrictions shall lapse as to the Restricted Shares as of the date immediately preceding the date of the next Annual Shareholder’s Meeting of the Company following their issuance. Notwithstanding the foregoing, the Forfeiture Restrictions shall lapse as to the Restricted Shares as of (i) the date a Change of Control occurs or (ii) the date of termination of Director’s service on the Board due to his death or due to disability such that Director is incapable of serving on the Board for physical or mental reasons, as shall be determined by the Committee in its sole discretion, and its determination shall be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03" w:name="page204"/>
    <w:bookmarkEnd w:id="203"/>
    <w:p>
      <w:pPr>
        <w:jc w:val="both"/>
        <w:ind w:firstLine="656"/>
        <w:spacing w:after="0" w:line="286" w:lineRule="auto"/>
        <w:tabs>
          <w:tab w:leader="none" w:pos="100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CERTIFICATES. A certificate evidencing the Restricted Shares shall be issued by the Company in Director’s name, pursuant to which Director shall have voting rights and shall be entitled to receive dividends and other distributions (provided, however, that dividends or other distributions paid in any form other than cash shall be subject to the Forfeiture Restrictions). The certificate shall bear the following legend:</w:t>
      </w:r>
    </w:p>
    <w:p>
      <w:pPr>
        <w:spacing w:after="0" w:line="166"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The shares evidenced by this certificate have been issued pursuant to an agreement made as of , a copy of which is attached hereto and incorporated herein, between the Company and the registered holder of the shares. The shares are subject to forfeiture to the Company under certain circumstances described in such agreement. The sale, assignment, pledge or other transfer of the shares evidenced by this certificate is prohibited under the terms and conditions of such agreement, and such shares may not be sold, assigned, pledged or otherwise transferred except as provided in such agreement.</w:t>
      </w:r>
    </w:p>
    <w:p>
      <w:pPr>
        <w:spacing w:after="0" w:line="24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Notwithstanding the foregoing, the Company may, in its discretion, elect to complete the delivery of the Restricted Shares by means of electronic, book-entry statement, rather than issuing physical share certificates.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may cause the certificate, if any, to be delivered upon issuance to the Secretary of the Company as a depository for safekeeping until the forfeiture occurs or the Forfeiture Restrictions lapse pursuant to the terms of this Agreement. Upon request of the Company, Director shall deliver to the Company a stock power, endorsed in blank, relating to the Restricted Shares then subject to the Forfeiture Restrictions. Upon the lapse of the Forfeiture Restrictions without forfeiture, the Company shall cause a new certificate to be issued without legend in the name of Director for the Stock issued to Director pursuant to this Agreement in exchange for the certificate evidencing the Forfeiture Restrictions or, as may be the case, the Company shall issue appropriate instructions to the transfer agent if the electronic, book-entry method is utilized.</w:t>
      </w:r>
    </w:p>
    <w:p>
      <w:pPr>
        <w:spacing w:after="0" w:line="178" w:lineRule="exact"/>
        <w:rPr>
          <w:sz w:val="20"/>
          <w:szCs w:val="20"/>
          <w:color w:val="auto"/>
        </w:rPr>
      </w:pPr>
    </w:p>
    <w:p>
      <w:pPr>
        <w:ind w:right="20" w:firstLine="656"/>
        <w:spacing w:after="0" w:line="277" w:lineRule="auto"/>
        <w:tabs>
          <w:tab w:leader="none" w:pos="10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CONSIDERATION. It is understood that the consideration for the issuance of Restricted Shares shall be Director’s agreement to render future services on the Board, which services shall have a value not less than the par value of such Restricted Shares.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0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STATUS OF STOCK. Director agrees that the Restricted Shares will not be sold or otherwise disposed of in any manner that would constitute a violation of any applicable federal or state securities laws. Director also agrees (i) that the certificates representing the Restricted Shares may bear such legend or legends as the Committee deems appropriate in order to ensure compliance with applicable securities laws, (ii) that the Company may refuse to register the transfer of the Restricted Shares on the stock transfer records of the Company if such proposed transfer would in the opinion of counsel satisfactory to the Company constitute a violation of any applicable securities laws and (iii) that the Company may give related instructions to its transfer agent, if any, to stop registration of the transfer of the Restricted Shares.</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07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SERVICE RELATIONSHIP. For purposes of this Agreement, Director shall be considered to be in service on the Board as long as Director remains a Director of the Company, or any successor thereto. Any question as to whether and when there has been a termination of such service, and the cause of such termination, shall be determined by the Committee in its sole discretion, and its determination shall be final.</w:t>
      </w:r>
    </w:p>
    <w:p>
      <w:pPr>
        <w:spacing w:after="0" w:line="165" w:lineRule="exact"/>
        <w:rPr>
          <w:rFonts w:ascii="Arial" w:cs="Arial" w:eastAsia="Arial" w:hAnsi="Arial"/>
          <w:sz w:val="17"/>
          <w:szCs w:val="17"/>
          <w:color w:val="auto"/>
        </w:rPr>
      </w:pPr>
    </w:p>
    <w:p>
      <w:pPr>
        <w:jc w:val="both"/>
        <w:ind w:right="20" w:firstLine="656"/>
        <w:spacing w:after="0" w:line="264" w:lineRule="auto"/>
        <w:tabs>
          <w:tab w:leader="none" w:pos="117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COMMITTEE’S POWERS. No provision contained in this Agreement shall in any way terminate, modify or alter, or be construed or interpreted as terminating, modifying or altering any of the powers, rights or authority vested in the Committee pursuant to the terms of the Plan, including, without limitation, the Committee’s rights to make certain determinations and elections with respect to the Restricted Shares.</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04" w:name="page205"/>
    <w:bookmarkEnd w:id="204"/>
    <w:p>
      <w:pPr>
        <w:ind w:firstLine="656"/>
        <w:spacing w:after="0" w:line="277" w:lineRule="auto"/>
        <w:tabs>
          <w:tab w:leader="none" w:pos="10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BINDING EFFECT. This Agreement shall be binding upon and inure to the benefit of any successors to the Company and all persons lawfully claiming under Director.</w:t>
      </w:r>
    </w:p>
    <w:p>
      <w:pPr>
        <w:spacing w:after="0" w:line="170" w:lineRule="exact"/>
        <w:rPr>
          <w:rFonts w:ascii="Arial" w:cs="Arial" w:eastAsia="Arial" w:hAnsi="Arial"/>
          <w:sz w:val="18"/>
          <w:szCs w:val="18"/>
          <w:color w:val="auto"/>
        </w:rPr>
      </w:pPr>
    </w:p>
    <w:p>
      <w:pPr>
        <w:ind w:right="20" w:firstLine="656"/>
        <w:spacing w:after="0" w:line="277" w:lineRule="auto"/>
        <w:tabs>
          <w:tab w:leader="none" w:pos="114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NON-ALIENATION. Director shall not have any right to pledge, hypothecate, anticipate or assign this Agreement or the rights hereunder, except by will or the laws of descent and distribution.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A SERVICE CONTRACT. This Agreement shall not be deemed to constitute a service contract, nor shall any provision hereof affect (a) the right to terminate Director’s service on the Board in accordance with the Company’s by-laws and applicable law or (b) the terms and conditions of any other agreement between the Company and Director except as expressly provided herein.</w:t>
      </w:r>
    </w:p>
    <w:p>
      <w:pPr>
        <w:spacing w:after="0" w:line="181" w:lineRule="exact"/>
        <w:rPr>
          <w:rFonts w:ascii="Arial" w:cs="Arial" w:eastAsia="Arial" w:hAnsi="Arial"/>
          <w:sz w:val="18"/>
          <w:szCs w:val="18"/>
          <w:color w:val="auto"/>
        </w:rPr>
      </w:pPr>
    </w:p>
    <w:p>
      <w:pPr>
        <w:ind w:firstLine="656"/>
        <w:spacing w:after="0" w:line="277" w:lineRule="auto"/>
        <w:tabs>
          <w:tab w:leader="none" w:pos="11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COUNTERPARTS. This Agreement may be executed in one or more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Texas.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5" w:name="page206"/>
    <w:bookmarkEnd w:id="205"/>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duly executed by an officer thereunto duly authorized, and Director has executed this Agreement, all effective as of the Effective Date.</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-130175</wp:posOffset>
            </wp:positionV>
            <wp:extent cx="37306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84" w:right="239" w:bottom="1440" w:gutter="0" w:footer="0" w:header="0"/>
        </w:sectPr>
      </w:pPr>
    </w:p>
    <w:bookmarkStart w:id="206" w:name="page207"/>
    <w:bookmarkEnd w:id="206"/>
    <w:p>
      <w:pPr>
        <w:ind w:left="10400"/>
        <w:spacing w:after="0"/>
        <w:rPr>
          <w:sz w:val="20"/>
          <w:szCs w:val="20"/>
          <w:color w:val="auto"/>
        </w:rPr>
      </w:pPr>
      <w:r>
        <w:rPr>
          <w:rFonts w:ascii="Arial" w:cs="Arial" w:eastAsia="Arial" w:hAnsi="Arial"/>
          <w:sz w:val="16"/>
          <w:szCs w:val="16"/>
          <w:b w:val="1"/>
          <w:bCs w:val="1"/>
          <w:color w:val="auto"/>
        </w:rPr>
        <w:t>Exhibit 10.12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AGREEMENT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is made as of</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 Civeo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457" w:lineRule="exact"/>
        <w:rPr>
          <w:sz w:val="20"/>
          <w:szCs w:val="20"/>
          <w:color w:val="auto"/>
        </w:rPr>
      </w:pPr>
    </w:p>
    <w:p>
      <w:pPr>
        <w:sectPr>
          <w:pgSz w:w="11900" w:h="16838" w:orient="portrait"/>
          <w:cols w:equalWidth="0" w:num="4">
            <w:col w:w="260" w:space="400"/>
            <w:col w:w="1660" w:space="40"/>
            <w:col w:w="1460" w:space="720"/>
            <w:col w:w="6880"/>
          </w:cols>
          <w:pgMar w:left="240" w:top="121" w:right="239" w:bottom="1440" w:gutter="0" w:footer="0" w:header="0"/>
          <w:type w:val="continuous"/>
        </w:sectPr>
      </w:pPr>
    </w:p>
    <w:p>
      <w:pPr>
        <w:spacing w:after="0" w:line="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(the “</w:t>
      </w:r>
      <w:r>
        <w:rPr>
          <w:rFonts w:ascii="Arial" w:cs="Arial" w:eastAsia="Arial" w:hAnsi="Arial"/>
          <w:sz w:val="18"/>
          <w:szCs w:val="18"/>
          <w:b w:val="1"/>
          <w:bCs w:val="1"/>
          <w:color w:val="auto"/>
        </w:rPr>
        <w:t>Plan</w:t>
      </w:r>
      <w:r>
        <w:rPr>
          <w:rFonts w:ascii="Arial" w:cs="Arial" w:eastAsia="Arial" w:hAnsi="Arial"/>
          <w:sz w:val="18"/>
          <w:szCs w:val="18"/>
          <w:color w:val="auto"/>
        </w:rPr>
        <w:t>”), by affording Employee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Employee hereby agree as follows: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Award of Deferred Stock Awards</w:t>
      </w:r>
      <w:r>
        <w:rPr>
          <w:rFonts w:ascii="Arial" w:cs="Arial" w:eastAsia="Arial" w:hAnsi="Arial"/>
          <w:sz w:val="18"/>
          <w:szCs w:val="18"/>
          <w:color w:val="auto"/>
        </w:rPr>
        <w:t>. Upon execution of this Agreement, the Company shall issue Deferred Stock Awards and Dividend Equivalents to Employee. Employee acknowledges receipt of a copy of the Plan, and agrees that this award of Deferred Stock Awards shall be subject to all of the terms and conditions set forth herein and in the Plan, including future amendments thereto, if any, pursuant to the terms thereof, which Plan is incorporated herein by reference as a part of this Agreement. In the event of any conflict between the terms of this Agreement and the Plan, the terms of the Plan shall govern.</w:t>
      </w:r>
    </w:p>
    <w:p>
      <w:pPr>
        <w:spacing w:after="0" w:line="184" w:lineRule="exact"/>
        <w:rPr>
          <w:sz w:val="20"/>
          <w:szCs w:val="20"/>
          <w:color w:val="auto"/>
        </w:rPr>
      </w:pPr>
    </w:p>
    <w:p>
      <w:pPr>
        <w:jc w:val="both"/>
        <w:ind w:firstLine="656"/>
        <w:spacing w:after="0" w:line="256" w:lineRule="auto"/>
        <w:tabs>
          <w:tab w:leader="none" w:pos="1062"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attaching to Deferred Stock Awards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Deferred Stock Award</w:t>
      </w:r>
      <w:r>
        <w:rPr>
          <w:rFonts w:ascii="Arial" w:cs="Arial" w:eastAsia="Arial" w:hAnsi="Arial"/>
          <w:sz w:val="18"/>
          <w:szCs w:val="18"/>
          <w:color w:val="auto"/>
        </w:rPr>
        <w:t>” or “</w:t>
      </w:r>
      <w:r>
        <w:rPr>
          <w:rFonts w:ascii="Arial" w:cs="Arial" w:eastAsia="Arial" w:hAnsi="Arial"/>
          <w:sz w:val="18"/>
          <w:szCs w:val="18"/>
          <w:b w:val="1"/>
          <w:bCs w:val="1"/>
          <w:color w:val="auto"/>
        </w:rPr>
        <w:t>DSA</w:t>
      </w:r>
      <w:r>
        <w:rPr>
          <w:rFonts w:ascii="Arial" w:cs="Arial" w:eastAsia="Arial" w:hAnsi="Arial"/>
          <w:sz w:val="18"/>
          <w:szCs w:val="18"/>
          <w:color w:val="auto"/>
        </w:rPr>
        <w:t>” shall mean a right to acquire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the Company, upon the Forfeiture Restrictions contained herein being satisfied. Until such time as the Forfeiture Restrictions cease to apply and shares delivered to Employee, Employee shall have no rights as a shareholder of the Company, no dividend rights, and no voting rights with respect of DSAs or any share underlying the DSAs or issuable in respect of such DSAs until such shares are actually issued to and held of record by the Participant. No adjustment will be made for dividends or other rights of a holder for which the record date is prior to the date of issuance of the stock certificate or book entry evidencing such shares.</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197" w:val="left"/>
        </w:tabs>
        <w:numPr>
          <w:ilvl w:val="0"/>
          <w:numId w:val="189"/>
        </w:numPr>
        <w:rPr>
          <w:rFonts w:ascii="Arial" w:cs="Arial" w:eastAsia="Arial" w:hAnsi="Arial"/>
          <w:sz w:val="17"/>
          <w:szCs w:val="17"/>
          <w:color w:val="auto"/>
        </w:rPr>
      </w:pPr>
      <w:r>
        <w:rPr>
          <w:rFonts w:ascii="Arial" w:cs="Arial" w:eastAsia="Arial" w:hAnsi="Arial"/>
          <w:sz w:val="17"/>
          <w:szCs w:val="17"/>
          <w:b w:val="1"/>
          <w:bCs w:val="1"/>
          <w:u w:val="single" w:color="auto"/>
          <w:color w:val="auto"/>
        </w:rPr>
        <w:t>Forfeiture Restrictions</w:t>
      </w:r>
      <w:r>
        <w:rPr>
          <w:rFonts w:ascii="Arial" w:cs="Arial" w:eastAsia="Arial" w:hAnsi="Arial"/>
          <w:sz w:val="17"/>
          <w:szCs w:val="17"/>
          <w:color w:val="auto"/>
        </w:rPr>
        <w:t>. The DSAs issued to Employee pursuant to this Agreement may not be sold, assigned, pledged, exchanged,</w:t>
      </w:r>
      <w:r>
        <w:rPr>
          <w:rFonts w:ascii="Arial" w:cs="Arial" w:eastAsia="Arial" w:hAnsi="Arial"/>
          <w:sz w:val="17"/>
          <w:szCs w:val="17"/>
          <w:b w:val="1"/>
          <w:bCs w:val="1"/>
          <w:color w:val="auto"/>
        </w:rPr>
        <w:t xml:space="preserve"> </w:t>
      </w:r>
      <w:r>
        <w:rPr>
          <w:rFonts w:ascii="Arial" w:cs="Arial" w:eastAsia="Arial" w:hAnsi="Arial"/>
          <w:sz w:val="17"/>
          <w:szCs w:val="17"/>
          <w:color w:val="auto"/>
        </w:rPr>
        <w:t>hypothecated or otherwise transferred, encumbered or disposed of to the extent then subject to the Forfeiture Restrictions (as hereinafter defined), and in the event of termination of Employee’s employment with the Company for any reason (other than as provided below), automatically upon such termination Employee shall, for no consideration, forfeit to the Company all DSAs to the extent then subject to the Forfeiture Restrictions. The prohibition against transfer and the obligation to forfeit and surrender DSAs to the Company upon termination of employment are herein referred to as “</w:t>
      </w:r>
      <w:r>
        <w:rPr>
          <w:rFonts w:ascii="Arial" w:cs="Arial" w:eastAsia="Arial" w:hAnsi="Arial"/>
          <w:sz w:val="17"/>
          <w:szCs w:val="17"/>
          <w:b w:val="1"/>
          <w:bCs w:val="1"/>
          <w:color w:val="auto"/>
        </w:rPr>
        <w:t>Forfeiture</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and the DSAs which are then subject to the Forfeiture Restrictions are herein sometimes referred to as “</w:t>
      </w:r>
      <w:r>
        <w:rPr>
          <w:rFonts w:ascii="Arial" w:cs="Arial" w:eastAsia="Arial" w:hAnsi="Arial"/>
          <w:sz w:val="17"/>
          <w:szCs w:val="17"/>
          <w:b w:val="1"/>
          <w:bCs w:val="1"/>
          <w:color w:val="auto"/>
        </w:rPr>
        <w:t>Restricted DSAs</w:t>
      </w:r>
      <w:r>
        <w:rPr>
          <w:rFonts w:ascii="Arial" w:cs="Arial" w:eastAsia="Arial" w:hAnsi="Arial"/>
          <w:sz w:val="17"/>
          <w:szCs w:val="17"/>
          <w:color w:val="auto"/>
        </w:rPr>
        <w:t>.” The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shall be binding upon and enforceable against any transferee of the DSAs. The Forfeiture Restrictions shall lapse as to DSAs issued to Employee pursuant to this Agreement as follows: (a) with respect to 25% of the DSAs, on the first anniversary of the Effective Date, (b) with respect to 50% of the DSAs, on the second anniversary of the Effective Date, (c) with respect to 75% of the DSAs, on the third anniversary of the Effective Date, and (d) with respect to 100% of the DSAs, on the fourth anniversary of the Effective Date. Notwithstanding the foregoing, the Forfeiture Restrictions shall lapse as to all of the DSAs on (i) the date a Change of Control occurs or (ii) the termination of Employee’s employment due to his death or a disability that entitles Employee to receive benefits under a long term disability plan of the Company.</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7" w:name="page208"/>
    <w:bookmarkEnd w:id="207"/>
    <w:p>
      <w:pPr>
        <w:jc w:val="both"/>
        <w:ind w:firstLine="656"/>
        <w:spacing w:after="0" w:line="266" w:lineRule="auto"/>
        <w:tabs>
          <w:tab w:leader="none" w:pos="1035"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Stock</w:t>
      </w:r>
      <w:r>
        <w:rPr>
          <w:rFonts w:ascii="Arial" w:cs="Arial" w:eastAsia="Arial" w:hAnsi="Arial"/>
          <w:sz w:val="18"/>
          <w:szCs w:val="18"/>
          <w:color w:val="auto"/>
        </w:rPr>
        <w:t>. Upon Employee remaining in continued employment up until the Forfeiture Conditions being satisfied,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Employee one share in the Company for each DSA that is no longer a Restricted DSA within 30 days of the DSA ceasing to be a Restricted DSA. Upon shares being delivered, the Company will cancel the relevant DSAs.</w:t>
      </w:r>
    </w:p>
    <w:p>
      <w:pPr>
        <w:spacing w:after="0" w:line="176" w:lineRule="exact"/>
        <w:rPr>
          <w:rFonts w:ascii="Arial" w:cs="Arial" w:eastAsia="Arial" w:hAnsi="Arial"/>
          <w:sz w:val="18"/>
          <w:szCs w:val="18"/>
          <w:color w:val="auto"/>
        </w:rPr>
      </w:pPr>
    </w:p>
    <w:p>
      <w:pPr>
        <w:ind w:left="1060" w:hanging="404"/>
        <w:spacing w:after="0"/>
        <w:tabs>
          <w:tab w:leader="none" w:pos="106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Certificates</w:t>
      </w:r>
      <w:r>
        <w:rPr>
          <w:rFonts w:ascii="Arial" w:cs="Arial" w:eastAsia="Arial" w:hAnsi="Arial"/>
          <w:sz w:val="18"/>
          <w:szCs w:val="18"/>
          <w:color w:val="auto"/>
        </w:rPr>
        <w:t>. A certificate evidencing the DSAs shall be issued by the Company in Employee’s name.</w:t>
      </w:r>
    </w:p>
    <w:p>
      <w:pPr>
        <w:spacing w:after="0" w:line="225" w:lineRule="exact"/>
        <w:rPr>
          <w:rFonts w:ascii="Arial" w:cs="Arial" w:eastAsia="Arial" w:hAnsi="Arial"/>
          <w:sz w:val="18"/>
          <w:szCs w:val="18"/>
          <w:color w:val="auto"/>
        </w:rPr>
      </w:pPr>
    </w:p>
    <w:p>
      <w:pPr>
        <w:ind w:firstLine="656"/>
        <w:spacing w:after="0" w:line="282" w:lineRule="auto"/>
        <w:tabs>
          <w:tab w:leader="none" w:pos="99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color w:val="auto"/>
        </w:rPr>
        <w:t>. It is understood that the consideration for the issuance of DSAs shall be Employee’s agreement to render future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which services shall have a value not less than the par value of the shares deliverable in respect of such DSAs.</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35"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Where the Company pays a dividend, Employee shall receive a cash payment equivalent to the dividend paid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common stock in respect of each DSA during the period between the date each Deferred Stock Award is granted, and the date such Deferred Stock Award is exercised, vests or expires.</w:t>
      </w:r>
    </w:p>
    <w:p>
      <w:pPr>
        <w:spacing w:after="0" w:line="176" w:lineRule="exact"/>
        <w:rPr>
          <w:rFonts w:ascii="Arial" w:cs="Arial" w:eastAsia="Arial" w:hAnsi="Arial"/>
          <w:sz w:val="18"/>
          <w:szCs w:val="18"/>
          <w:color w:val="auto"/>
        </w:rPr>
      </w:pPr>
    </w:p>
    <w:p>
      <w:pPr>
        <w:jc w:val="both"/>
        <w:ind w:firstLine="656"/>
        <w:spacing w:after="0" w:line="273" w:lineRule="auto"/>
        <w:tabs>
          <w:tab w:leader="none" w:pos="1008" w:val="left"/>
        </w:tabs>
        <w:numPr>
          <w:ilvl w:val="0"/>
          <w:numId w:val="190"/>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of Tax</w:t>
      </w:r>
      <w:r>
        <w:rPr>
          <w:rFonts w:ascii="Arial" w:cs="Arial" w:eastAsia="Arial" w:hAnsi="Arial"/>
          <w:sz w:val="17"/>
          <w:szCs w:val="17"/>
          <w:color w:val="auto"/>
        </w:rPr>
        <w:t>. To the extent that the receipt of the DSAs and/or shares of unrestricted Stock results in compensation income to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for income tax purposes, Employee shall deliver to the Company at the time of such receipt, such amount of money or shares of unrestricted Stock as the Company may require to meet its withholding obligation (if any) under applicable tax laws or regulations, and, if Employee fails to do so, the Company is authorized to withhold from any cash or Stock remuneration then or thereafter payable to Employee any tax required to be withheld by reason of such resulting compensation income. To the extent that the lapse of any Forfeiture Restrictions results in compensation income to Employee for income tax purposes and Employee has not otherwise made arrangements to satisfy its withholding obligation (if any), the Company shall withhold from the unrestricted Stock such shares as the Company may require to meet its withholding obligations under applicable tax laws or regulations.</w:t>
      </w:r>
    </w:p>
    <w:p>
      <w:pPr>
        <w:spacing w:after="0" w:line="172" w:lineRule="exact"/>
        <w:rPr>
          <w:rFonts w:ascii="Arial" w:cs="Arial" w:eastAsia="Arial" w:hAnsi="Arial"/>
          <w:sz w:val="17"/>
          <w:szCs w:val="17"/>
          <w:color w:val="auto"/>
        </w:rPr>
      </w:pPr>
    </w:p>
    <w:p>
      <w:pPr>
        <w:jc w:val="both"/>
        <w:ind w:firstLine="656"/>
        <w:spacing w:after="0" w:line="256" w:lineRule="auto"/>
        <w:tabs>
          <w:tab w:leader="none" w:pos="1049"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DSAs</w:t>
      </w:r>
      <w:r>
        <w:rPr>
          <w:rFonts w:ascii="Arial" w:cs="Arial" w:eastAsia="Arial" w:hAnsi="Arial"/>
          <w:sz w:val="18"/>
          <w:szCs w:val="18"/>
          <w:color w:val="auto"/>
        </w:rPr>
        <w:t>. Employee agrees that the DSAs will not be sold or otherwise disposed of in any manner that would constitute a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federal or state securities laws. Employee also agrees (i) that the certificates representing the DSAs may bear such legend or legends as the Committee deems appropriate in order to ensure compliance with applicable securities laws, (ii) that the Company may refuse to award the DSAs or register the transfer of shares on the stock transfer records of the Company if such proposed transfer would in the opinion of counsel satisfactory to the Company constitute a violation of any applicable securities law and (iii) that the Company may give related instructions to its transfer agent, if any, to stop registration of the transfer of shares.</w:t>
      </w:r>
    </w:p>
    <w:p>
      <w:pPr>
        <w:spacing w:after="0" w:line="187" w:lineRule="exact"/>
        <w:rPr>
          <w:rFonts w:ascii="Arial" w:cs="Arial" w:eastAsia="Arial" w:hAnsi="Arial"/>
          <w:sz w:val="18"/>
          <w:szCs w:val="18"/>
          <w:color w:val="auto"/>
        </w:rPr>
      </w:pPr>
    </w:p>
    <w:p>
      <w:pPr>
        <w:jc w:val="both"/>
        <w:ind w:firstLine="656"/>
        <w:spacing w:after="0" w:line="261" w:lineRule="auto"/>
        <w:tabs>
          <w:tab w:leader="none" w:pos="1125"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Relationship</w:t>
      </w:r>
      <w:r>
        <w:rPr>
          <w:rFonts w:ascii="Arial" w:cs="Arial" w:eastAsia="Arial" w:hAnsi="Arial"/>
          <w:sz w:val="18"/>
          <w:szCs w:val="18"/>
          <w:color w:val="auto"/>
        </w:rPr>
        <w:t>. For purposes of this Agreement, Employee shall be considered to be in the employment of the Company as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Employee remains an employee of the Company, any parent or subsidiary entity of the Company or any successor to any of the foregoing. Any question as to whether and when there has been a termination of such employment, and the cause of such termination, shall be determined by the Committee, and its determination shall be final.</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08" w:name="page209"/>
    <w:bookmarkEnd w:id="208"/>
    <w:p>
      <w:pPr>
        <w:jc w:val="both"/>
        <w:ind w:firstLine="656"/>
        <w:spacing w:after="0" w:line="266" w:lineRule="auto"/>
        <w:tabs>
          <w:tab w:leader="none" w:pos="1105"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Committee’s Powers</w:t>
      </w:r>
      <w:r>
        <w:rPr>
          <w:rFonts w:ascii="Arial" w:cs="Arial" w:eastAsia="Arial" w:hAnsi="Arial"/>
          <w:sz w:val="18"/>
          <w:szCs w:val="18"/>
          <w:color w:val="auto"/>
        </w:rPr>
        <w:t>. No provision contained in this Agreement shall in any way terminate, modify or alter, or be construed or interpreted 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modifying or altering any of the powers, rights or authority vested in the Committee pursuant to the terms of the Plan, including, without limitation, the Committee’s rights to make certain determinations and elections with respect to the DSAs.</w:t>
      </w:r>
    </w:p>
    <w:p>
      <w:pPr>
        <w:spacing w:after="0" w:line="176" w:lineRule="exact"/>
        <w:rPr>
          <w:rFonts w:ascii="Arial" w:cs="Arial" w:eastAsia="Arial" w:hAnsi="Arial"/>
          <w:sz w:val="18"/>
          <w:szCs w:val="18"/>
          <w:color w:val="auto"/>
        </w:rPr>
      </w:pPr>
    </w:p>
    <w:p>
      <w:pPr>
        <w:ind w:firstLine="656"/>
        <w:spacing w:after="0" w:line="282" w:lineRule="auto"/>
        <w:tabs>
          <w:tab w:leader="none" w:pos="1152"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any successors to the Company and all persons lawfully</w:t>
      </w:r>
      <w:r>
        <w:rPr>
          <w:rFonts w:ascii="Arial" w:cs="Arial" w:eastAsia="Arial" w:hAnsi="Arial"/>
          <w:sz w:val="18"/>
          <w:szCs w:val="18"/>
          <w:b w:val="1"/>
          <w:bCs w:val="1"/>
          <w:color w:val="auto"/>
        </w:rPr>
        <w:t xml:space="preserve"> </w:t>
      </w:r>
      <w:r>
        <w:rPr>
          <w:rFonts w:ascii="Arial" w:cs="Arial" w:eastAsia="Arial" w:hAnsi="Arial"/>
          <w:sz w:val="18"/>
          <w:szCs w:val="18"/>
          <w:color w:val="auto"/>
        </w:rPr>
        <w:t>claiming under Employee.</w:t>
      </w:r>
    </w:p>
    <w:p>
      <w:pPr>
        <w:spacing w:after="0" w:line="161" w:lineRule="exact"/>
        <w:rPr>
          <w:rFonts w:ascii="Arial" w:cs="Arial" w:eastAsia="Arial" w:hAnsi="Arial"/>
          <w:sz w:val="18"/>
          <w:szCs w:val="18"/>
          <w:color w:val="auto"/>
        </w:rPr>
      </w:pPr>
    </w:p>
    <w:p>
      <w:pPr>
        <w:ind w:firstLine="656"/>
        <w:spacing w:after="0" w:line="282" w:lineRule="auto"/>
        <w:tabs>
          <w:tab w:leader="none" w:pos="1098"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color w:val="auto"/>
        </w:rPr>
        <w:t>. Employee shall not have any right to pledge, hypothecate, anticipate or assign this Agreement or the rights hereunder, except</w:t>
      </w:r>
      <w:r>
        <w:rPr>
          <w:rFonts w:ascii="Arial" w:cs="Arial" w:eastAsia="Arial" w:hAnsi="Arial"/>
          <w:sz w:val="18"/>
          <w:szCs w:val="18"/>
          <w:b w:val="1"/>
          <w:bCs w:val="1"/>
          <w:color w:val="auto"/>
        </w:rPr>
        <w:t xml:space="preserve"> </w:t>
      </w:r>
      <w:r>
        <w:rPr>
          <w:rFonts w:ascii="Arial" w:cs="Arial" w:eastAsia="Arial" w:hAnsi="Arial"/>
          <w:sz w:val="18"/>
          <w:szCs w:val="18"/>
          <w:color w:val="auto"/>
        </w:rPr>
        <w:t>by will or the laws of descent and distribution.</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112"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 Contract of Employment</w:t>
      </w:r>
      <w:r>
        <w:rPr>
          <w:rFonts w:ascii="Arial" w:cs="Arial" w:eastAsia="Arial" w:hAnsi="Arial"/>
          <w:sz w:val="18"/>
          <w:szCs w:val="18"/>
          <w:color w:val="auto"/>
        </w:rPr>
        <w:t>. This Agreement shall not be deemed to constitute a contract of employment, nor shall any provision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affect (a) the right of the Company to discharge Employee at will or (b) the terms and conditions of any other agreement between the Company and Employee except as expressly provided herein.</w:t>
      </w:r>
    </w:p>
    <w:p>
      <w:pPr>
        <w:spacing w:after="0" w:line="176" w:lineRule="exact"/>
        <w:rPr>
          <w:rFonts w:ascii="Arial" w:cs="Arial" w:eastAsia="Arial" w:hAnsi="Arial"/>
          <w:sz w:val="18"/>
          <w:szCs w:val="18"/>
          <w:color w:val="auto"/>
        </w:rPr>
      </w:pPr>
    </w:p>
    <w:p>
      <w:pPr>
        <w:ind w:firstLine="656"/>
        <w:spacing w:after="0" w:line="282" w:lineRule="auto"/>
        <w:tabs>
          <w:tab w:leader="none" w:pos="1179"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Agreement.</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Texas.</w:t>
      </w:r>
    </w:p>
    <w:p>
      <w:pPr>
        <w:spacing w:after="0" w:line="225" w:lineRule="exact"/>
        <w:rPr>
          <w:rFonts w:ascii="Arial" w:cs="Arial" w:eastAsia="Arial" w:hAnsi="Arial"/>
          <w:sz w:val="18"/>
          <w:szCs w:val="18"/>
          <w:color w:val="auto"/>
        </w:rPr>
      </w:pPr>
    </w:p>
    <w:p>
      <w:pPr>
        <w:ind w:firstLine="656"/>
        <w:spacing w:after="0" w:line="282" w:lineRule="auto"/>
        <w:tabs>
          <w:tab w:leader="none" w:pos="1139"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 Capitalized terms used and not otherwise defined herein shall have the meanings set forth in the Plan unless the context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otherwise.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9" w:name="page210"/>
    <w:bookmarkEnd w:id="209"/>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an officer thereunto duly authorized, and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has executed this Agreement, all effective as of the Effective Date.</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-127635</wp:posOffset>
            </wp:positionV>
            <wp:extent cx="37306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Deferred Stock Agreement</w:t>
      </w:r>
    </w:p>
    <w:p>
      <w:pPr>
        <w:sectPr>
          <w:pgSz w:w="11900" w:h="16838" w:orient="portrait"/>
          <w:cols w:equalWidth="0" w:num="1">
            <w:col w:w="11420"/>
          </w:cols>
          <w:pgMar w:left="240" w:top="581" w:right="239" w:bottom="1440" w:gutter="0" w:footer="0" w:header="0"/>
        </w:sectPr>
      </w:pPr>
    </w:p>
    <w:bookmarkStart w:id="210" w:name="page211"/>
    <w:bookmarkEnd w:id="210"/>
    <w:p>
      <w:pPr>
        <w:ind w:left="10400"/>
        <w:spacing w:after="0"/>
        <w:rPr>
          <w:sz w:val="20"/>
          <w:szCs w:val="20"/>
          <w:color w:val="auto"/>
        </w:rPr>
      </w:pPr>
      <w:r>
        <w:rPr>
          <w:rFonts w:ascii="Arial" w:cs="Arial" w:eastAsia="Arial" w:hAnsi="Arial"/>
          <w:sz w:val="16"/>
          <w:szCs w:val="16"/>
          <w:b w:val="1"/>
          <w:bCs w:val="1"/>
          <w:color w:val="auto"/>
        </w:rPr>
        <w:t>Exhibit 10.13</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AGREEMENT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 made as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 Civeo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457" w:lineRule="exact"/>
        <w:rPr>
          <w:sz w:val="20"/>
          <w:szCs w:val="20"/>
          <w:color w:val="auto"/>
        </w:rPr>
      </w:pPr>
    </w:p>
    <w:p>
      <w:pPr>
        <w:sectPr>
          <w:pgSz w:w="11900" w:h="16838" w:orient="portrait"/>
          <w:cols w:equalWidth="0" w:num="4">
            <w:col w:w="260" w:space="400"/>
            <w:col w:w="1660" w:space="40"/>
            <w:col w:w="1460" w:space="720"/>
            <w:col w:w="6880"/>
          </w:cols>
          <w:pgMar w:left="240" w:top="121" w:right="239" w:bottom="1440" w:gutter="0" w:footer="0" w:header="0"/>
          <w:type w:val="continuous"/>
        </w:sectPr>
      </w:pPr>
    </w:p>
    <w:p>
      <w:pPr>
        <w:spacing w:after="0" w:line="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To carry out the purposes of the Civeo Corporation 2014 Equity Participation Plan (the “</w:t>
      </w:r>
      <w:r>
        <w:rPr>
          <w:rFonts w:ascii="Arial" w:cs="Arial" w:eastAsia="Arial" w:hAnsi="Arial"/>
          <w:sz w:val="18"/>
          <w:szCs w:val="18"/>
          <w:b w:val="1"/>
          <w:bCs w:val="1"/>
          <w:color w:val="auto"/>
        </w:rPr>
        <w:t>Plan</w:t>
      </w:r>
      <w:r>
        <w:rPr>
          <w:rFonts w:ascii="Arial" w:cs="Arial" w:eastAsia="Arial" w:hAnsi="Arial"/>
          <w:sz w:val="18"/>
          <w:szCs w:val="18"/>
          <w:color w:val="auto"/>
        </w:rPr>
        <w:t>”), by affording Employee the opportunity to acquire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and in consideration of the mutual agreements and other matters set forth herein and in the Plan, the Company and Employee hereby agree as follows: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Award of Deferred Stock Awards</w:t>
      </w:r>
      <w:r>
        <w:rPr>
          <w:rFonts w:ascii="Arial" w:cs="Arial" w:eastAsia="Arial" w:hAnsi="Arial"/>
          <w:sz w:val="18"/>
          <w:szCs w:val="18"/>
          <w:color w:val="auto"/>
        </w:rPr>
        <w:t>. Upon execution of this Agreement, the Company shall issue Deferred Stock Awards and Dividend Equivalents to Employee. Employee acknowledges receipt of a copy of the Plan, and agrees that this award of Deferred Stock Awards shall be subject to all of the terms and conditions set forth herein and in the Plan, including future amendments thereto, if any, pursuant to the terms thereof, which Plan is incorporated herein by reference as a part of this Agreement. In the event of any conflict between the terms of this Agreement and the Plan, the terms of the Plan shall govern.</w:t>
      </w:r>
    </w:p>
    <w:p>
      <w:pPr>
        <w:spacing w:after="0" w:line="184" w:lineRule="exact"/>
        <w:rPr>
          <w:sz w:val="20"/>
          <w:szCs w:val="20"/>
          <w:color w:val="auto"/>
        </w:rPr>
      </w:pPr>
    </w:p>
    <w:p>
      <w:pPr>
        <w:jc w:val="both"/>
        <w:ind w:firstLine="656"/>
        <w:spacing w:after="0" w:line="256" w:lineRule="auto"/>
        <w:tabs>
          <w:tab w:leader="none" w:pos="1062"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attaching to Deferred Stock Awards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Deferred Stock Award</w:t>
      </w:r>
      <w:r>
        <w:rPr>
          <w:rFonts w:ascii="Arial" w:cs="Arial" w:eastAsia="Arial" w:hAnsi="Arial"/>
          <w:sz w:val="18"/>
          <w:szCs w:val="18"/>
          <w:color w:val="auto"/>
        </w:rPr>
        <w:t>” or “</w:t>
      </w:r>
      <w:r>
        <w:rPr>
          <w:rFonts w:ascii="Arial" w:cs="Arial" w:eastAsia="Arial" w:hAnsi="Arial"/>
          <w:sz w:val="18"/>
          <w:szCs w:val="18"/>
          <w:b w:val="1"/>
          <w:bCs w:val="1"/>
          <w:color w:val="auto"/>
        </w:rPr>
        <w:t>DSA</w:t>
      </w:r>
      <w:r>
        <w:rPr>
          <w:rFonts w:ascii="Arial" w:cs="Arial" w:eastAsia="Arial" w:hAnsi="Arial"/>
          <w:sz w:val="18"/>
          <w:szCs w:val="18"/>
          <w:color w:val="auto"/>
        </w:rPr>
        <w:t>” shall mean a right to acquire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the Company, upon the Forfeiture Restrictions contained herein being satisfied. Until such time as the Forfeiture Restrictions cease to apply and shares delivered to Employee, Employee shall have no rights as a shareholder of the Company, no dividend rights, and no voting rights with respect of DSAs or any share underlying the DSAs or issuable in respect of such DSAs until such shares are actually issued to and held of record by the Participant. No adjustment will be made for dividends or other rights of a holder for which the record date is prior to the date of issuance of the stock certificate or book entry evidencing such shares.</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197" w:val="left"/>
        </w:tabs>
        <w:numPr>
          <w:ilvl w:val="0"/>
          <w:numId w:val="192"/>
        </w:numPr>
        <w:rPr>
          <w:rFonts w:ascii="Arial" w:cs="Arial" w:eastAsia="Arial" w:hAnsi="Arial"/>
          <w:sz w:val="17"/>
          <w:szCs w:val="17"/>
          <w:color w:val="auto"/>
        </w:rPr>
      </w:pPr>
      <w:r>
        <w:rPr>
          <w:rFonts w:ascii="Arial" w:cs="Arial" w:eastAsia="Arial" w:hAnsi="Arial"/>
          <w:sz w:val="17"/>
          <w:szCs w:val="17"/>
          <w:b w:val="1"/>
          <w:bCs w:val="1"/>
          <w:u w:val="single" w:color="auto"/>
          <w:color w:val="auto"/>
        </w:rPr>
        <w:t>Forfeiture Restrictions</w:t>
      </w:r>
      <w:r>
        <w:rPr>
          <w:rFonts w:ascii="Arial" w:cs="Arial" w:eastAsia="Arial" w:hAnsi="Arial"/>
          <w:sz w:val="17"/>
          <w:szCs w:val="17"/>
          <w:color w:val="auto"/>
        </w:rPr>
        <w:t>. The DSAs issued to Employee pursuant to this Agreement may not be sold, assigned, pledged, exchanged,</w:t>
      </w:r>
      <w:r>
        <w:rPr>
          <w:rFonts w:ascii="Arial" w:cs="Arial" w:eastAsia="Arial" w:hAnsi="Arial"/>
          <w:sz w:val="17"/>
          <w:szCs w:val="17"/>
          <w:b w:val="1"/>
          <w:bCs w:val="1"/>
          <w:color w:val="auto"/>
        </w:rPr>
        <w:t xml:space="preserve"> </w:t>
      </w:r>
      <w:r>
        <w:rPr>
          <w:rFonts w:ascii="Arial" w:cs="Arial" w:eastAsia="Arial" w:hAnsi="Arial"/>
          <w:sz w:val="17"/>
          <w:szCs w:val="17"/>
          <w:color w:val="auto"/>
        </w:rPr>
        <w:t>hypothecated or otherwise transferred, encumbered or disposed of to the extent then subject to the Forfeiture Restrictions (as hereinafter defined), and in the event of termination of Employee’s employment with the Company for any reason (other than as provided below), automatically upon such termination Employee shall, for no consideration, forfeit to the Company all DSAs to the extent then subject to the Forfeiture Restrictions. The prohibition against transfer and the obligation to forfeit and surrender DSAs to the Company upon termination of employment are herein referred to as “</w:t>
      </w:r>
      <w:r>
        <w:rPr>
          <w:rFonts w:ascii="Arial" w:cs="Arial" w:eastAsia="Arial" w:hAnsi="Arial"/>
          <w:sz w:val="17"/>
          <w:szCs w:val="17"/>
          <w:b w:val="1"/>
          <w:bCs w:val="1"/>
          <w:color w:val="auto"/>
        </w:rPr>
        <w:t>Forfeiture</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and the DSAs which are then subject to the Forfeiture Restrictions are herein sometimes referred to as “</w:t>
      </w:r>
      <w:r>
        <w:rPr>
          <w:rFonts w:ascii="Arial" w:cs="Arial" w:eastAsia="Arial" w:hAnsi="Arial"/>
          <w:sz w:val="17"/>
          <w:szCs w:val="17"/>
          <w:b w:val="1"/>
          <w:bCs w:val="1"/>
          <w:color w:val="auto"/>
        </w:rPr>
        <w:t>Restricted DSAs</w:t>
      </w:r>
      <w:r>
        <w:rPr>
          <w:rFonts w:ascii="Arial" w:cs="Arial" w:eastAsia="Arial" w:hAnsi="Arial"/>
          <w:sz w:val="17"/>
          <w:szCs w:val="17"/>
          <w:color w:val="auto"/>
        </w:rPr>
        <w:t>.” The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shall be binding upon and enforceable against any transferee of the DSAs. The Forfeiture Restrictions shall lapse as to DSAs issued to Employee pursuant to this Agreement as follows: (a) with respect to 25% of the DSAs, on the first anniversary of the Effective Date, (b) with respect to 50% of the DSAs, on the second anniversary of the Effective Date, (c) with respect to 75% of the DSAs, on the third anniversary of the Effective Date, and (d) with respect to 100% of the DSAs, on the fourth anniversary of the Effective Date. Notwithstanding the foregoing, the Forfeiture Restrictions shall lapse as to all of the DSAs on (i) the date a Change of Control occurs or (ii) the termination of Employee’s employment due to his death or a disability that entitles Employee to receive benefits under a long term disability plan of the Company.</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1" w:name="page212"/>
    <w:bookmarkEnd w:id="211"/>
    <w:p>
      <w:pPr>
        <w:jc w:val="both"/>
        <w:ind w:firstLine="656"/>
        <w:spacing w:after="0" w:line="266" w:lineRule="auto"/>
        <w:tabs>
          <w:tab w:leader="none" w:pos="1049"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stock</w:t>
      </w:r>
      <w:r>
        <w:rPr>
          <w:rFonts w:ascii="Arial" w:cs="Arial" w:eastAsia="Arial" w:hAnsi="Arial"/>
          <w:sz w:val="18"/>
          <w:szCs w:val="18"/>
          <w:color w:val="auto"/>
        </w:rPr>
        <w:t>. Upon Employee remaining in continued employment up until the Forfeiture Conditions being satisfied,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Employee one share in the Company for each DSA that is no longer a Restricted DSA within 30 days of the DSA ceasing to be a Restricted DSA. Upon shares being delivered, the Company will cancel the relevant DSAs.</w:t>
      </w:r>
    </w:p>
    <w:p>
      <w:pPr>
        <w:spacing w:after="0" w:line="176" w:lineRule="exact"/>
        <w:rPr>
          <w:rFonts w:ascii="Arial" w:cs="Arial" w:eastAsia="Arial" w:hAnsi="Arial"/>
          <w:sz w:val="18"/>
          <w:szCs w:val="18"/>
          <w:color w:val="auto"/>
        </w:rPr>
      </w:pPr>
    </w:p>
    <w:p>
      <w:pPr>
        <w:ind w:left="1020" w:hanging="364"/>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Certificates</w:t>
      </w:r>
      <w:r>
        <w:rPr>
          <w:rFonts w:ascii="Arial" w:cs="Arial" w:eastAsia="Arial" w:hAnsi="Arial"/>
          <w:sz w:val="18"/>
          <w:szCs w:val="18"/>
          <w:color w:val="auto"/>
        </w:rPr>
        <w:t>. A certificate evidencing the DSAs shall be issued by the Company in Employee’s name.</w:t>
      </w:r>
    </w:p>
    <w:p>
      <w:pPr>
        <w:spacing w:after="0" w:line="225" w:lineRule="exact"/>
        <w:rPr>
          <w:rFonts w:ascii="Arial" w:cs="Arial" w:eastAsia="Arial" w:hAnsi="Arial"/>
          <w:sz w:val="18"/>
          <w:szCs w:val="18"/>
          <w:color w:val="auto"/>
        </w:rPr>
      </w:pPr>
    </w:p>
    <w:p>
      <w:pPr>
        <w:ind w:firstLine="656"/>
        <w:spacing w:after="0" w:line="282" w:lineRule="auto"/>
        <w:tabs>
          <w:tab w:leader="none" w:pos="1022"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color w:val="auto"/>
        </w:rPr>
        <w:t>. It is understood that the consideration for the issuance of DSAs shall be Employee’s agreement to render future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which services shall have a value not less than the par value of the shares deliverable in respect of such DSAs.</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49"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Where the Company pays a dividend, Employee shall receive a cash payment equivalent to the dividend paid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common stock in respect of each DSA during the period between the date each Deferred Stock Award is granted, and the date such Deferred Stock Award is exercised, vests or expires.</w:t>
      </w:r>
    </w:p>
    <w:p>
      <w:pPr>
        <w:spacing w:after="0" w:line="176" w:lineRule="exact"/>
        <w:rPr>
          <w:rFonts w:ascii="Arial" w:cs="Arial" w:eastAsia="Arial" w:hAnsi="Arial"/>
          <w:sz w:val="18"/>
          <w:szCs w:val="18"/>
          <w:color w:val="auto"/>
        </w:rPr>
      </w:pPr>
    </w:p>
    <w:p>
      <w:pPr>
        <w:jc w:val="both"/>
        <w:ind w:firstLine="656"/>
        <w:spacing w:after="0" w:line="273" w:lineRule="auto"/>
        <w:tabs>
          <w:tab w:leader="none" w:pos="1008" w:val="left"/>
        </w:tabs>
        <w:numPr>
          <w:ilvl w:val="0"/>
          <w:numId w:val="193"/>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of Tax</w:t>
      </w:r>
      <w:r>
        <w:rPr>
          <w:rFonts w:ascii="Arial" w:cs="Arial" w:eastAsia="Arial" w:hAnsi="Arial"/>
          <w:sz w:val="17"/>
          <w:szCs w:val="17"/>
          <w:color w:val="auto"/>
        </w:rPr>
        <w:t>. To the extent that the receipt of the DSAs and/or shares of unrestricted Stock results in compensation income to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for income tax purposes, Employee shall deliver to the Company at the time of such receipt, such amount of money or shares of unrestricted Stock as the Company may require to meet its withholding obligation (if any) under applicable tax laws or regulations, and, if Employee fails to do so, the Company is authorized to withhold from any cash or Stock remuneration then or thereafter payable to Employee any tax required to be withheld by reason of such resulting compensation income. To the extent that the lapse of any Forfeiture Restrictions results in compensation income to Employee for income tax purposes and Employee has not otherwise made arrangements to satisfy its withholding obligation (if any), the Company shall withhold from the unrestricted Stock such shares as the Company may require to meet its withholding obligations under applicable tax laws or regulations.</w:t>
      </w:r>
    </w:p>
    <w:p>
      <w:pPr>
        <w:spacing w:after="0" w:line="172" w:lineRule="exact"/>
        <w:rPr>
          <w:rFonts w:ascii="Arial" w:cs="Arial" w:eastAsia="Arial" w:hAnsi="Arial"/>
          <w:sz w:val="17"/>
          <w:szCs w:val="17"/>
          <w:color w:val="auto"/>
        </w:rPr>
      </w:pPr>
    </w:p>
    <w:p>
      <w:pPr>
        <w:jc w:val="both"/>
        <w:ind w:firstLine="656"/>
        <w:spacing w:after="0" w:line="256" w:lineRule="auto"/>
        <w:tabs>
          <w:tab w:leader="none" w:pos="1049"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DSAs</w:t>
      </w:r>
      <w:r>
        <w:rPr>
          <w:rFonts w:ascii="Arial" w:cs="Arial" w:eastAsia="Arial" w:hAnsi="Arial"/>
          <w:sz w:val="18"/>
          <w:szCs w:val="18"/>
          <w:color w:val="auto"/>
        </w:rPr>
        <w:t>. Employee agrees that the DSAs will not be sold or otherwise disposed of in any manner that would constitute a violation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federal or state securities laws. Employee also agrees (i) that the certificates representing the DSAs may bear such legend or legends as the Committee deems appropriate in order to ensure compliance with applicable securities laws, (ii) that the Company may refuse to award the DSAs or register the transfer of shares on the stock transfer records of the Company if such proposed transfer would in the opinion of counsel satisfactory to the Company constitute a violation of any applicable securities law and (iii) that the Company may give related instructions to its transfer agent, if any, to stop registration of the transfer of shares.</w:t>
      </w:r>
    </w:p>
    <w:p>
      <w:pPr>
        <w:spacing w:after="0" w:line="187" w:lineRule="exact"/>
        <w:rPr>
          <w:rFonts w:ascii="Arial" w:cs="Arial" w:eastAsia="Arial" w:hAnsi="Arial"/>
          <w:sz w:val="18"/>
          <w:szCs w:val="18"/>
          <w:color w:val="auto"/>
        </w:rPr>
      </w:pPr>
    </w:p>
    <w:p>
      <w:pPr>
        <w:jc w:val="both"/>
        <w:ind w:firstLine="656"/>
        <w:spacing w:after="0" w:line="261" w:lineRule="auto"/>
        <w:tabs>
          <w:tab w:leader="none" w:pos="1125"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Relationship</w:t>
      </w:r>
      <w:r>
        <w:rPr>
          <w:rFonts w:ascii="Arial" w:cs="Arial" w:eastAsia="Arial" w:hAnsi="Arial"/>
          <w:sz w:val="18"/>
          <w:szCs w:val="18"/>
          <w:color w:val="auto"/>
        </w:rPr>
        <w:t>. For purposes of this Agreement, Employee shall be considered to be in the employment of the Company as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Employee remains an employee of the Company, any parent or subsidiary entity of the Company or any successor to any of the foregoing. Any question as to whether and when there has been a termination of such employment, and the cause of such termination, shall be determined by the Committee, and its determination shall be final.</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2" w:name="page213"/>
    <w:bookmarkEnd w:id="212"/>
    <w:p>
      <w:pPr>
        <w:jc w:val="both"/>
        <w:ind w:firstLine="656"/>
        <w:spacing w:after="0" w:line="266" w:lineRule="auto"/>
        <w:tabs>
          <w:tab w:leader="none" w:pos="1105"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Committee’s Powers</w:t>
      </w:r>
      <w:r>
        <w:rPr>
          <w:rFonts w:ascii="Arial" w:cs="Arial" w:eastAsia="Arial" w:hAnsi="Arial"/>
          <w:sz w:val="18"/>
          <w:szCs w:val="18"/>
          <w:color w:val="auto"/>
        </w:rPr>
        <w:t>. No provision contained in this Agreement shall in any way terminate, modify or alter, or be construed or interpreted 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modifying or altering any of the powers, rights or authority vested in the Committee pursuant to the terms of the Plan, including, without limitation, the Committee’s rights to make certain determinations and elections with respect to the DSAs.</w:t>
      </w:r>
    </w:p>
    <w:p>
      <w:pPr>
        <w:spacing w:after="0" w:line="176" w:lineRule="exact"/>
        <w:rPr>
          <w:rFonts w:ascii="Arial" w:cs="Arial" w:eastAsia="Arial" w:hAnsi="Arial"/>
          <w:sz w:val="18"/>
          <w:szCs w:val="18"/>
          <w:color w:val="auto"/>
        </w:rPr>
      </w:pPr>
    </w:p>
    <w:p>
      <w:pPr>
        <w:ind w:firstLine="656"/>
        <w:spacing w:after="0" w:line="282" w:lineRule="auto"/>
        <w:tabs>
          <w:tab w:leader="none" w:pos="1152"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any successors to the Company and all persons lawfully</w:t>
      </w:r>
      <w:r>
        <w:rPr>
          <w:rFonts w:ascii="Arial" w:cs="Arial" w:eastAsia="Arial" w:hAnsi="Arial"/>
          <w:sz w:val="18"/>
          <w:szCs w:val="18"/>
          <w:b w:val="1"/>
          <w:bCs w:val="1"/>
          <w:color w:val="auto"/>
        </w:rPr>
        <w:t xml:space="preserve"> </w:t>
      </w:r>
      <w:r>
        <w:rPr>
          <w:rFonts w:ascii="Arial" w:cs="Arial" w:eastAsia="Arial" w:hAnsi="Arial"/>
          <w:sz w:val="18"/>
          <w:szCs w:val="18"/>
          <w:color w:val="auto"/>
        </w:rPr>
        <w:t>claiming under Employee.</w:t>
      </w:r>
    </w:p>
    <w:p>
      <w:pPr>
        <w:spacing w:after="0" w:line="161" w:lineRule="exact"/>
        <w:rPr>
          <w:rFonts w:ascii="Arial" w:cs="Arial" w:eastAsia="Arial" w:hAnsi="Arial"/>
          <w:sz w:val="18"/>
          <w:szCs w:val="18"/>
          <w:color w:val="auto"/>
        </w:rPr>
      </w:pPr>
    </w:p>
    <w:p>
      <w:pPr>
        <w:ind w:firstLine="656"/>
        <w:spacing w:after="0" w:line="282" w:lineRule="auto"/>
        <w:tabs>
          <w:tab w:leader="none" w:pos="1098"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color w:val="auto"/>
        </w:rPr>
        <w:t>. Employee shall not have any right to pledge, hypothecate, anticipate or assign this Agreement or the rights hereunder, except</w:t>
      </w:r>
      <w:r>
        <w:rPr>
          <w:rFonts w:ascii="Arial" w:cs="Arial" w:eastAsia="Arial" w:hAnsi="Arial"/>
          <w:sz w:val="18"/>
          <w:szCs w:val="18"/>
          <w:b w:val="1"/>
          <w:bCs w:val="1"/>
          <w:color w:val="auto"/>
        </w:rPr>
        <w:t xml:space="preserve"> </w:t>
      </w:r>
      <w:r>
        <w:rPr>
          <w:rFonts w:ascii="Arial" w:cs="Arial" w:eastAsia="Arial" w:hAnsi="Arial"/>
          <w:sz w:val="18"/>
          <w:szCs w:val="18"/>
          <w:color w:val="auto"/>
        </w:rPr>
        <w:t>by will or the laws of descent and distribution.</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112"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 Contract of Employment</w:t>
      </w:r>
      <w:r>
        <w:rPr>
          <w:rFonts w:ascii="Arial" w:cs="Arial" w:eastAsia="Arial" w:hAnsi="Arial"/>
          <w:sz w:val="18"/>
          <w:szCs w:val="18"/>
          <w:color w:val="auto"/>
        </w:rPr>
        <w:t>. This Agreement shall not be deemed to constitute a contract of employment, nor shall any provision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affect (a) the right of the Company to discharge Employee at will or (b) the terms and conditions of any other agreement between the Company and Employee except as expressly provided herein.</w:t>
      </w:r>
    </w:p>
    <w:p>
      <w:pPr>
        <w:spacing w:after="0" w:line="176" w:lineRule="exact"/>
        <w:rPr>
          <w:rFonts w:ascii="Arial" w:cs="Arial" w:eastAsia="Arial" w:hAnsi="Arial"/>
          <w:sz w:val="18"/>
          <w:szCs w:val="18"/>
          <w:color w:val="auto"/>
        </w:rPr>
      </w:pPr>
    </w:p>
    <w:p>
      <w:pPr>
        <w:ind w:firstLine="656"/>
        <w:spacing w:after="0" w:line="282" w:lineRule="auto"/>
        <w:tabs>
          <w:tab w:leader="none" w:pos="1179"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Agreement.</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Texas.</w:t>
      </w:r>
    </w:p>
    <w:p>
      <w:pPr>
        <w:spacing w:after="0" w:line="225" w:lineRule="exact"/>
        <w:rPr>
          <w:rFonts w:ascii="Arial" w:cs="Arial" w:eastAsia="Arial" w:hAnsi="Arial"/>
          <w:sz w:val="18"/>
          <w:szCs w:val="18"/>
          <w:color w:val="auto"/>
        </w:rPr>
      </w:pPr>
    </w:p>
    <w:p>
      <w:pPr>
        <w:ind w:firstLine="656"/>
        <w:spacing w:after="0" w:line="282" w:lineRule="auto"/>
        <w:tabs>
          <w:tab w:leader="none" w:pos="1139"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 Capitalized terms used and not otherwise defined herein shall have the meanings set forth in the Plan unless the context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otherwise.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13" w:name="page214"/>
    <w:bookmarkEnd w:id="21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an officer thereunto duly authorized, and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has executed this Agreement, all effective as of the Effective Date.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429260</wp:posOffset>
            </wp:positionV>
            <wp:extent cx="36874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-127635</wp:posOffset>
            </wp:positionV>
            <wp:extent cx="36874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Deferred Stock Agreement</w:t>
      </w:r>
    </w:p>
    <w:p>
      <w:pPr>
        <w:sectPr>
          <w:pgSz w:w="11900" w:h="16838" w:orient="portrait"/>
          <w:cols w:equalWidth="0" w:num="1">
            <w:col w:w="11420"/>
          </w:cols>
          <w:pgMar w:left="240" w:top="580"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Assignment and Assumption Agreement (this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is made and entered into this ___ day of ______, 2014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among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Civeo Corporation, a Delaware corporation and, as of the date hereof, a wholly-owned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and Bradley J. Dodson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Oil States, Civeo and the Executive are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Oil States and the Executive are currently party to that certain executive agreement dated as of October 10, 2006, as amended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January 1, 2009,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has determined that it would be appropriate, desirable and in the best interests of Oil States and the shareholders of Oil</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to separate its accommodations business from Oil States (such, transaction the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effectuate the Spin-Off, (a) Oil States will transfer certain assets and liabilities associated with the accommodations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to Civeo, pursuant to a Separation and Distribution Agreement and certain other agreements which are expected to be entered into by and between Oil States and Civeo and (b) Oil States will transfer the employment of certain employees (including the Executive) to Civeo;</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transfer of the Executive’s employment to Civeo, Oil States wishes to assign to Civeo, and Civeo wishes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assume, all its duties, obligations, rights and benefits pursuant to the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wishes to consent to the assignment by Oil States of such duties, obligations, rights and benefits to Civeo.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as of immediately prior to the consummation of the Spin-Off, the Parties agree as follows:</w:t>
      </w:r>
    </w:p>
    <w:p>
      <w:pPr>
        <w:spacing w:after="0" w:line="229" w:lineRule="exact"/>
        <w:rPr>
          <w:sz w:val="20"/>
          <w:szCs w:val="20"/>
          <w:color w:val="auto"/>
        </w:rPr>
      </w:pPr>
    </w:p>
    <w:p>
      <w:pPr>
        <w:ind w:left="1020" w:hanging="364"/>
        <w:spacing w:after="0"/>
        <w:tabs>
          <w:tab w:leader="none" w:pos="1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Civeo hereby assumes all duties, obligations, rights and benefits of Oil States under the Agreement.</w:t>
      </w:r>
    </w:p>
    <w:p>
      <w:pPr>
        <w:spacing w:after="0" w:line="225" w:lineRule="exact"/>
        <w:rPr>
          <w:rFonts w:ascii="Arial" w:cs="Arial" w:eastAsia="Arial" w:hAnsi="Arial"/>
          <w:sz w:val="18"/>
          <w:szCs w:val="18"/>
          <w:color w:val="auto"/>
        </w:rPr>
      </w:pPr>
    </w:p>
    <w:p>
      <w:pPr>
        <w:ind w:firstLine="656"/>
        <w:spacing w:after="0" w:line="277" w:lineRule="auto"/>
        <w:tabs>
          <w:tab w:leader="none" w:pos="103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Oil States hereby assigns all duties, obligations, rights and benefits under the Agreement (including, without limitation, any noncompetition or other restrictive covenant(s) in the Agreement) to Civeo.</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All references to Oil States in the Agreement are hereby replaced,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references to Civeo.</w:t>
      </w:r>
    </w:p>
    <w:p>
      <w:pPr>
        <w:spacing w:after="0" w:line="225" w:lineRule="exact"/>
        <w:rPr>
          <w:rFonts w:ascii="Arial" w:cs="Arial" w:eastAsia="Arial" w:hAnsi="Arial"/>
          <w:sz w:val="18"/>
          <w:szCs w:val="18"/>
          <w:color w:val="auto"/>
        </w:rPr>
      </w:pPr>
    </w:p>
    <w:p>
      <w:pPr>
        <w:ind w:right="20" w:firstLine="656"/>
        <w:spacing w:after="0" w:line="277" w:lineRule="auto"/>
        <w:tabs>
          <w:tab w:leader="none" w:pos="10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Oil States is hereby relieved of the duties and obligations assumed by Civeo in item 1 above and shall be indemnified and held harmless by Civeo for such obligations.</w:t>
      </w:r>
    </w:p>
    <w:p>
      <w:pPr>
        <w:spacing w:after="0" w:line="170" w:lineRule="exact"/>
        <w:rPr>
          <w:rFonts w:ascii="Arial" w:cs="Arial" w:eastAsia="Arial" w:hAnsi="Arial"/>
          <w:sz w:val="18"/>
          <w:szCs w:val="18"/>
          <w:color w:val="auto"/>
        </w:rPr>
      </w:pPr>
    </w:p>
    <w:p>
      <w:pPr>
        <w:ind w:firstLine="656"/>
        <w:spacing w:after="0" w:line="277" w:lineRule="auto"/>
        <w:tabs>
          <w:tab w:leader="none" w:pos="109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the Agreement, the Executive expressly consents to the assignment of duties, obligations, rights and benefits hereunder.</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5" w:name="page216"/>
    <w:bookmarkEnd w:id="215"/>
    <w:p>
      <w:pPr>
        <w:ind w:firstLine="656"/>
        <w:spacing w:after="0" w:line="277" w:lineRule="auto"/>
        <w:tabs>
          <w:tab w:leader="none" w:pos="116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This Assignment is expressly contingent upon the completion of the Spin-Off. In the event that the Spin-Off is not consummated, this Assignment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Assignment shall be governed by and construed and interpreted in accordance with the laws of the State of Texas, without giving effect to the conflicts of law provision or rule (whether of the State of Texas or any other jurisdiction) that would cause the application of the laws of any jurisdiction other than the State of Texas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6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This Assignment may be executed in any number of counterparts, each of which shall be deemed an original and all of which together shall constitute but one and the same instrument. Facsimile or scanned and emailed transmission of any signed original document or retransmission of any signed facsimile or scanned and emailed transmission will be deemed the same as delivery of an original. At the request of any Party, the other Parties will confirm facsimile or scanned and emailed transmission by signing a duplicate original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Assignment, to be effective as of _________, 2014:</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14605</wp:posOffset>
            </wp:positionV>
            <wp:extent cx="3361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361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14605</wp:posOffset>
            </wp:positionV>
            <wp:extent cx="3361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-130175</wp:posOffset>
            </wp:positionV>
            <wp:extent cx="36963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797"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Executive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Oil States International,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Bradley Dodson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is made and entered into effective as of the date of October 10, 2006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has authorized this Agreement and certain similar agreements in order to retain and motivate</w:t>
      </w:r>
      <w:r>
        <w:rPr>
          <w:rFonts w:ascii="Arial" w:cs="Arial" w:eastAsia="Arial" w:hAnsi="Arial"/>
          <w:sz w:val="18"/>
          <w:szCs w:val="18"/>
          <w:b w:val="1"/>
          <w:bCs w:val="1"/>
          <w:color w:val="auto"/>
        </w:rPr>
        <w:t xml:space="preserve"> </w:t>
      </w:r>
      <w:r>
        <w:rPr>
          <w:rFonts w:ascii="Arial" w:cs="Arial" w:eastAsia="Arial" w:hAnsi="Arial"/>
          <w:sz w:val="18"/>
          <w:szCs w:val="18"/>
          <w:color w:val="auto"/>
        </w:rPr>
        <w:t>key management and to ensure continuity of key management;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firstLine="656"/>
        <w:spacing w:after="0" w:line="302"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of Directors of the Company shall give written notice to Executive that the term shall cease to be so extended in which event the Agreement shall terminate on the third anniversary of the date such notice is given.</w:t>
      </w:r>
    </w:p>
    <w:p>
      <w:pPr>
        <w:spacing w:after="0" w:line="154" w:lineRule="exact"/>
        <w:rPr>
          <w:rFonts w:ascii="Arial" w:cs="Arial" w:eastAsia="Arial" w:hAnsi="Arial"/>
          <w:sz w:val="16"/>
          <w:szCs w:val="16"/>
          <w:color w:val="auto"/>
        </w:rPr>
      </w:pPr>
    </w:p>
    <w:p>
      <w:pPr>
        <w:ind w:firstLine="656"/>
        <w:spacing w:after="0" w:line="277" w:lineRule="auto"/>
        <w:tabs>
          <w:tab w:leader="none" w:pos="130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18" w:name="page219"/>
    <w:bookmarkEnd w:id="218"/>
    <w:p>
      <w:pPr>
        <w:ind w:left="1780" w:hanging="475"/>
        <w:spacing w:after="0"/>
        <w:tabs>
          <w:tab w:leader="none" w:pos="17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dishonesty or a breach of trust as regards the Company or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660" w:firstLine="645"/>
        <w:spacing w:after="0" w:line="277" w:lineRule="auto"/>
        <w:tabs>
          <w:tab w:leader="none" w:pos="179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Executive’s commission of any act of theft, fraud, embezzlement or misappropriation against the Company or any subsidiary that is materially injurious to the Company or such subsidiary regardless of whether a criminal conviction is obtained;</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80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Executive’s willful and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specifically identifies the manner in which the Company believes that Executive has failed to devote substantially all of his business time to the Company’s business affairs; or</w:t>
      </w:r>
    </w:p>
    <w:p>
      <w:pPr>
        <w:spacing w:after="0" w:line="171" w:lineRule="exact"/>
        <w:rPr>
          <w:rFonts w:ascii="Arial" w:cs="Arial" w:eastAsia="Arial" w:hAnsi="Arial"/>
          <w:sz w:val="17"/>
          <w:szCs w:val="17"/>
          <w:color w:val="auto"/>
        </w:rPr>
      </w:pPr>
    </w:p>
    <w:p>
      <w:pPr>
        <w:ind w:left="1780" w:hanging="475"/>
        <w:spacing w:after="0"/>
        <w:tabs>
          <w:tab w:leader="none" w:pos="17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Executive’s unauthorized disclosure of confidential information of the Company that is materially injurious to the Company.</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no act, or failure to act, on Executive’s part shall be deemed “willful” unless done, or omitted to be done, by Executive not in good faith and without reasonable belief that Executive’s action or omission was in the best interest of the Company.</w:t>
      </w:r>
    </w:p>
    <w:p>
      <w:pPr>
        <w:spacing w:after="0" w:line="170" w:lineRule="exact"/>
        <w:rPr>
          <w:sz w:val="20"/>
          <w:szCs w:val="20"/>
          <w:color w:val="auto"/>
        </w:rPr>
      </w:pPr>
    </w:p>
    <w:p>
      <w:pPr>
        <w:ind w:left="1120" w:hanging="464"/>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60" w:firstLine="645"/>
        <w:spacing w:after="0" w:line="271" w:lineRule="auto"/>
        <w:tabs>
          <w:tab w:leader="none" w:pos="1753"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any “person” (as such term is used in Section 13(d) and 14(d) of the Securities Exchange Act of 1934, as amended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(other than a trustee or other fiduciary holding securities under an employee benefit plan of the Company or any affiliate, SCF III, L.P., SCF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IV, L.P., or any affiliate of SCF-III, L.P. or SCF-IV, L.P.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78" w:lineRule="exact"/>
        <w:rPr>
          <w:rFonts w:ascii="Arial" w:cs="Arial" w:eastAsia="Arial" w:hAnsi="Arial"/>
          <w:sz w:val="17"/>
          <w:szCs w:val="17"/>
          <w:color w:val="auto"/>
        </w:rPr>
      </w:pPr>
    </w:p>
    <w:p>
      <w:pPr>
        <w:jc w:val="both"/>
        <w:ind w:left="660" w:firstLine="645"/>
        <w:spacing w:after="0" w:line="273" w:lineRule="auto"/>
        <w:tabs>
          <w:tab w:leader="none" w:pos="1873"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 change in the composition of the Board, as a result of which fewer than a majority of the directors are Incumbent Directors.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 of Directors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9" w:name="page220"/>
    <w:bookmarkEnd w:id="219"/>
    <w:p>
      <w:pPr>
        <w:jc w:val="both"/>
        <w:ind w:left="660" w:firstLine="645"/>
        <w:spacing w:after="0" w:line="276" w:lineRule="auto"/>
        <w:tabs>
          <w:tab w:leader="none" w:pos="1874"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6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1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inconsistent in any material respect from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9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3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above however, Good Reason shall not exist with respect to a matter unless Executive gives the Company written notice of such matter within 30 days of the date Executive knows or should reasonably have known of its occurrence. If Executive fails to give such notice timely, Executive shall be deemed to have waived all rights Executive may have under this Agreement with respect to such matter.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0" w:name="page221"/>
    <w:bookmarkEnd w:id="220"/>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firstLine="656"/>
        <w:spacing w:after="0" w:line="257" w:lineRule="auto"/>
        <w:tabs>
          <w:tab w:leader="none" w:pos="126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Termination</w:t>
      </w:r>
      <w:r>
        <w:rPr>
          <w:rFonts w:ascii="Arial" w:cs="Arial" w:eastAsia="Arial" w:hAnsi="Arial"/>
          <w:sz w:val="18"/>
          <w:szCs w:val="18"/>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the purpose, termination of Executive’s employment shall be interpreted consistent with the meaning of the term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in Section 409A (a) (2) (A) (i)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188" w:lineRule="exact"/>
        <w:rPr>
          <w:rFonts w:ascii="Arial" w:cs="Arial" w:eastAsia="Arial" w:hAnsi="Arial"/>
          <w:sz w:val="18"/>
          <w:szCs w:val="18"/>
          <w:color w:val="auto"/>
        </w:rPr>
      </w:pPr>
    </w:p>
    <w:p>
      <w:pPr>
        <w:ind w:left="1100" w:hanging="444"/>
        <w:spacing w:after="0"/>
        <w:tabs>
          <w:tab w:leader="none" w:pos="11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24-month period beginning on the effective date of a Change of Control.</w:t>
      </w:r>
    </w:p>
    <w:p>
      <w:pPr>
        <w:spacing w:after="0" w:line="225" w:lineRule="exact"/>
        <w:rPr>
          <w:rFonts w:ascii="Arial" w:cs="Arial" w:eastAsia="Arial" w:hAnsi="Arial"/>
          <w:sz w:val="18"/>
          <w:szCs w:val="18"/>
          <w:color w:val="auto"/>
        </w:rPr>
      </w:pPr>
    </w:p>
    <w:p>
      <w:pPr>
        <w:ind w:firstLine="656"/>
        <w:spacing w:after="0" w:line="277" w:lineRule="auto"/>
        <w:tabs>
          <w:tab w:leader="none" w:pos="120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firstLine="656"/>
        <w:spacing w:after="0" w:line="277" w:lineRule="auto"/>
        <w:tabs>
          <w:tab w:leader="none" w:pos="120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Base Salary</w:t>
      </w:r>
      <w:r>
        <w:rPr>
          <w:rFonts w:ascii="Arial" w:cs="Arial" w:eastAsia="Arial" w:hAnsi="Arial"/>
          <w:sz w:val="18"/>
          <w:szCs w:val="18"/>
          <w:color w:val="auto"/>
        </w:rPr>
        <w:t>” shall mean Executive’s base salary at the rate in effect at the time the Notice of Termination is given or, if a greater amount, Executive’s base salary at the rate in effect immediately prior to the Change of Control.</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143"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Section 13, if the Company terminates Executive’s employment (i) other than for Cause and (ii) not during the Protected Period, Executive shall receive the following compensation and benefits from the Company:</w:t>
      </w:r>
    </w:p>
    <w:p>
      <w:pPr>
        <w:spacing w:after="0" w:line="170" w:lineRule="exact"/>
        <w:rPr>
          <w:sz w:val="20"/>
          <w:szCs w:val="20"/>
          <w:color w:val="auto"/>
        </w:rPr>
      </w:pPr>
    </w:p>
    <w:p>
      <w:pPr>
        <w:jc w:val="both"/>
        <w:ind w:firstLine="656"/>
        <w:spacing w:after="0" w:line="286" w:lineRule="auto"/>
        <w:tabs>
          <w:tab w:leader="none" w:pos="113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Within 15 days of the Date of Termination the Company shall pay to Executive in a lump sum, in cash, an amount equal to one times the sum of Executive’s (i) Termination Base Salary and (ii) Target AICP. Notwithstanding the foregoing, with respect to a “specified employee,” as defined in Section 409A(a)(2)(B) of the Code, distribution may not be made prior to the date which is 6 months after the Date of Termination.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1" w:name="page222"/>
    <w:bookmarkEnd w:id="221"/>
    <w:p>
      <w:pPr>
        <w:jc w:val="both"/>
        <w:ind w:firstLine="656"/>
        <w:spacing w:after="0" w:line="264" w:lineRule="auto"/>
        <w:tabs>
          <w:tab w:leader="none" w:pos="119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all restricted shares and restricted stock units of Executive shall become 100% vested and all restrictions thereon shall lapse as of the Date of Termination and the Company shall promptly deliver such shares to Executive.</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24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For the 36-month period following the Date of Termination (the “</w:t>
      </w:r>
      <w:r>
        <w:rPr>
          <w:rFonts w:ascii="Arial" w:cs="Arial" w:eastAsia="Arial" w:hAnsi="Arial"/>
          <w:sz w:val="16"/>
          <w:szCs w:val="16"/>
          <w:b w:val="1"/>
          <w:bCs w:val="1"/>
          <w:i w:val="1"/>
          <w:iCs w:val="1"/>
          <w:color w:val="auto"/>
        </w:rPr>
        <w:t>Regular Severance Period</w:t>
      </w:r>
      <w:r>
        <w:rPr>
          <w:rFonts w:ascii="Arial" w:cs="Arial" w:eastAsia="Arial" w:hAnsi="Arial"/>
          <w:sz w:val="16"/>
          <w:szCs w:val="16"/>
          <w:color w:val="auto"/>
        </w:rPr>
        <w:t>”), the Company shall continue to provide Executive and Executive’s eligible family members, based on the cost sharing arrangement between the Company and similarly situated active employees, with medical and dental health benefits and disability coverage and benefits at least equal to those which would have been provided to Executive if Executive’s employment had not been terminated or, if more favorable to Executive, as in effect generally at any time during such period. Notwithstanding the foregoing, if Executive becomes eligible to receive medical, dental and disability benefits under another employer’s plans during this Regular Severance Period,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the Company shall provide Executive with substantially equivalent coverage through other sources or will provide Executive with a lump sum payment within 15 days following the date of Termination in such amount that, after all taxes on that amount, shall be equal to the cost to Executive of providing Executive such benefit coverage. The lump sum shall be determined on a present value basis using the interest rate provided in Section 1274(b)(2)(B) of the Code on the Date of Termination.</w:t>
      </w:r>
    </w:p>
    <w:p>
      <w:pPr>
        <w:spacing w:after="0" w:line="168" w:lineRule="exact"/>
        <w:rPr>
          <w:rFonts w:ascii="Arial" w:cs="Arial" w:eastAsia="Arial" w:hAnsi="Arial"/>
          <w:sz w:val="16"/>
          <w:szCs w:val="16"/>
          <w:color w:val="auto"/>
        </w:rPr>
      </w:pPr>
    </w:p>
    <w:p>
      <w:pPr>
        <w:ind w:left="660" w:hanging="652"/>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13, if either (a) Executive terminates his employment during the Protected Period for a Good Reason event or (b) the Company</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terminates Executive’s employment during the Protected Period other than for Cause, Executive shall receive the following compensation and benefits from the Company:</w:t>
      </w:r>
    </w:p>
    <w:p>
      <w:pPr>
        <w:spacing w:after="0" w:line="184" w:lineRule="exact"/>
        <w:rPr>
          <w:sz w:val="20"/>
          <w:szCs w:val="20"/>
          <w:color w:val="auto"/>
        </w:rPr>
      </w:pPr>
    </w:p>
    <w:p>
      <w:pPr>
        <w:jc w:val="both"/>
        <w:ind w:firstLine="656"/>
        <w:spacing w:after="0" w:line="286" w:lineRule="auto"/>
        <w:tabs>
          <w:tab w:leader="none" w:pos="113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Within 15 days of the Date of Termination the Company shall pay to Executive in a lump sum, in cash, an amount equal to two times the sum of Executive’s (i) Termination Base Salary and (ii) Target AICP. Notwithstanding the foregoing, with respect to a “specified employee,” as defined in Section 409A(a)(2)(B)(i) of the Code, distribution may not be made prior to the date which is 6 months after the Date of Termination.</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15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(i) all restricted shares and restricted stock units of Executive shall become 100% vested and all restrictions thereon shall lapse as of the Date of Termination and the Company shall promptly deliver such shares to Executive and (ii) each then outstanding stock option of Executive shall become 100% exercisable and, excluding any incentive stock option granted prior to the Effective Date, shall remain exercisable for the remainder of such option’s term.</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2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following the Date of Termination, equal to the present value of such unvested accrued benefits that cannot become vested under the plan for the reasons provided above.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2" w:name="page223"/>
    <w:bookmarkEnd w:id="222"/>
    <w:p>
      <w:pPr>
        <w:jc w:val="both"/>
        <w:ind w:firstLine="656"/>
        <w:spacing w:after="0" w:line="268" w:lineRule="auto"/>
        <w:tabs>
          <w:tab w:leader="none" w:pos="1198" w:val="left"/>
        </w:tabs>
        <w:numPr>
          <w:ilvl w:val="1"/>
          <w:numId w:val="209"/>
        </w:numPr>
        <w:rPr>
          <w:rFonts w:ascii="Arial" w:cs="Arial" w:eastAsia="Arial" w:hAnsi="Arial"/>
          <w:sz w:val="17"/>
          <w:szCs w:val="17"/>
          <w:color w:val="auto"/>
        </w:rPr>
      </w:pPr>
      <w:r>
        <w:rPr>
          <w:rFonts w:ascii="Arial" w:cs="Arial" w:eastAsia="Arial" w:hAnsi="Arial"/>
          <w:sz w:val="17"/>
          <w:szCs w:val="17"/>
          <w:color w:val="auto"/>
        </w:rPr>
        <w:t>For the period beginning on the Date of Termination and ending on December 31 of the second calendar year following the calendar year which includes the Date of Termination [or, in the case of disability coverage, and benefits the 36-month period following the Date of Termination] (the “</w:t>
      </w:r>
      <w:r>
        <w:rPr>
          <w:rFonts w:ascii="Arial" w:cs="Arial" w:eastAsia="Arial" w:hAnsi="Arial"/>
          <w:sz w:val="17"/>
          <w:szCs w:val="17"/>
          <w:b w:val="1"/>
          <w:bCs w:val="1"/>
          <w:i w:val="1"/>
          <w:iCs w:val="1"/>
          <w:color w:val="auto"/>
        </w:rPr>
        <w:t>COC Severance Period</w:t>
      </w:r>
      <w:r>
        <w:rPr>
          <w:rFonts w:ascii="Arial" w:cs="Arial" w:eastAsia="Arial" w:hAnsi="Arial"/>
          <w:sz w:val="17"/>
          <w:szCs w:val="17"/>
          <w:color w:val="auto"/>
        </w:rPr>
        <w:t>”), the Company shall continue to provide Executive and Executive’s eligible family members, based on the cost sharing arrangement between Executive and the Company on the Date of Termination, with medical and dental health benefits and disability coverage and benefits at least equal to those which would have been provided to Executive if Executive’s employment had not been terminated or, if more favorable to Executive, as in effect generally at any time during such period. Notwithstanding the foregoing, if Executive becomes eligible to receive medical, dental and disability benefits under another employer’s plans during this COC Severance Period,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the Company shall provide Executive with substantially equivalent coverage through other sources or will provide Executive with a lump sum payment within 15 days following the Date of Termination, in such amount that, after all taxes on that amount, shall be equal to the cost to Executive of providing Executive such benefit coverage. The lump sum shall be determined on a present value basis using the interest rate provided in Section 1274(b)(2)(B) of the Code on the Date of Termination.</w:t>
      </w:r>
    </w:p>
    <w:p>
      <w:pPr>
        <w:spacing w:after="0" w:line="187" w:lineRule="exact"/>
        <w:rPr>
          <w:rFonts w:ascii="Arial" w:cs="Arial" w:eastAsia="Arial" w:hAnsi="Arial"/>
          <w:sz w:val="17"/>
          <w:szCs w:val="17"/>
          <w:color w:val="auto"/>
        </w:rPr>
      </w:pPr>
    </w:p>
    <w:p>
      <w:pPr>
        <w:jc w:val="both"/>
        <w:ind w:firstLine="656"/>
        <w:spacing w:after="0" w:line="312" w:lineRule="auto"/>
        <w:tabs>
          <w:tab w:leader="none" w:pos="112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Throughout the term of the COC Severance Period or until Executive accepts other employment, including as an independent contractor, with a new employer, whichever occurs first,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 Gross Up.</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any payment (including without limitation any imputed income) made, or benefit provided, to or on behalf of Executive pursuant to this Agreement, including any accelerated vesting or any deferred compensation or other award, in connection with a “change in control” of the Company (within the meaning of Section 280G of the Code) results in Executive being subject to the excise tax imposed by Section 4999 of the Code (or any successor or similar provision) the Company shall promptly pay Executive an additional amount in cash (the “</w:t>
      </w:r>
      <w:r>
        <w:rPr>
          <w:rFonts w:ascii="Arial" w:cs="Arial" w:eastAsia="Arial" w:hAnsi="Arial"/>
          <w:sz w:val="18"/>
          <w:szCs w:val="18"/>
          <w:b w:val="1"/>
          <w:bCs w:val="1"/>
          <w:i w:val="1"/>
          <w:iCs w:val="1"/>
          <w:color w:val="auto"/>
        </w:rPr>
        <w:t>Additional Amount</w:t>
      </w:r>
      <w:r>
        <w:rPr>
          <w:rFonts w:ascii="Arial" w:cs="Arial" w:eastAsia="Arial" w:hAnsi="Arial"/>
          <w:sz w:val="18"/>
          <w:szCs w:val="18"/>
          <w:color w:val="auto"/>
        </w:rPr>
        <w:t>”) such that the net amount of all such payments and benefits received by Executive after paying all applicable taxes (including penalties and interest) on such payments and benefits, including on such Additional Amount, shall be equal to the net after-tax amount of the payments and benefits (excluding the Additional Amount) that Executive would have received if Section 4999 were not applicable to such payments and benefits. Such determinations shall be made by the Company’s independent certified public accountants.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3" w:name="page224"/>
    <w:bookmarkEnd w:id="223"/>
    <w:p>
      <w:pPr>
        <w:ind w:left="660" w:hanging="652"/>
        <w:spacing w:after="0"/>
        <w:tabs>
          <w:tab w:leader="none" w:pos="6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Accelerated Vesting of Options Upon a Change of Control.</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Notwithstanding any provisions of any Company stock option plan or option agreement to the contrary, upon a Change of Control all outstanding unvested stock options, if any, granted to Executive under any Company stock option plan (or options substituted therefor covering the stock of a successor corporation) shall be fully vested and exercisable as to all shares of stock covered thereby effective as of the date of the Change of Control.</w:t>
      </w:r>
    </w:p>
    <w:p>
      <w:pPr>
        <w:spacing w:after="0" w:line="143"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[except that any severance payments or benefits that Executive is entitled to receive pursuant to a Company severance plan or program for employees in general shall reduce the amount of payments and benefits otherwise payable or to be provided under this Agreement].</w:t>
      </w:r>
    </w:p>
    <w:p>
      <w:pPr>
        <w:spacing w:after="0" w:line="189" w:lineRule="exact"/>
        <w:rPr>
          <w:sz w:val="20"/>
          <w:szCs w:val="20"/>
          <w:color w:val="auto"/>
        </w:rPr>
      </w:pPr>
    </w:p>
    <w:p>
      <w:pPr>
        <w:ind w:left="660" w:hanging="652"/>
        <w:spacing w:after="0"/>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judgements,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24" w:name="page225"/>
    <w:bookmarkEnd w:id="224"/>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 of this Agreement, notices and all other communications provided for in this Agreement shall be in writing and delivered by United 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0"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Oil States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4620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3001 Lafayette Street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77005</w:t>
      </w:r>
    </w:p>
    <w:p>
      <w:pPr>
        <w:spacing w:after="0" w:line="416" w:lineRule="exact"/>
        <w:rPr>
          <w:sz w:val="20"/>
          <w:szCs w:val="20"/>
          <w:color w:val="auto"/>
        </w:rPr>
      </w:pPr>
    </w:p>
    <w:p>
      <w:pPr>
        <w:sectPr>
          <w:pgSz w:w="11900" w:h="16838" w:orient="portrait"/>
          <w:cols w:equalWidth="0" w:num="2">
            <w:col w:w="4100" w:space="720"/>
            <w:col w:w="6600"/>
          </w:cols>
          <w:pgMar w:left="240" w:top="580" w:right="239" w:bottom="1440" w:gutter="0" w:footer="0" w:header="0"/>
          <w:type w:val="continuous"/>
        </w:sectPr>
      </w:pPr>
    </w:p>
    <w:p>
      <w:pPr>
        <w:spacing w:after="0" w:line="57"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parties agree to resolve any claim or controversy arising out of or relating to this Agreement, including but not limited to the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174"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condition to the receipt of any payment or benefit under this Agreement, Executive must first execute and deliver to the Company a binding general release, as prepared by the Company,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25" w:name="page226"/>
    <w:bookmarkEnd w:id="225"/>
    <w:p>
      <w:pPr>
        <w:ind w:left="660" w:hanging="652"/>
        <w:spacing w:after="0"/>
        <w:tabs>
          <w:tab w:leader="none" w:pos="6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right="20" w:firstLine="656"/>
        <w:spacing w:after="0" w:line="277" w:lineRule="auto"/>
        <w:tabs>
          <w:tab w:leader="none" w:pos="125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62"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executed this Agreement effective for all purposes as of the Effective Date.</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Cindy Taylor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Cindy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-130810</wp:posOffset>
            </wp:positionV>
            <wp:extent cx="3439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5340"/>
        <w:spacing w:after="0"/>
        <w:tabs>
          <w:tab w:leader="none" w:pos="5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COO</w:t>
      </w: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Bradley Dodson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Bradley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-130810</wp:posOffset>
            </wp:positionV>
            <wp:extent cx="36531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900" w:top="580" w:right="97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AMENDMENT TO EXECUTIVE AGREEMENT</w:t>
      </w:r>
    </w:p>
    <w:p>
      <w:pPr>
        <w:spacing w:after="0" w:line="225"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THIS AMENDMENT TO EXECUTIVE AGREEMENT </w:t>
      </w:r>
      <w:r>
        <w:rPr>
          <w:rFonts w:ascii="Arial" w:cs="Arial" w:eastAsia="Arial" w:hAnsi="Arial"/>
          <w:sz w:val="18"/>
          <w:szCs w:val="18"/>
          <w:color w:val="auto"/>
        </w:rPr>
        <w:t>(“Amendment”), dated effective as of January 1, 2009, (the “Effective Date”), is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and between Oil States International, Inc. (the “Company”), and Bradley Dodson (“Executive”).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Executive have heretofore entered into that certain Executive Agreement, dated as of October 10, 2006,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desire to amend the Agreement in certain respects;</w:t>
      </w:r>
    </w:p>
    <w:p>
      <w:pPr>
        <w:spacing w:after="0" w:line="225"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set forth above and the mutual agreements set forth herein, the Company and Executive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effective as of the Effective Date, that the Agreement shall be amended as hereafter provided:</w:t>
      </w:r>
    </w:p>
    <w:p>
      <w:pPr>
        <w:spacing w:after="0" w:line="166" w:lineRule="exact"/>
        <w:rPr>
          <w:sz w:val="20"/>
          <w:szCs w:val="20"/>
          <w:color w:val="auto"/>
        </w:rPr>
      </w:pPr>
    </w:p>
    <w:p>
      <w:pPr>
        <w:ind w:left="340" w:right="3660" w:hanging="8"/>
        <w:spacing w:after="0" w:line="501" w:lineRule="auto"/>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Sections 4 and 5 of the Agreement shall be deleted and the following shall be substituted therefor: “</w:t>
      </w:r>
      <w:r>
        <w:rPr>
          <w:rFonts w:ascii="Arial" w:cs="Arial" w:eastAsia="Arial" w:hAnsi="Arial"/>
          <w:sz w:val="18"/>
          <w:szCs w:val="18"/>
          <w:b w:val="1"/>
          <w:bCs w:val="1"/>
          <w:color w:val="auto"/>
        </w:rPr>
        <w:t>4. Regular Severance Benefits</w:t>
      </w:r>
      <w:r>
        <w:rPr>
          <w:rFonts w:ascii="Arial" w:cs="Arial" w:eastAsia="Arial" w:hAnsi="Arial"/>
          <w:sz w:val="18"/>
          <w:szCs w:val="18"/>
          <w:color w:val="auto"/>
        </w:rPr>
        <w:t>.</w:t>
      </w:r>
    </w:p>
    <w:p>
      <w:pPr>
        <w:ind w:left="340" w:right="320"/>
        <w:spacing w:after="0" w:line="277" w:lineRule="auto"/>
        <w:rPr>
          <w:sz w:val="20"/>
          <w:szCs w:val="20"/>
          <w:color w:val="auto"/>
        </w:rPr>
      </w:pPr>
      <w:r>
        <w:rPr>
          <w:rFonts w:ascii="Arial" w:cs="Arial" w:eastAsia="Arial" w:hAnsi="Arial"/>
          <w:sz w:val="18"/>
          <w:szCs w:val="18"/>
          <w:color w:val="auto"/>
        </w:rPr>
        <w:t>Subject to Section 13, if the Company terminates Executive’s employment (i) other than for Cause and (ii) not during the Protected Period, Executive shall receive the following compensation and benefits from the Company:</w:t>
      </w:r>
    </w:p>
    <w:p>
      <w:pPr>
        <w:spacing w:after="0" w:line="170" w:lineRule="exact"/>
        <w:rPr>
          <w:sz w:val="20"/>
          <w:szCs w:val="20"/>
          <w:color w:val="auto"/>
        </w:rPr>
      </w:pPr>
    </w:p>
    <w:p>
      <w:pPr>
        <w:ind w:left="660" w:right="40" w:hanging="328"/>
        <w:spacing w:after="0" w:line="286" w:lineRule="auto"/>
        <w:tabs>
          <w:tab w:leader="none" w:pos="6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Within 15 days of the expiration of the sixty-day period following the termination of Executive’s employment with the Company (during which time Executive complies with the requirements of Section 13 hereof by executing a general release), the Company shall pay to Executive in a lump sum, in cash, an amount equal to one times the sum of Executive’s (i) Termination Base Salary and (ii) Target AICP.</w:t>
      </w:r>
    </w:p>
    <w:p>
      <w:pPr>
        <w:spacing w:after="0" w:line="165"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all restricted shares and restricted stock units of Executive shall become 100% vested and all restrictions thereon shall lapse as of the lapse of such sixty-day period, and the Company shall promptly deliver such shares to Executive.</w:t>
      </w:r>
    </w:p>
    <w:p>
      <w:pPr>
        <w:spacing w:after="0" w:line="181" w:lineRule="exact"/>
        <w:rPr>
          <w:rFonts w:ascii="Arial" w:cs="Arial" w:eastAsia="Arial" w:hAnsi="Arial"/>
          <w:sz w:val="18"/>
          <w:szCs w:val="18"/>
          <w:color w:val="auto"/>
        </w:rPr>
      </w:pPr>
    </w:p>
    <w:p>
      <w:pPr>
        <w:ind w:left="660" w:hanging="328"/>
        <w:spacing w:after="0" w:line="267" w:lineRule="auto"/>
        <w:tabs>
          <w:tab w:leader="none" w:pos="6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For the 24-month period following the date of termination of Executive’s employment with the Company, the Company shall continue to provide Executive and Executive’s eligible family members with medical and dental health benefits and disability benefits coverage at least equal to those which would have been provided to Executive if Executive’s employment had not been terminated or, if more favorable to Executive, as in effect generally at any time during such period. The medical and dental health benefits coverage shall be provided at full cost to the Executive during the applicable period, and the disability benefits coverage shall be provided based upon the cost sharing arrangement between the Company and similarly situated active employees. The Company shall also provide Executive with a lump sum payment within 15 days following the expiration of each of the four,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dental and disability benefits under another employer’s plans during the 24-month period following the date of termination of Executive’s employment with the Company,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four, six-month periods following termination of Executive’s employment with the Company in such amount that, after all taxes on that amount, shall be equal to the cost of providing Executive and Executive’s eligible family members with the medical and dental health benefits coverage during each such preceding six-month period. Any lump sum shall be determined on a present value basis using the interest rate provided in Section 1274(b)(2)(B) of the Code on the Date of Termination.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28" w:name="page229"/>
    <w:bookmarkEnd w:id="228"/>
    <w:p>
      <w:pPr>
        <w:ind w:left="368" w:hanging="368"/>
        <w:spacing w:after="0"/>
        <w:tabs>
          <w:tab w:leader="none" w:pos="368"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ind w:left="8" w:right="180"/>
        <w:spacing w:after="0" w:line="264" w:lineRule="auto"/>
        <w:rPr>
          <w:sz w:val="20"/>
          <w:szCs w:val="20"/>
          <w:color w:val="auto"/>
        </w:rPr>
      </w:pPr>
      <w:r>
        <w:rPr>
          <w:rFonts w:ascii="Arial" w:cs="Arial" w:eastAsia="Arial" w:hAnsi="Arial"/>
          <w:sz w:val="18"/>
          <w:szCs w:val="18"/>
          <w:color w:val="auto"/>
        </w:rPr>
        <w:t>Subject to Section 13,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left="328" w:right="20" w:hanging="328"/>
        <w:spacing w:after="0" w:line="286" w:lineRule="auto"/>
        <w:tabs>
          <w:tab w:leader="none" w:pos="32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Within 15 days of the expiration of the sixty-day period following the termination of Executive’s employment with the Company (during which time Executive complies with the requirements of Section 13 hereof by executing a general release), the Company shall pay to Executive in a lump sum, in cash, an amount equal to two times the sum of Executive’s (i) Termination Base Salary and (ii) Target AICP.</w:t>
      </w:r>
    </w:p>
    <w:p>
      <w:pPr>
        <w:spacing w:after="0" w:line="165" w:lineRule="exact"/>
        <w:rPr>
          <w:rFonts w:ascii="Arial" w:cs="Arial" w:eastAsia="Arial" w:hAnsi="Arial"/>
          <w:sz w:val="17"/>
          <w:szCs w:val="17"/>
          <w:color w:val="auto"/>
        </w:rPr>
      </w:pPr>
    </w:p>
    <w:p>
      <w:pPr>
        <w:ind w:left="328" w:hanging="328"/>
        <w:spacing w:after="0" w:line="279" w:lineRule="auto"/>
        <w:tabs>
          <w:tab w:leader="none" w:pos="32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and restricted stock units of Executive shall become 100% vested and all restrictions thereon shall lapse as of the lapse of such sixty-day period, and the Company shall promptly deliver such shares to Executive and (ii) each then outstanding stock option of Executive shall become 100% exercisable and, excluding any incentive stock option granted prior to the Effective Date, shall remain exercisable for the remainder of such option’s term.</w:t>
      </w:r>
    </w:p>
    <w:p>
      <w:pPr>
        <w:spacing w:after="0" w:line="171" w:lineRule="exact"/>
        <w:rPr>
          <w:rFonts w:ascii="Arial" w:cs="Arial" w:eastAsia="Arial" w:hAnsi="Arial"/>
          <w:sz w:val="17"/>
          <w:szCs w:val="17"/>
          <w:color w:val="auto"/>
        </w:rPr>
      </w:pPr>
    </w:p>
    <w:p>
      <w:pPr>
        <w:ind w:left="328" w:right="40" w:hanging="328"/>
        <w:spacing w:after="0" w:line="255" w:lineRule="auto"/>
        <w:tabs>
          <w:tab w:leader="none" w:pos="3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193" w:lineRule="exact"/>
        <w:rPr>
          <w:rFonts w:ascii="Arial" w:cs="Arial" w:eastAsia="Arial" w:hAnsi="Arial"/>
          <w:sz w:val="18"/>
          <w:szCs w:val="18"/>
          <w:color w:val="auto"/>
        </w:rPr>
      </w:pPr>
    </w:p>
    <w:p>
      <w:pPr>
        <w:ind w:left="328" w:right="40" w:hanging="328"/>
        <w:spacing w:after="0" w:line="284" w:lineRule="auto"/>
        <w:tabs>
          <w:tab w:leader="none" w:pos="32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For the 36-month period following the date of termination of Executive’s employment with the Company, the Company shall continue to provide Executive and Executive’s eligible family members with medical and dental health benefits and disability benefits coverage at least equal to those which would have been provided to Executive if Executive’s employment had not been terminated or, if more favorable to Executive, as in effect generally at any time during such period. The medical and dental health benefits coverage shall be provided at full cost to the Executive during the applicable period, and the disability benefits coverage shall be provided based upon the cost sharing arrangement between Executive and the Company on the date of termination of Executive’s employment with the Company. The Company shall also provide Executive with a lump sum payment within 15 days following the expiration of each of the six,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dental and disability benefits under another employer’s plans during the 36-month period following the date of termination of Executive’s employment with the Company,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36-month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six,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200" w:lineRule="exact"/>
        <w:rPr>
          <w:sz w:val="20"/>
          <w:szCs w:val="20"/>
          <w:color w:val="auto"/>
        </w:rPr>
      </w:pPr>
    </w:p>
    <w:p>
      <w:pPr>
        <w:spacing w:after="0" w:line="22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1" w:right="259" w:bottom="1440" w:gutter="0" w:footer="0" w:header="0"/>
        </w:sectPr>
      </w:pPr>
    </w:p>
    <w:bookmarkStart w:id="229" w:name="page230"/>
    <w:bookmarkEnd w:id="229"/>
    <w:p>
      <w:pPr>
        <w:ind w:left="328" w:right="80" w:hanging="328"/>
        <w:spacing w:after="0" w:line="257" w:lineRule="auto"/>
        <w:tabs>
          <w:tab w:leader="none" w:pos="3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88" w:lineRule="exact"/>
        <w:rPr>
          <w:sz w:val="20"/>
          <w:szCs w:val="20"/>
          <w:color w:val="auto"/>
        </w:rPr>
      </w:pPr>
    </w:p>
    <w:p>
      <w:pPr>
        <w:ind w:left="348" w:hanging="348"/>
        <w:spacing w:after="0"/>
        <w:tabs>
          <w:tab w:leader="none" w:pos="34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following shall be added to Section 6 of the Agreement:</w:t>
      </w:r>
    </w:p>
    <w:p>
      <w:pPr>
        <w:spacing w:after="0" w:line="225" w:lineRule="exact"/>
        <w:rPr>
          <w:sz w:val="20"/>
          <w:szCs w:val="20"/>
          <w:color w:val="auto"/>
        </w:rPr>
      </w:pPr>
    </w:p>
    <w:p>
      <w:pPr>
        <w:ind w:left="328" w:right="160"/>
        <w:spacing w:after="0" w:line="277" w:lineRule="auto"/>
        <w:rPr>
          <w:sz w:val="20"/>
          <w:szCs w:val="20"/>
          <w:color w:val="auto"/>
        </w:rPr>
      </w:pPr>
      <w:r>
        <w:rPr>
          <w:rFonts w:ascii="Arial" w:cs="Arial" w:eastAsia="Arial" w:hAnsi="Arial"/>
          <w:sz w:val="18"/>
          <w:szCs w:val="18"/>
          <w:color w:val="auto"/>
        </w:rPr>
        <w:t>“Any such payment shall, in any event, be made no later than the last day of the calendar year following the calendar year in which Executive pays such excise taxes.”</w:t>
      </w:r>
    </w:p>
    <w:p>
      <w:pPr>
        <w:spacing w:after="0" w:line="170" w:lineRule="exact"/>
        <w:rPr>
          <w:sz w:val="20"/>
          <w:szCs w:val="20"/>
          <w:color w:val="auto"/>
        </w:rPr>
      </w:pPr>
    </w:p>
    <w:p>
      <w:pPr>
        <w:ind w:left="8" w:right="6100" w:hanging="8"/>
        <w:spacing w:after="0" w:line="501" w:lineRule="auto"/>
        <w:tabs>
          <w:tab w:leader="none" w:pos="3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following new Section 10A shall be added after Section 10: “</w:t>
      </w:r>
      <w:r>
        <w:rPr>
          <w:rFonts w:ascii="Arial" w:cs="Arial" w:eastAsia="Arial" w:hAnsi="Arial"/>
          <w:sz w:val="18"/>
          <w:szCs w:val="18"/>
          <w:b w:val="1"/>
          <w:bCs w:val="1"/>
          <w:color w:val="auto"/>
        </w:rPr>
        <w:t>10A. Code Section 409A Restrictions</w:t>
      </w:r>
      <w:r>
        <w:rPr>
          <w:rFonts w:ascii="Arial" w:cs="Arial" w:eastAsia="Arial" w:hAnsi="Arial"/>
          <w:sz w:val="18"/>
          <w:szCs w:val="18"/>
          <w:color w:val="auto"/>
        </w:rPr>
        <w:t>.</w:t>
      </w:r>
    </w:p>
    <w:p>
      <w:pPr>
        <w:ind w:left="328" w:hanging="328"/>
        <w:spacing w:after="0" w:line="289" w:lineRule="auto"/>
        <w:tabs>
          <w:tab w:leader="none" w:pos="32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of the Code because the timing of such payments is not delayed as provided in Section 409A(a)(2)(B)(i) 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of the Code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166" w:lineRule="exact"/>
        <w:rPr>
          <w:rFonts w:ascii="Arial" w:cs="Arial" w:eastAsia="Arial" w:hAnsi="Arial"/>
          <w:sz w:val="16"/>
          <w:szCs w:val="16"/>
          <w:color w:val="auto"/>
        </w:rPr>
      </w:pPr>
    </w:p>
    <w:p>
      <w:pPr>
        <w:ind w:left="328" w:right="60" w:hanging="328"/>
        <w:spacing w:after="0" w:line="255" w:lineRule="auto"/>
        <w:tabs>
          <w:tab w:leader="none" w:pos="3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benefits to be made available under this Agreement would be subject to additional taxes and interest under Section 409A of the Code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93" w:lineRule="exact"/>
        <w:rPr>
          <w:rFonts w:ascii="Arial" w:cs="Arial" w:eastAsia="Arial" w:hAnsi="Arial"/>
          <w:sz w:val="18"/>
          <w:szCs w:val="18"/>
          <w:color w:val="auto"/>
        </w:rPr>
      </w:pPr>
    </w:p>
    <w:p>
      <w:pPr>
        <w:ind w:left="328" w:right="180" w:hanging="328"/>
        <w:spacing w:after="0" w:line="308" w:lineRule="auto"/>
        <w:tabs>
          <w:tab w:leader="none" w:pos="32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Executive hereby agrees to be bound by the Company’s determination of its “specified employees” (as such term is defined in Section 409A of the Code) in accordance with any of the methods permitted under the regulations issued under Section 409A of the Code.”</w:t>
      </w:r>
    </w:p>
    <w:p>
      <w:pPr>
        <w:spacing w:after="0" w:line="147" w:lineRule="exact"/>
        <w:rPr>
          <w:sz w:val="20"/>
          <w:szCs w:val="20"/>
          <w:color w:val="auto"/>
        </w:rPr>
      </w:pPr>
    </w:p>
    <w:p>
      <w:pPr>
        <w:ind w:left="348" w:hanging="348"/>
        <w:spacing w:after="0"/>
        <w:tabs>
          <w:tab w:leader="none" w:pos="34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following shall be added to Section 13 of the Agreement:</w:t>
      </w:r>
    </w:p>
    <w:p>
      <w:pPr>
        <w:spacing w:after="0" w:line="225" w:lineRule="exact"/>
        <w:rPr>
          <w:sz w:val="20"/>
          <w:szCs w:val="20"/>
          <w:color w:val="auto"/>
        </w:rPr>
      </w:pPr>
    </w:p>
    <w:p>
      <w:pPr>
        <w:ind w:left="328" w:right="60"/>
        <w:spacing w:after="0" w:line="277" w:lineRule="auto"/>
        <w:rPr>
          <w:sz w:val="20"/>
          <w:szCs w:val="20"/>
          <w:color w:val="auto"/>
        </w:rPr>
      </w:pPr>
      <w:r>
        <w:rPr>
          <w:rFonts w:ascii="Arial" w:cs="Arial" w:eastAsia="Arial" w:hAnsi="Arial"/>
          <w:sz w:val="18"/>
          <w:szCs w:val="18"/>
          <w:color w:val="auto"/>
        </w:rPr>
        <w:t>“The general release described above must be effective and irrevocable within 55 days after the date of Executive’s termination of employment with the Company.”</w:t>
      </w:r>
    </w:p>
    <w:p>
      <w:pPr>
        <w:spacing w:after="0" w:line="200" w:lineRule="exact"/>
        <w:rPr>
          <w:sz w:val="20"/>
          <w:szCs w:val="20"/>
          <w:color w:val="auto"/>
        </w:rPr>
      </w:pPr>
    </w:p>
    <w:p>
      <w:pPr>
        <w:spacing w:after="0" w:line="21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sectPr>
      </w:pPr>
    </w:p>
    <w:bookmarkStart w:id="230" w:name="page231"/>
    <w:bookmarkEnd w:id="230"/>
    <w:p>
      <w:pPr>
        <w:ind w:firstLine="332"/>
        <w:spacing w:after="0" w:line="342" w:lineRule="auto"/>
        <w:tabs>
          <w:tab w:leader="none" w:pos="68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This Amendment shall supersede any prior agreement between the Company and Executive relating to the subject matter of this Amendment and shall be binding upon and inure to the benefit of the parties hereto and any successors to the Company and all persons lawfully claiming under Executive.</w:t>
      </w:r>
    </w:p>
    <w:p>
      <w:pPr>
        <w:spacing w:after="0" w:line="123" w:lineRule="exact"/>
        <w:rPr>
          <w:rFonts w:ascii="Arial" w:cs="Arial" w:eastAsia="Arial" w:hAnsi="Arial"/>
          <w:sz w:val="16"/>
          <w:szCs w:val="16"/>
          <w:color w:val="auto"/>
        </w:rPr>
      </w:pPr>
    </w:p>
    <w:p>
      <w:pPr>
        <w:ind w:left="680" w:hanging="348"/>
        <w:spacing w:after="0"/>
        <w:tabs>
          <w:tab w:leader="none" w:pos="6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amended hereby, the Agreement is specifically ratified and reaffirmed.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and delivered this Amendment, effective as of the Effective Date.</w:t>
      </w:r>
    </w:p>
    <w:p>
      <w:pPr>
        <w:spacing w:after="0" w:line="200" w:lineRule="exact"/>
        <w:rPr>
          <w:sz w:val="20"/>
          <w:szCs w:val="20"/>
          <w:color w:val="auto"/>
        </w:rPr>
      </w:pPr>
    </w:p>
    <w:p>
      <w:pPr>
        <w:spacing w:after="0" w:line="268"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AGREED TO AND ACCEPTED</w:t>
      </w:r>
      <w:r>
        <w:rPr>
          <w:sz w:val="20"/>
          <w:szCs w:val="20"/>
          <w:color w:val="auto"/>
        </w:rPr>
        <w:tab/>
      </w: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b w:val="1"/>
          <w:bCs w:val="1"/>
          <w:color w:val="auto"/>
        </w:rPr>
        <w:t>OIL STATES INTERNATIONAL, INC.</w:t>
      </w:r>
    </w:p>
    <w:p>
      <w:pPr>
        <w:sectPr>
          <w:pgSz w:w="11900" w:h="16838" w:orient="portrait"/>
          <w:cols w:equalWidth="0" w:num="1">
            <w:col w:w="11140"/>
          </w:cols>
          <w:pgMar w:left="240" w:top="585" w:right="5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Bradley J. Dodson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Title: V.P. CEO and Treasurer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12/24/08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Cindy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Cindy Taylor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CEO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12/30/08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060"/>
          </w:cols>
          <w:pgMar w:left="240" w:top="585" w:right="51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40"/>
          </w:cols>
          <w:pgMar w:left="240" w:top="585" w:right="519" w:bottom="1440" w:gutter="0" w:footer="0" w:header="0"/>
          <w:type w:val="continuous"/>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Assignment and Assumption Agreement (this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is made and entered into this ___ day of ______, 2014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among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Civeo Corporation, a Delaware corporation and, as of the date hereof, a wholly-owned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and Ron R. Green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Oil States, Civeo and the Executive are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Oil States and the Executive are currently party to that certain executive agreement dated as of May 17, 2007, as amended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January 1, 2009, and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has determined that it would be appropriate, desirable and in the best interests of Oil States and the shareholders of Oil</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to separate its accommodations business from Oil States (such, transaction the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effectuate the Spin-Off, (a) Oil States will transfer certain assets and liabilities associated with the accommodations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to Civeo, pursuant to a Separation and Distribution Agreement and certain other agreements which are expected to be entered into by and between Oil States and Civeo and (b) Oil States will transfer the employment of certain employees (including the Executive) to Civeo;</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transfer of the Executive’s employment to Civeo, Oil States wishes to assign to Civeo, and Civeo wishes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assume, all its duties, obligations, rights and benefits pursuant to the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wishes to consent to the assignment by Oil States of such duties, obligations, rights and benefits to Civeo.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as of immediately prior to the consummation of the Spin-Off, the Parties agree as follows:</w:t>
      </w:r>
    </w:p>
    <w:p>
      <w:pPr>
        <w:spacing w:after="0" w:line="229" w:lineRule="exact"/>
        <w:rPr>
          <w:sz w:val="20"/>
          <w:szCs w:val="20"/>
          <w:color w:val="auto"/>
        </w:rPr>
      </w:pPr>
    </w:p>
    <w:p>
      <w:pPr>
        <w:ind w:left="1020" w:hanging="364"/>
        <w:spacing w:after="0"/>
        <w:tabs>
          <w:tab w:leader="none" w:pos="10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Civeo hereby assumes all duties, obligations, rights and benefits of Oil States under the Agreement.</w:t>
      </w:r>
    </w:p>
    <w:p>
      <w:pPr>
        <w:spacing w:after="0" w:line="225" w:lineRule="exact"/>
        <w:rPr>
          <w:rFonts w:ascii="Arial" w:cs="Arial" w:eastAsia="Arial" w:hAnsi="Arial"/>
          <w:sz w:val="18"/>
          <w:szCs w:val="18"/>
          <w:color w:val="auto"/>
        </w:rPr>
      </w:pPr>
    </w:p>
    <w:p>
      <w:pPr>
        <w:ind w:firstLine="656"/>
        <w:spacing w:after="0" w:line="277" w:lineRule="auto"/>
        <w:tabs>
          <w:tab w:leader="none" w:pos="103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Oil States hereby assigns all duties, obligations, rights and benefits under the Agreement (including, without limitation, any noncompetition or other restrictive covenant(s) in the Agreement) to Civeo.</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All references to Oil States in the Agreement are hereby replaced,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references to Civeo.</w:t>
      </w:r>
    </w:p>
    <w:p>
      <w:pPr>
        <w:spacing w:after="0" w:line="225" w:lineRule="exact"/>
        <w:rPr>
          <w:rFonts w:ascii="Arial" w:cs="Arial" w:eastAsia="Arial" w:hAnsi="Arial"/>
          <w:sz w:val="18"/>
          <w:szCs w:val="18"/>
          <w:color w:val="auto"/>
        </w:rPr>
      </w:pPr>
    </w:p>
    <w:p>
      <w:pPr>
        <w:ind w:right="20" w:firstLine="656"/>
        <w:spacing w:after="0" w:line="277" w:lineRule="auto"/>
        <w:tabs>
          <w:tab w:leader="none" w:pos="107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Oil States is hereby relieved of the duties and obligations assumed by Civeo in item 1 above and shall be indemnified and held harmless by Civeo for such obligations.</w:t>
      </w:r>
    </w:p>
    <w:p>
      <w:pPr>
        <w:spacing w:after="0" w:line="170" w:lineRule="exact"/>
        <w:rPr>
          <w:rFonts w:ascii="Arial" w:cs="Arial" w:eastAsia="Arial" w:hAnsi="Arial"/>
          <w:sz w:val="18"/>
          <w:szCs w:val="18"/>
          <w:color w:val="auto"/>
        </w:rPr>
      </w:pPr>
    </w:p>
    <w:p>
      <w:pPr>
        <w:ind w:firstLine="656"/>
        <w:spacing w:after="0" w:line="277" w:lineRule="auto"/>
        <w:tabs>
          <w:tab w:leader="none" w:pos="10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the Agreement, the Executive expressly consents to the assignment of duties, obligations, rights and benefits hereunder.</w:t>
      </w:r>
    </w:p>
    <w:p>
      <w:pPr>
        <w:spacing w:after="0" w:line="170" w:lineRule="exact"/>
        <w:rPr>
          <w:rFonts w:ascii="Arial" w:cs="Arial" w:eastAsia="Arial" w:hAnsi="Arial"/>
          <w:sz w:val="18"/>
          <w:szCs w:val="18"/>
          <w:color w:val="auto"/>
        </w:rPr>
      </w:pPr>
    </w:p>
    <w:p>
      <w:pPr>
        <w:ind w:firstLine="656"/>
        <w:spacing w:after="0" w:line="277" w:lineRule="auto"/>
        <w:tabs>
          <w:tab w:leader="none" w:pos="116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This Assignment is expressly contingent upon the completion of the Spin-Off. In the event that the Spin-Off is not consummated, this Assignment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2" w:name="page233"/>
    <w:bookmarkEnd w:id="232"/>
    <w:p>
      <w:pPr>
        <w:jc w:val="both"/>
        <w:ind w:firstLine="656"/>
        <w:spacing w:after="0" w:line="264" w:lineRule="auto"/>
        <w:tabs>
          <w:tab w:leader="none" w:pos="10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This Assignment shall be governed by and construed and interpreted in accordance with the laws of the State of Texas, without giving effect to the conflicts of law provision or rule (whether of the State of Texas or any other jurisdiction) that would cause the application of the laws of any jurisdiction other than the State of Texas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This Assignment may be executed in any number of counterparts, each of which shall be deemed an original and all of which together shall constitute but one and the same instrument. Facsimile or scanned and emailed transmission of any signed original document or retransmission of any signed facsimile or scanned and emailed transmission will be deemed the same as delivery of an original. At the request of any Party, the other Parties will confirm facsimile or scanned and emailed transmission by signing a duplicate original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3" w:name="page234"/>
    <w:bookmarkEnd w:id="23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Assignment, to be effective as of _________, 2014: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14605</wp:posOffset>
            </wp:positionV>
            <wp:extent cx="25298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25298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14605</wp:posOffset>
            </wp:positionV>
            <wp:extent cx="25298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Ron R.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8384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581" w:right="1440"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Executive Agreement (“Agreement”) between Oil States International, Inc., a Delaware corporation (the “Company”), and Ron Green (the “Executive”) is made and entered into effective as of the date of May 17, 2007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has authorized this Agreement and certain similar agreements in order to retain and motivate</w:t>
      </w:r>
      <w:r>
        <w:rPr>
          <w:rFonts w:ascii="Arial" w:cs="Arial" w:eastAsia="Arial" w:hAnsi="Arial"/>
          <w:sz w:val="18"/>
          <w:szCs w:val="18"/>
          <w:b w:val="1"/>
          <w:bCs w:val="1"/>
          <w:color w:val="auto"/>
        </w:rPr>
        <w:t xml:space="preserve"> </w:t>
      </w:r>
      <w:r>
        <w:rPr>
          <w:rFonts w:ascii="Arial" w:cs="Arial" w:eastAsia="Arial" w:hAnsi="Arial"/>
          <w:sz w:val="18"/>
          <w:szCs w:val="18"/>
          <w:color w:val="auto"/>
        </w:rPr>
        <w:t>key management and to ensure continuity of key management;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firstLine="656"/>
        <w:spacing w:after="0" w:line="302" w:lineRule="auto"/>
        <w:tabs>
          <w:tab w:leader="none" w:pos="104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of Directors of the Company shall give written notice to Executive that the term shall cease to be so extended in which event the Agreement shall terminate on the third anniversary of the date such notice is given.</w:t>
      </w:r>
    </w:p>
    <w:p>
      <w:pPr>
        <w:spacing w:after="0" w:line="154" w:lineRule="exact"/>
        <w:rPr>
          <w:rFonts w:ascii="Arial" w:cs="Arial" w:eastAsia="Arial" w:hAnsi="Arial"/>
          <w:sz w:val="16"/>
          <w:szCs w:val="16"/>
          <w:color w:val="auto"/>
        </w:rPr>
      </w:pPr>
    </w:p>
    <w:p>
      <w:pPr>
        <w:ind w:firstLine="656"/>
        <w:spacing w:after="0" w:line="277" w:lineRule="auto"/>
        <w:tabs>
          <w:tab w:leader="none" w:pos="104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060" w:hanging="404"/>
        <w:spacing w:after="0"/>
        <w:tabs>
          <w:tab w:leader="none" w:pos="10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“Cause” shall mean:</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2"/>
          <w:numId w:val="233"/>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dishonesty or a breach of trust as regards the Company or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5" w:name="page236"/>
    <w:bookmarkEnd w:id="235"/>
    <w:p>
      <w:pPr>
        <w:ind w:left="660" w:firstLine="645"/>
        <w:spacing w:after="0" w:line="277" w:lineRule="auto"/>
        <w:tabs>
          <w:tab w:leader="none" w:pos="179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Executive’s commission of any act of theft, fraud, embezzlement or misappropriation against the Company or any subsidiary that is materially injurious to the Company or such subsidiary regardless of whether a criminal conviction is obtained;</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80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Executive’s willful and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specifically identifies the manner in which the Company believes that Executive has failed to devote substantially all of his business time to the Company’s business affairs; or</w:t>
      </w:r>
    </w:p>
    <w:p>
      <w:pPr>
        <w:spacing w:after="0" w:line="171" w:lineRule="exact"/>
        <w:rPr>
          <w:rFonts w:ascii="Arial" w:cs="Arial" w:eastAsia="Arial" w:hAnsi="Arial"/>
          <w:sz w:val="17"/>
          <w:szCs w:val="17"/>
          <w:color w:val="auto"/>
        </w:rPr>
      </w:pPr>
    </w:p>
    <w:p>
      <w:pPr>
        <w:ind w:left="1780" w:hanging="475"/>
        <w:spacing w:after="0"/>
        <w:tabs>
          <w:tab w:leader="none" w:pos="17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Executive’s unauthorized disclosure of confidential information of the Company that is materially injurious to the Company.</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no act, or failure to act, on Executive’s part shall be deemed “willful” unless done, or omitted to be done, by Executive not in good faith and without reasonable belief that Executive’s action or omission was in the best interest of the Company.</w:t>
      </w:r>
    </w:p>
    <w:p>
      <w:pPr>
        <w:spacing w:after="0" w:line="170" w:lineRule="exact"/>
        <w:rPr>
          <w:sz w:val="20"/>
          <w:szCs w:val="20"/>
          <w:color w:val="auto"/>
        </w:rPr>
      </w:pPr>
    </w:p>
    <w:p>
      <w:pPr>
        <w:ind w:left="1040" w:hanging="384"/>
        <w:spacing w:after="0"/>
        <w:tabs>
          <w:tab w:leader="none" w:pos="10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“Change of Control” shall mean any of the following:</w:t>
      </w:r>
    </w:p>
    <w:p>
      <w:pPr>
        <w:spacing w:after="0" w:line="225" w:lineRule="exact"/>
        <w:rPr>
          <w:rFonts w:ascii="Arial" w:cs="Arial" w:eastAsia="Arial" w:hAnsi="Arial"/>
          <w:sz w:val="18"/>
          <w:szCs w:val="18"/>
          <w:color w:val="auto"/>
        </w:rPr>
      </w:pPr>
    </w:p>
    <w:p>
      <w:pPr>
        <w:jc w:val="both"/>
        <w:ind w:left="660" w:firstLine="645"/>
        <w:spacing w:after="0" w:line="271" w:lineRule="auto"/>
        <w:tabs>
          <w:tab w:leader="none" w:pos="176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any “person” (as such term is used in Section 13(d) and 14(d) of the Securities Exchange Act of 1934, as amended (the “Exchange Act”)), (other than a trustee or other fiduciary holding securities under an employee benefit plan of the Company or any affiliate, SCF III, L.P., SCF IV, L.P., or any affiliate of SCF-III, L.P. or SCF-IV, L.P. or any corporation 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78" w:lineRule="exact"/>
        <w:rPr>
          <w:rFonts w:ascii="Arial" w:cs="Arial" w:eastAsia="Arial" w:hAnsi="Arial"/>
          <w:sz w:val="17"/>
          <w:szCs w:val="17"/>
          <w:color w:val="auto"/>
        </w:rPr>
      </w:pPr>
    </w:p>
    <w:p>
      <w:pPr>
        <w:jc w:val="both"/>
        <w:ind w:left="660" w:firstLine="645"/>
        <w:spacing w:after="0" w:line="273" w:lineRule="auto"/>
        <w:tabs>
          <w:tab w:leader="none" w:pos="1873"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 of Directors of the Company;</w:t>
      </w:r>
    </w:p>
    <w:p>
      <w:pPr>
        <w:spacing w:after="0" w:line="178" w:lineRule="exact"/>
        <w:rPr>
          <w:rFonts w:ascii="Arial" w:cs="Arial" w:eastAsia="Arial" w:hAnsi="Arial"/>
          <w:sz w:val="17"/>
          <w:szCs w:val="17"/>
          <w:color w:val="auto"/>
        </w:rPr>
      </w:pPr>
    </w:p>
    <w:p>
      <w:pPr>
        <w:jc w:val="both"/>
        <w:ind w:left="660" w:firstLine="645"/>
        <w:spacing w:after="0" w:line="276" w:lineRule="auto"/>
        <w:tabs>
          <w:tab w:leader="none" w:pos="1874"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6" w:name="page237"/>
    <w:bookmarkEnd w:id="236"/>
    <w:p>
      <w:pPr>
        <w:ind w:left="1780" w:hanging="475"/>
        <w:spacing w:after="0"/>
        <w:tabs>
          <w:tab w:leader="none" w:pos="17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04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“Date of Termination”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“Good Reason”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1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inconsistent in any material respect from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9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3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above however, Good Reason shall not exist with respect to a matter unless Executive gives the Company written notice of such matter within 30 days of the date Executive knows or should reasonably have known of its occurrence. If Executive fails to give such notice timely, Executive shall be deemed to have waived all rights Executive may have under this Agreement with respect to such matter.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Agreement, “Good Reason”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right="20" w:firstLine="656"/>
        <w:spacing w:after="0" w:line="264" w:lineRule="auto"/>
        <w:tabs>
          <w:tab w:leader="none" w:pos="104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“Notice of Termination”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7" w:name="page238"/>
    <w:bookmarkEnd w:id="237"/>
    <w:p>
      <w:pPr>
        <w:ind w:left="1020" w:hanging="364"/>
        <w:spacing w:after="0"/>
        <w:tabs>
          <w:tab w:leader="none" w:pos="10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“Protected Period” shall mean the 24-month period beginning on the effective date of a Change of Control.</w:t>
      </w:r>
    </w:p>
    <w:p>
      <w:pPr>
        <w:spacing w:after="0" w:line="225" w:lineRule="exact"/>
        <w:rPr>
          <w:rFonts w:ascii="Arial" w:cs="Arial" w:eastAsia="Arial" w:hAnsi="Arial"/>
          <w:sz w:val="18"/>
          <w:szCs w:val="18"/>
          <w:color w:val="auto"/>
        </w:rPr>
      </w:pPr>
    </w:p>
    <w:p>
      <w:pPr>
        <w:ind w:firstLine="656"/>
        <w:spacing w:after="0" w:line="277" w:lineRule="auto"/>
        <w:tabs>
          <w:tab w:leader="none" w:pos="11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“Target AICP”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firstLine="656"/>
        <w:spacing w:after="0" w:line="277" w:lineRule="auto"/>
        <w:tabs>
          <w:tab w:leader="none" w:pos="106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“Termination Base Salary” shall mean Executive’s base salary at the rate in effect at the time the Notice of Termination is given or, if a greater amount, Executive’s base salary at the rate in effect immediately prior to the Change of Control.</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143"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Section 13, if the Company terminates Executive’s employment (i) other than for Cause and (ii) not during the Protected Period, Executive shall receive the following compensation and benefits from the Company:</w:t>
      </w:r>
    </w:p>
    <w:p>
      <w:pPr>
        <w:spacing w:after="0" w:line="170" w:lineRule="exact"/>
        <w:rPr>
          <w:sz w:val="20"/>
          <w:szCs w:val="20"/>
          <w:color w:val="auto"/>
        </w:rPr>
      </w:pPr>
    </w:p>
    <w:p>
      <w:pPr>
        <w:ind w:firstLine="656"/>
        <w:spacing w:after="0" w:line="277" w:lineRule="auto"/>
        <w:tabs>
          <w:tab w:leader="none" w:pos="107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Within 15 days of the Date of Termination the Company shall pay to Executive in a lump sum, in cash, an amount equal to one times the sum of Executive’s (i) Termination Base Salary and (ii) Target AICP.</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3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all restricted shares and restricted stock units of Executive shall become 100% vested and all restrictions thereon shall lapse as of the Date of Termination and the Company shall promptly deliver such shares to Executive.</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2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For the 24-month period following the Date of Termination (the “Regular Severance Period”), the Company shall continue to provide Executive and Executive’s eligible family members, based on the cost sharing arrangement between the Company and similarly situated active employees, with medical and dental health benefits and disability coverage and benefits at least equal to those which would have been provided to Executive if Executive’s employment had not been terminated or, if more favorable to Executive, as in effect generally at any time during such period. Notwithstanding the foregoing, if Executive becomes eligible to receive medical, dental and disability benefits under another employer’s plans during this Regular Severance Period,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the Company shall provide Executive with substantially equivalent coverage through other sources or will provide Executive with a lump sum payment in such amount that, after all taxes on that amount, shall be equal to the cost to Executive of providing Executive such benefit coverage. The lump sum shall be determined on a present value basis using the interest rate provided in Section 1274(b)(2)(B) of the Internal Revenue Code of 1986, as amended (the “Code”) on the Date of Termination.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8" w:name="page239"/>
    <w:bookmarkEnd w:id="238"/>
    <w:p>
      <w:pPr>
        <w:ind w:left="660" w:hanging="652"/>
        <w:spacing w:after="0"/>
        <w:tabs>
          <w:tab w:leader="none" w:pos="6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Section 13,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right="20" w:firstLine="656"/>
        <w:spacing w:after="0" w:line="277" w:lineRule="auto"/>
        <w:tabs>
          <w:tab w:leader="none" w:pos="107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Within 15 days of the Date of Termination the Company shall pay to Executive in a lump sum, in cash, an amount equal to two times the sum of Executive’s (i) Termination Base Salary and (ii) Target AICP.</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8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(i) all restricted shares and restricted stock units of Executive shall become 100% vested and all restrictions thereon shall lapse as of the Date of Termination and the Company shall promptly deliver such shares to Executive and (ii) each then outstanding stock option of Executive shall become 100% exercisable and, excluding any incentive stock option granted prior to the Effective Date, shall remain exercisable for the remainder of such option’s term.</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1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following the Date of Termination, equal to the present value of such unvested accrued benefits that cannot become vested under the plan for the reasons provided above.</w:t>
      </w:r>
    </w:p>
    <w:p>
      <w:pPr>
        <w:spacing w:after="0" w:line="172" w:lineRule="exact"/>
        <w:rPr>
          <w:rFonts w:ascii="Arial" w:cs="Arial" w:eastAsia="Arial" w:hAnsi="Arial"/>
          <w:sz w:val="17"/>
          <w:szCs w:val="17"/>
          <w:color w:val="auto"/>
        </w:rPr>
      </w:pPr>
    </w:p>
    <w:p>
      <w:pPr>
        <w:jc w:val="both"/>
        <w:ind w:firstLine="656"/>
        <w:spacing w:after="0" w:line="269" w:lineRule="auto"/>
        <w:tabs>
          <w:tab w:leader="none" w:pos="108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For the 36-month period following the Date of Termination (the “COC Severance Period”), the Company shall continue to provide Executive and Executive’s eligible family members, based on the cost sharing arrangement between Executive and the Company on the Date of Termination, with medical and dental health benefits and disability coverage and benefits at least equal to those which would have been provided to Executive if Executive’s employment had not been terminated or, if more favorable to Executive, as in effect generally at any time during such period. Notwithstanding the foregoing, if Executive becomes eligible to receive medical, dental and disability benefits under another employer’s plans during this COC Severance Period,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the Company shall provide Executive with substantially equivalent coverage through other sources or will provide Executive with a lump sum payment in such amount that, after all taxes on that amount, shall be equal to the cost to Executive of providing Executive such benefit coverage. The lump sum shall be determined on a present value basis using the interest rate provided in Section 1274(b)(2)(B) of the Code on the Date of Termination.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39" w:name="page240"/>
    <w:bookmarkEnd w:id="239"/>
    <w:p>
      <w:pPr>
        <w:jc w:val="both"/>
        <w:ind w:firstLine="656"/>
        <w:spacing w:after="0" w:line="312" w:lineRule="auto"/>
        <w:tabs>
          <w:tab w:leader="none" w:pos="1033" w:val="left"/>
        </w:tabs>
        <w:numPr>
          <w:ilvl w:val="1"/>
          <w:numId w:val="245"/>
        </w:numPr>
        <w:rPr>
          <w:rFonts w:ascii="Arial" w:cs="Arial" w:eastAsia="Arial" w:hAnsi="Arial"/>
          <w:sz w:val="16"/>
          <w:szCs w:val="16"/>
          <w:color w:val="auto"/>
        </w:rPr>
      </w:pPr>
      <w:r>
        <w:rPr>
          <w:rFonts w:ascii="Arial" w:cs="Arial" w:eastAsia="Arial" w:hAnsi="Arial"/>
          <w:sz w:val="16"/>
          <w:szCs w:val="16"/>
          <w:color w:val="auto"/>
        </w:rPr>
        <w:t>Throughout the term of the COC Severance Period or until Executive accepts other employment, including as an independent contractor, with a new employer, whichever occurs first,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Accelerated Vesting of Options Upon a Change of Control.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 provisions of any Company stock option plan or option agreement to the contrary, upon a Change of Control all outstanding</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unvested stock options, if any, granted to Executive under any Company stock option plan (or options substituted therefor covering the stock of a successor corporation) shall be fully vested and exercisable as to all shares of stock covered thereby effective as of the date of the Change of Control.</w:t>
      </w:r>
    </w:p>
    <w:p>
      <w:pPr>
        <w:spacing w:after="0" w:line="158"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except that any severance payments or benefits that Executive is entitled to receive pursuant to a Company severance plan or program for employees in general shall reduce the amount of payments and benefits otherwise payable or to be provided under this Agreement.</w:t>
      </w:r>
    </w:p>
    <w:p>
      <w:pPr>
        <w:spacing w:after="0" w:line="189"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judgements,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0" w:name="page241"/>
    <w:bookmarkEnd w:id="240"/>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 of this Agreement, notices and all other communications provided for in this Agreement shall be in writing and delivered by United 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0" w:right="239" w:bottom="1440" w:gutter="0" w:footer="0" w:header="0"/>
        </w:sectPr>
      </w:pP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860"/>
        <w:spacing w:after="0"/>
        <w:rPr>
          <w:sz w:val="20"/>
          <w:szCs w:val="20"/>
          <w:color w:val="auto"/>
        </w:rPr>
      </w:pPr>
      <w:r>
        <w:rPr>
          <w:rFonts w:ascii="Arial" w:cs="Arial" w:eastAsia="Arial" w:hAnsi="Arial"/>
          <w:sz w:val="16"/>
          <w:szCs w:val="16"/>
          <w:color w:val="auto"/>
        </w:rPr>
        <w:t>Executive:</w:t>
      </w:r>
    </w:p>
    <w:p>
      <w:pPr>
        <w:spacing w:after="0" w:line="200" w:lineRule="exact"/>
        <w:rPr>
          <w:sz w:val="20"/>
          <w:szCs w:val="20"/>
          <w:color w:val="auto"/>
        </w:rPr>
      </w:pPr>
    </w:p>
    <w:p>
      <w:pPr>
        <w:sectPr>
          <w:pgSz w:w="11900" w:h="16838" w:orient="portrait"/>
          <w:cols w:equalWidth="0" w:num="2">
            <w:col w:w="5060" w:space="720"/>
            <w:col w:w="5640"/>
          </w:cols>
          <w:pgMar w:left="240" w:top="580"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Oil States International, Inc.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333 Clay Street, Suite 4620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Ron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9008 99th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Edmonton, Alberta, T5H4M6</w:t>
      </w:r>
    </w:p>
    <w:p>
      <w:pPr>
        <w:spacing w:after="0" w:line="416" w:lineRule="exact"/>
        <w:rPr>
          <w:sz w:val="20"/>
          <w:szCs w:val="20"/>
          <w:color w:val="auto"/>
        </w:rPr>
      </w:pPr>
    </w:p>
    <w:p>
      <w:pPr>
        <w:sectPr>
          <w:pgSz w:w="11900" w:h="16838" w:orient="portrait"/>
          <w:cols w:equalWidth="0" w:num="2">
            <w:col w:w="5060" w:space="720"/>
            <w:col w:w="5640"/>
          </w:cols>
          <w:pgMar w:left="240" w:top="580" w:right="239" w:bottom="1440" w:gutter="0" w:footer="0" w:header="0"/>
          <w:type w:val="continuous"/>
        </w:sectPr>
      </w:pPr>
    </w:p>
    <w:p>
      <w:pPr>
        <w:spacing w:after="0" w:line="57"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parties agree to resolve any claim or controversy arising out of or relating to this Agreement, including but not limited to the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174"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a condition to the receipt of any payment or benefit under this Agreement, Executive must first execute and deliver to the Company a binding general release, as prepared by the Company,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41" w:name="page242"/>
    <w:bookmarkEnd w:id="241"/>
    <w:p>
      <w:pPr>
        <w:ind w:left="660" w:hanging="652"/>
        <w:spacing w:after="0"/>
        <w:tabs>
          <w:tab w:leader="none" w:pos="6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105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170" w:lineRule="exact"/>
        <w:rPr>
          <w:rFonts w:ascii="Arial" w:cs="Arial" w:eastAsia="Arial" w:hAnsi="Arial"/>
          <w:sz w:val="18"/>
          <w:szCs w:val="18"/>
          <w:color w:val="auto"/>
        </w:rPr>
      </w:pPr>
    </w:p>
    <w:p>
      <w:pPr>
        <w:ind w:firstLine="656"/>
        <w:spacing w:after="0" w:line="277" w:lineRule="auto"/>
        <w:tabs>
          <w:tab w:leader="none" w:pos="106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62"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executed this Agreement effective for all purposes as of the Effective Date.</w:t>
      </w:r>
    </w:p>
    <w:p>
      <w:pPr>
        <w:sectPr>
          <w:pgSz w:w="11900" w:h="16838" w:orient="portrait"/>
          <w:cols w:equalWidth="0" w:num="1">
            <w:col w:w="10020"/>
          </w:cols>
          <w:pgMar w:left="900" w:top="581" w:right="9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CINDY B. TAYLOR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Cindy B.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-130810</wp:posOffset>
            </wp:positionV>
            <wp:extent cx="25298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President and Chief Executive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RON GREEN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Ron R.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27527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88900</wp:posOffset>
            </wp:positionV>
            <wp:extent cx="72675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020"/>
          </w:cols>
          <w:pgMar w:left="900" w:top="581" w:right="979" w:bottom="1440" w:gutter="0" w:footer="0" w:header="0"/>
          <w:type w:val="continuous"/>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t>AMENDMENT TO EXECUTIVE AGREEMENT</w:t>
      </w:r>
    </w:p>
    <w:p>
      <w:pPr>
        <w:spacing w:after="0" w:line="225"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THIS AMENDMENT TO EXECUTIVE AGREEMENT </w:t>
      </w:r>
      <w:r>
        <w:rPr>
          <w:rFonts w:ascii="Arial" w:cs="Arial" w:eastAsia="Arial" w:hAnsi="Arial"/>
          <w:sz w:val="18"/>
          <w:szCs w:val="18"/>
          <w:color w:val="auto"/>
        </w:rPr>
        <w:t>(“Amendment”), dated effective as of January 1, 2009, (the “Effective Date”), is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and between Oil States International, Inc. (the “Company”), and Ron Green (“Executive”).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Executive have heretofore entered into that certain Executive Agreement, dated as of May 17, 2007, (“Agreement”); and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Executive desire to amend the Agreement in certain respects;</w:t>
      </w:r>
    </w:p>
    <w:p>
      <w:pPr>
        <w:spacing w:after="0" w:line="225"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set forth above and the mutual agreements set forth herein, the Company and Executive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effective as of the Effective Date, that the Agreement shall be amended as hereafter provided:</w:t>
      </w:r>
    </w:p>
    <w:p>
      <w:pPr>
        <w:spacing w:after="0" w:line="166" w:lineRule="exact"/>
        <w:rPr>
          <w:sz w:val="20"/>
          <w:szCs w:val="20"/>
          <w:color w:val="auto"/>
        </w:rPr>
      </w:pPr>
    </w:p>
    <w:p>
      <w:pPr>
        <w:ind w:left="680" w:hanging="348"/>
        <w:spacing w:after="0"/>
        <w:tabs>
          <w:tab w:leader="none" w:pos="6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following shall be added to Section 2.E. of the Agreement:</w:t>
      </w:r>
    </w:p>
    <w:p>
      <w:pPr>
        <w:spacing w:after="0" w:line="225" w:lineRule="exact"/>
        <w:rPr>
          <w:sz w:val="20"/>
          <w:szCs w:val="20"/>
          <w:color w:val="auto"/>
        </w:rPr>
      </w:pPr>
    </w:p>
    <w:p>
      <w:pPr>
        <w:ind w:left="660" w:right="500" w:hanging="323"/>
        <w:spacing w:after="0" w:line="308" w:lineRule="auto"/>
        <w:rPr>
          <w:sz w:val="20"/>
          <w:szCs w:val="20"/>
          <w:color w:val="auto"/>
        </w:rPr>
      </w:pPr>
      <w:r>
        <w:rPr>
          <w:rFonts w:ascii="Arial" w:cs="Arial" w:eastAsia="Arial" w:hAnsi="Arial"/>
          <w:sz w:val="17"/>
          <w:szCs w:val="17"/>
          <w:color w:val="auto"/>
        </w:rPr>
        <w:t>“For this purpose, termination of Executive’s employment shall be interpreted consistent with the meaning of the term “separation from service” in Section 409A(a)(2)(A)(i) of the Internal Revenue Code of 1986, as amended (the “Code”) and applicable regulatory authority.”</w:t>
      </w:r>
    </w:p>
    <w:p>
      <w:pPr>
        <w:spacing w:after="0" w:line="147" w:lineRule="exact"/>
        <w:rPr>
          <w:sz w:val="20"/>
          <w:szCs w:val="20"/>
          <w:color w:val="auto"/>
        </w:rPr>
      </w:pPr>
    </w:p>
    <w:p>
      <w:pPr>
        <w:ind w:left="700" w:hanging="368"/>
        <w:spacing w:after="0"/>
        <w:tabs>
          <w:tab w:leader="none" w:pos="7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Sections 4 and 5 of the Agreement shall be deleted and the following shall be substituted therefor: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w:t>
        <w:tab/>
        <w:t>Regular Severance Benefits.</w:t>
      </w:r>
    </w:p>
    <w:p>
      <w:pPr>
        <w:spacing w:after="0" w:line="22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Subject to Section 12, if the Company terminates Executive’s employment (i) other than for Cause and (ii) not during the Protected Period, Executive shall receive the following compensation and benefits from the Company:</w:t>
      </w:r>
    </w:p>
    <w:p>
      <w:pPr>
        <w:spacing w:after="0" w:line="170" w:lineRule="exact"/>
        <w:rPr>
          <w:sz w:val="20"/>
          <w:szCs w:val="20"/>
          <w:color w:val="auto"/>
        </w:rPr>
      </w:pPr>
    </w:p>
    <w:p>
      <w:pPr>
        <w:ind w:left="660" w:right="40" w:hanging="328"/>
        <w:spacing w:after="0" w:line="286" w:lineRule="auto"/>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Within 15 days of the expiration of the sixty-day period following the termination of Executive’s employment with the Company (during which time Executive complies with the requirements of Section 12 hereof by executing a general release), the Company shall pay to Executive in a lump sum, in cash, an amount equal to one times the sum of Executive’s (i) Termination Base Salary and (ii) Target AICP.</w:t>
      </w:r>
    </w:p>
    <w:p>
      <w:pPr>
        <w:spacing w:after="0" w:line="165"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notwithstanding anything in any Company stock plan or grant agreement to the contrary, all restricted shares and restricted stock units of Executive shall become 100% vested and all restrictions thereon shall lapse as of the lapse of such sixty-day period, and the Company shall promptly deliver such shares to Executive.</w:t>
      </w:r>
    </w:p>
    <w:p>
      <w:pPr>
        <w:spacing w:after="0" w:line="181" w:lineRule="exact"/>
        <w:rPr>
          <w:rFonts w:ascii="Arial" w:cs="Arial" w:eastAsia="Arial" w:hAnsi="Arial"/>
          <w:sz w:val="18"/>
          <w:szCs w:val="18"/>
          <w:color w:val="auto"/>
        </w:rPr>
      </w:pPr>
    </w:p>
    <w:p>
      <w:pPr>
        <w:ind w:left="660" w:hanging="328"/>
        <w:spacing w:after="0" w:line="284" w:lineRule="auto"/>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For the 24-month period following the termination of Executive’s employment with the Company, the Company shall continue to provide Executive and Executive’s eligible family members with medical and dental health benefits and disability benefits coverage at least equal to those which would have been provided to Executive if Executive’s employment had not been terminated or, if more favorable to Executive, as in effect generally at any time during such period. The medical and dental health benefits coverage shall be provided at full cost to the Executive during the applicable period, and the disability benefits coverage shall be provided based upon the cost sharing arrangement between the Company and similarly situated active employees. The Company shall also provide Executive with a lump sum payment within 15 days following the expiration of each of the four, sixth-month periods following termination of Executive’s employment with the Company in such amount that, after all taxes on that amount, shall be equal to the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12 hereof by executing a general release. Notwithstanding the foregoing, if Executive becomes eligible to receive medical, dental and disability benefits under another employer’s plans during the 24-month period following the date of termination of Executive’s employment with the Company,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four, six-month periods following termination of Executive’s employment with the Company in such amount that, after all taxes on that amount, shall be equal to the cost of providing Executive and Executive’s eligible family members with the medical and dental health benefits coverage during each such preceding six-month period. Any lump sum shall be determined on a present value basis using the interest rate provided in Section 1274(b)(2)(B) of the Code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44" w:name="page245"/>
    <w:bookmarkEnd w:id="244"/>
    <w:p>
      <w:pPr>
        <w:ind w:left="352" w:hanging="352"/>
        <w:spacing w:after="0"/>
        <w:tabs>
          <w:tab w:leader="none" w:pos="3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ind w:left="332" w:right="180"/>
        <w:spacing w:after="0" w:line="264" w:lineRule="auto"/>
        <w:rPr>
          <w:sz w:val="20"/>
          <w:szCs w:val="20"/>
          <w:color w:val="auto"/>
        </w:rPr>
      </w:pPr>
      <w:r>
        <w:rPr>
          <w:rFonts w:ascii="Arial" w:cs="Arial" w:eastAsia="Arial" w:hAnsi="Arial"/>
          <w:sz w:val="18"/>
          <w:szCs w:val="18"/>
          <w:color w:val="auto"/>
        </w:rPr>
        <w:t>Subject to Section 12,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left="652" w:right="20" w:hanging="328"/>
        <w:spacing w:after="0" w:line="286" w:lineRule="auto"/>
        <w:tabs>
          <w:tab w:leader="none" w:pos="65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Within 15 days of the expiration of the sixty-day period following the termination of Executive’s employment with the Company (during which time Executive complies with the requirements of Section 12 hereof by executing a general release), the Company shall pay to Executive in a lump sum, in cash, an amount equal to two times the sum of Executive’s (i) Termination Base Salary and (ii) Target AICP.</w:t>
      </w:r>
    </w:p>
    <w:p>
      <w:pPr>
        <w:spacing w:after="0" w:line="165" w:lineRule="exact"/>
        <w:rPr>
          <w:rFonts w:ascii="Arial" w:cs="Arial" w:eastAsia="Arial" w:hAnsi="Arial"/>
          <w:sz w:val="17"/>
          <w:szCs w:val="17"/>
          <w:color w:val="auto"/>
        </w:rPr>
      </w:pPr>
    </w:p>
    <w:p>
      <w:pPr>
        <w:ind w:left="652" w:hanging="328"/>
        <w:spacing w:after="0" w:line="279" w:lineRule="auto"/>
        <w:tabs>
          <w:tab w:leader="none" w:pos="65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and restricted stock units of Executive shall become 100% vested and all restrictions thereon shall lapse as of the lapse of such sixty-day period, and the Company shall promptly deliver such shares to Executive and (ii) each then outstanding stock option of Executive shall become 100% exercisable and, excluding any incentive stock option granted prior to the Effective Date, shall remain exercisable for the remainder of such option’s term.</w:t>
      </w:r>
    </w:p>
    <w:p>
      <w:pPr>
        <w:spacing w:after="0" w:line="171" w:lineRule="exact"/>
        <w:rPr>
          <w:rFonts w:ascii="Arial" w:cs="Arial" w:eastAsia="Arial" w:hAnsi="Arial"/>
          <w:sz w:val="17"/>
          <w:szCs w:val="17"/>
          <w:color w:val="auto"/>
        </w:rPr>
      </w:pPr>
    </w:p>
    <w:p>
      <w:pPr>
        <w:ind w:left="652" w:right="40" w:hanging="328"/>
        <w:spacing w:after="0" w:line="255" w:lineRule="auto"/>
        <w:tabs>
          <w:tab w:leader="none" w:pos="6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193" w:lineRule="exact"/>
        <w:rPr>
          <w:rFonts w:ascii="Arial" w:cs="Arial" w:eastAsia="Arial" w:hAnsi="Arial"/>
          <w:sz w:val="18"/>
          <w:szCs w:val="18"/>
          <w:color w:val="auto"/>
        </w:rPr>
      </w:pPr>
    </w:p>
    <w:p>
      <w:pPr>
        <w:ind w:left="652" w:right="140" w:hanging="328"/>
        <w:spacing w:after="0" w:line="269" w:lineRule="auto"/>
        <w:tabs>
          <w:tab w:leader="none" w:pos="65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For the 36-month period following the date of termination of Executive’s employment with the Company, the Company shall continue to provide Executive and Executive’s eligible family members with medical and dental health benefits and disability benefits coverage at least equal to those which would have been provided to Executive if Executive’s employment had not been terminated or, if more favorable to Executive, as in effect generally at any time during such period. The medical and dental health benefits coverage shall be provided at full cost to the Executive during the applicable period, and the disability benefits coverage shall be provided based upon the cost sharing arrangement between Executive and the Company on the date of termination of Executive’s employment with the Company. The Company shall also provide Executive with a lump sum payment within 15 days following the expiration of each of the six,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12 hereof by executing a general release.</w:t>
      </w:r>
    </w:p>
    <w:p>
      <w:pPr>
        <w:spacing w:after="0" w:line="179" w:lineRule="exact"/>
        <w:rPr>
          <w:rFonts w:ascii="Arial" w:cs="Arial" w:eastAsia="Arial" w:hAnsi="Arial"/>
          <w:sz w:val="17"/>
          <w:szCs w:val="17"/>
          <w:color w:val="auto"/>
        </w:rPr>
      </w:pPr>
    </w:p>
    <w:p>
      <w:pPr>
        <w:ind w:left="652" w:right="60"/>
        <w:spacing w:after="0" w:line="269" w:lineRule="auto"/>
        <w:rPr>
          <w:rFonts w:ascii="Arial" w:cs="Arial" w:eastAsia="Arial" w:hAnsi="Arial"/>
          <w:sz w:val="17"/>
          <w:szCs w:val="17"/>
          <w:color w:val="auto"/>
        </w:rPr>
      </w:pPr>
      <w:r>
        <w:rPr>
          <w:rFonts w:ascii="Arial" w:cs="Arial" w:eastAsia="Arial" w:hAnsi="Arial"/>
          <w:sz w:val="17"/>
          <w:szCs w:val="17"/>
          <w:color w:val="auto"/>
        </w:rPr>
        <w:t>Notwithstanding the foregoing, if Executive becomes eligible to receive medical, dental and disability benefits under another employer’s plans during the 36-month period following the date of termination of Executive’s employment with the Company,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36-month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six,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346075</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1" w:right="259" w:bottom="1440" w:gutter="0" w:footer="0" w:header="0"/>
        </w:sectPr>
      </w:pPr>
    </w:p>
    <w:bookmarkStart w:id="245" w:name="page246"/>
    <w:bookmarkEnd w:id="245"/>
    <w:p>
      <w:pPr>
        <w:ind w:left="660" w:right="80" w:hanging="328"/>
        <w:spacing w:after="0" w:line="257" w:lineRule="auto"/>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188" w:lineRule="exact"/>
        <w:rPr>
          <w:sz w:val="20"/>
          <w:szCs w:val="20"/>
          <w:color w:val="auto"/>
        </w:rPr>
      </w:pPr>
    </w:p>
    <w:p>
      <w:pPr>
        <w:ind w:left="680" w:hanging="348"/>
        <w:spacing w:after="0"/>
        <w:tabs>
          <w:tab w:leader="none" w:pos="6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following new Section 10A shall be added after Section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“10A. Code Section 409A Restrictions.</w:t>
      </w:r>
    </w:p>
    <w:p>
      <w:pPr>
        <w:spacing w:after="0" w:line="229" w:lineRule="exact"/>
        <w:rPr>
          <w:sz w:val="20"/>
          <w:szCs w:val="20"/>
          <w:color w:val="auto"/>
        </w:rPr>
      </w:pPr>
    </w:p>
    <w:p>
      <w:pPr>
        <w:ind w:left="660" w:hanging="328"/>
        <w:spacing w:after="0" w:line="289" w:lineRule="auto"/>
        <w:tabs>
          <w:tab w:leader="none" w:pos="6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of the Code because the timing of such payments is not delayed as provided in Section 409A(a)(2)(B)(i) 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of the Code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166"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benefits to be made available under this Agreement would be subject to additional taxes and interest under Section 409A of the Code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9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Executive hereby agrees to be bound by the Company’s determination of its “specified employees” (as such term is defined in Section 409A of the Code) in accordance with any of the methods permitted under the regulations issued under Section 409A of the Code.”</w:t>
      </w:r>
    </w:p>
    <w:p>
      <w:pPr>
        <w:spacing w:after="0" w:line="147" w:lineRule="exact"/>
        <w:rPr>
          <w:sz w:val="20"/>
          <w:szCs w:val="20"/>
          <w:color w:val="auto"/>
        </w:rPr>
      </w:pPr>
    </w:p>
    <w:p>
      <w:pPr>
        <w:ind w:left="680" w:hanging="348"/>
        <w:spacing w:after="0"/>
        <w:tabs>
          <w:tab w:leader="none" w:pos="6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following shall be added to Section 12 of the Agreement:</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general release described above must be effective and irrevocable within 55 days after the date of Executive’s termination of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6" w:name="page247"/>
    <w:bookmarkEnd w:id="246"/>
    <w:p>
      <w:pPr>
        <w:ind w:firstLine="332"/>
        <w:spacing w:after="0" w:line="342" w:lineRule="auto"/>
        <w:tabs>
          <w:tab w:leader="none" w:pos="68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This Amendment shall supersede any prior agreement between the Company and Executive relating to the subject matter of this Amendment and shall be binding upon and inure to the benefit of the parties hereto and any successors to the Company and all persons lawfully claiming under Executive.</w:t>
      </w:r>
    </w:p>
    <w:p>
      <w:pPr>
        <w:spacing w:after="0" w:line="123" w:lineRule="exact"/>
        <w:rPr>
          <w:rFonts w:ascii="Arial" w:cs="Arial" w:eastAsia="Arial" w:hAnsi="Arial"/>
          <w:sz w:val="16"/>
          <w:szCs w:val="16"/>
          <w:color w:val="auto"/>
        </w:rPr>
      </w:pPr>
    </w:p>
    <w:p>
      <w:pPr>
        <w:ind w:left="680" w:hanging="348"/>
        <w:spacing w:after="0"/>
        <w:tabs>
          <w:tab w:leader="none" w:pos="6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amended hereby, the Agreement is specifically ratified and reaffirmed.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and delivered this Amendment, effective as of the Effective Date.</w:t>
      </w:r>
    </w:p>
    <w:p>
      <w:pPr>
        <w:spacing w:after="0" w:line="225"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AGREED TO AND ACCEPTED</w:t>
      </w:r>
      <w:r>
        <w:rPr>
          <w:sz w:val="20"/>
          <w:szCs w:val="20"/>
          <w:color w:val="auto"/>
        </w:rPr>
        <w:tab/>
      </w:r>
      <w:r>
        <w:rPr>
          <w:rFonts w:ascii="Arial" w:cs="Arial" w:eastAsia="Arial" w:hAnsi="Arial"/>
          <w:sz w:val="17"/>
          <w:szCs w:val="17"/>
          <w:b w:val="1"/>
          <w:bCs w:val="1"/>
          <w:color w:val="auto"/>
        </w:rPr>
        <w:t>“COMPANY</w:t>
      </w:r>
    </w:p>
    <w:p>
      <w:pPr>
        <w:spacing w:after="0" w:line="2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b w:val="1"/>
          <w:bCs w:val="1"/>
          <w:color w:val="auto"/>
        </w:rPr>
        <w:t>OIL STATES INTERNATIONAL, INC.</w:t>
      </w:r>
    </w:p>
    <w:p>
      <w:pPr>
        <w:sectPr>
          <w:pgSz w:w="11900" w:h="16838" w:orient="portrait"/>
          <w:cols w:equalWidth="0" w:num="1">
            <w:col w:w="11140"/>
          </w:cols>
          <w:pgMar w:left="240" w:top="584" w:right="5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Ron Green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PTI Group,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12/19/08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Cindy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298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Cindy Taylor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&amp; CEO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12/30/08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298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2">
            <w:col w:w="5360" w:space="720"/>
            <w:col w:w="5060"/>
          </w:cols>
          <w:pgMar w:left="240" w:top="584" w:right="51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Assignment and Assumption Agreement (this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is made and entered into this ___ day of ______, 2014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among Oil States International, Inc., a Delaware corporation (“</w:t>
      </w:r>
      <w:r>
        <w:rPr>
          <w:rFonts w:ascii="Arial" w:cs="Arial" w:eastAsia="Arial" w:hAnsi="Arial"/>
          <w:sz w:val="18"/>
          <w:szCs w:val="18"/>
          <w:b w:val="1"/>
          <w:bCs w:val="1"/>
          <w:i w:val="1"/>
          <w:iCs w:val="1"/>
          <w:color w:val="auto"/>
        </w:rPr>
        <w:t>Oil States</w:t>
      </w:r>
      <w:r>
        <w:rPr>
          <w:rFonts w:ascii="Arial" w:cs="Arial" w:eastAsia="Arial" w:hAnsi="Arial"/>
          <w:sz w:val="18"/>
          <w:szCs w:val="18"/>
          <w:color w:val="auto"/>
        </w:rPr>
        <w:t>”), Civeo Corporation, a Delaware corporation and, as of the date hereof, a wholly-owned subsidiary of Oil States) (“</w:t>
      </w:r>
      <w:r>
        <w:rPr>
          <w:rFonts w:ascii="Arial" w:cs="Arial" w:eastAsia="Arial" w:hAnsi="Arial"/>
          <w:sz w:val="18"/>
          <w:szCs w:val="18"/>
          <w:b w:val="1"/>
          <w:bCs w:val="1"/>
          <w:i w:val="1"/>
          <w:iCs w:val="1"/>
          <w:color w:val="auto"/>
        </w:rPr>
        <w:t>Civeo</w:t>
      </w:r>
      <w:r>
        <w:rPr>
          <w:rFonts w:ascii="Arial" w:cs="Arial" w:eastAsia="Arial" w:hAnsi="Arial"/>
          <w:sz w:val="18"/>
          <w:szCs w:val="18"/>
          <w:color w:val="auto"/>
        </w:rPr>
        <w:t>”) and Frank Steininger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Oil States, Civeo and the Executive are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Oil States and the Executive are currently party to that certain consulting agreement dated as of January 30, 2014 and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Oil States has determined that it would be appropriate, desirable and in the best interests of Oil States and the shareholders of Oil</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to separate its accommodations business from Oil States (such, transaction the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effectuate the Spin-Off, (a) Oil States will transfer certain assets and liabilities associated with the accommodations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to Civeo, pursuant to a Separation and Distribution Agreement and certain other agreements which are expected to be entered into by and between Oil States and Civeo and (b) Oil States will transfer the employment of certain employees (including the Executive) to Civeo;</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transfer of the Executive’s employment to Civeo, Oil States wishes to assign to Civeo, and Civeo wishes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assume, all its duties, obligations, rights and benefits pursuant to the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wishes to consent to the assignment by Oil States of such duties, obligations, rights and benefits to Civeo.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as of immediately prior to the consummation of the Spin-Off, the Parties agree as follows:</w:t>
      </w:r>
    </w:p>
    <w:p>
      <w:pPr>
        <w:spacing w:after="0" w:line="229" w:lineRule="exact"/>
        <w:rPr>
          <w:sz w:val="20"/>
          <w:szCs w:val="20"/>
          <w:color w:val="auto"/>
        </w:rPr>
      </w:pPr>
    </w:p>
    <w:p>
      <w:pPr>
        <w:ind w:left="1020" w:hanging="364"/>
        <w:spacing w:after="0"/>
        <w:tabs>
          <w:tab w:leader="none" w:pos="10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Civeo hereby assumes all duties, obligations, rights and benefits of Oil States under the Agreement.</w:t>
      </w:r>
    </w:p>
    <w:p>
      <w:pPr>
        <w:spacing w:after="0" w:line="225" w:lineRule="exact"/>
        <w:rPr>
          <w:rFonts w:ascii="Arial" w:cs="Arial" w:eastAsia="Arial" w:hAnsi="Arial"/>
          <w:sz w:val="18"/>
          <w:szCs w:val="18"/>
          <w:color w:val="auto"/>
        </w:rPr>
      </w:pPr>
    </w:p>
    <w:p>
      <w:pPr>
        <w:ind w:firstLine="656"/>
        <w:spacing w:after="0" w:line="277" w:lineRule="auto"/>
        <w:tabs>
          <w:tab w:leader="none" w:pos="103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Oil States hereby assigns all duties, obligations, rights and benefits under the Agreement (including, without limitation, any noncompetition or other restrictive covenant(s) in the Agreement) to Civeo.</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All references to Oil States in the Agreement are hereby replaced,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references to Civeo.</w:t>
      </w:r>
    </w:p>
    <w:p>
      <w:pPr>
        <w:spacing w:after="0" w:line="225" w:lineRule="exact"/>
        <w:rPr>
          <w:rFonts w:ascii="Arial" w:cs="Arial" w:eastAsia="Arial" w:hAnsi="Arial"/>
          <w:sz w:val="18"/>
          <w:szCs w:val="18"/>
          <w:color w:val="auto"/>
        </w:rPr>
      </w:pPr>
    </w:p>
    <w:p>
      <w:pPr>
        <w:ind w:right="20" w:firstLine="656"/>
        <w:spacing w:after="0" w:line="277" w:lineRule="auto"/>
        <w:tabs>
          <w:tab w:leader="none" w:pos="10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Oil States is hereby relieved of the duties and obligations assumed by Civeo in item 1 above and shall be indemnified and held harmless by Civeo for such obligations.</w:t>
      </w:r>
    </w:p>
    <w:p>
      <w:pPr>
        <w:spacing w:after="0" w:line="170" w:lineRule="exact"/>
        <w:rPr>
          <w:rFonts w:ascii="Arial" w:cs="Arial" w:eastAsia="Arial" w:hAnsi="Arial"/>
          <w:sz w:val="18"/>
          <w:szCs w:val="18"/>
          <w:color w:val="auto"/>
        </w:rPr>
      </w:pPr>
    </w:p>
    <w:p>
      <w:pPr>
        <w:ind w:firstLine="656"/>
        <w:spacing w:after="0" w:line="277" w:lineRule="auto"/>
        <w:tabs>
          <w:tab w:leader="none" w:pos="109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the Agreement, the Executive expressly consents to the assignment of duties, obligations, rights and benefits hereunder.</w:t>
      </w:r>
    </w:p>
    <w:p>
      <w:pPr>
        <w:spacing w:after="0" w:line="170" w:lineRule="exact"/>
        <w:rPr>
          <w:rFonts w:ascii="Arial" w:cs="Arial" w:eastAsia="Arial" w:hAnsi="Arial"/>
          <w:sz w:val="18"/>
          <w:szCs w:val="18"/>
          <w:color w:val="auto"/>
        </w:rPr>
      </w:pPr>
    </w:p>
    <w:p>
      <w:pPr>
        <w:ind w:firstLine="656"/>
        <w:spacing w:after="0" w:line="277" w:lineRule="auto"/>
        <w:tabs>
          <w:tab w:leader="none" w:pos="116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This Assignment is expressly contingent upon the completion of the Spin-Off. In the event that the Spin-Off is not consummated, this Assignment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8" w:name="page249"/>
    <w:bookmarkEnd w:id="248"/>
    <w:p>
      <w:pPr>
        <w:jc w:val="both"/>
        <w:ind w:firstLine="656"/>
        <w:spacing w:after="0" w:line="264" w:lineRule="auto"/>
        <w:tabs>
          <w:tab w:leader="none" w:pos="10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Assignment shall be governed by and construed and interpreted in accordance with the laws of the State of Texas, without giving effect to the conflicts of law provision or rule (whether of the State of Texas or any other jurisdiction) that would cause the application of the laws of any jurisdiction other than the State of Texas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6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Assignment may be executed in any number of counterparts, each of which shall be deemed an original and all of which together shall constitute but one and the same instrument. Facsimile or scanned and emailed transmission of any signed original document or retransmission of any signed facsimile or scanned and emailed transmission will be deemed the same as delivery of an original. At the request of any Party, the other Parties will confirm facsimile or scanned and emailed transmission by signing a duplicate original document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Assignment, to be effective as of __________,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OIL STATES INTERNATIONAL, INC.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22002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-19050</wp:posOffset>
            </wp:positionV>
            <wp:extent cx="20574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-19050</wp:posOffset>
            </wp:positionV>
            <wp:extent cx="21145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-19050</wp:posOffset>
            </wp:positionV>
            <wp:extent cx="21145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18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22002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-19050</wp:posOffset>
            </wp:positionV>
            <wp:extent cx="20574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-19050</wp:posOffset>
            </wp:positionV>
            <wp:extent cx="21145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-19050</wp:posOffset>
            </wp:positionV>
            <wp:extent cx="21145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18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403225</wp:posOffset>
            </wp:positionV>
            <wp:extent cx="24003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Frank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922020</wp:posOffset>
            </wp:positionV>
            <wp:extent cx="72675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1013"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00" w:lineRule="exact"/>
        <w:rPr>
          <w:sz w:val="20"/>
          <w:szCs w:val="20"/>
          <w:color w:val="auto"/>
        </w:rPr>
      </w:pPr>
    </w:p>
    <w:p>
      <w:pPr>
        <w:spacing w:after="0" w:line="245" w:lineRule="exact"/>
        <w:rPr>
          <w:sz w:val="20"/>
          <w:szCs w:val="20"/>
          <w:color w:val="auto"/>
        </w:rPr>
      </w:pPr>
    </w:p>
    <w:p>
      <w:pPr>
        <w:spacing w:after="0"/>
        <w:tabs>
          <w:tab w:leader="none" w:pos="10160" w:val="left"/>
        </w:tabs>
        <w:rPr>
          <w:sz w:val="20"/>
          <w:szCs w:val="20"/>
          <w:color w:val="auto"/>
        </w:rPr>
      </w:pPr>
      <w:r>
        <w:rPr>
          <w:rFonts w:ascii="Arial" w:cs="Arial" w:eastAsia="Arial" w:hAnsi="Arial"/>
          <w:sz w:val="18"/>
          <w:szCs w:val="18"/>
          <w:color w:val="auto"/>
        </w:rPr>
        <w:t>Mr. Frank Steininger</w:t>
      </w:r>
      <w:r>
        <w:rPr>
          <w:sz w:val="20"/>
          <w:szCs w:val="20"/>
          <w:color w:val="auto"/>
        </w:rPr>
        <w:tab/>
      </w:r>
      <w:r>
        <w:rPr>
          <w:rFonts w:ascii="Arial" w:cs="Arial" w:eastAsia="Arial" w:hAnsi="Arial"/>
          <w:sz w:val="16"/>
          <w:szCs w:val="16"/>
          <w:color w:val="auto"/>
        </w:rPr>
        <w:t>January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Frank:</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 am pleased to offer you a consulting arrangement with Oil States International, Inc. located in our corporate office in Houston, Texas; and upon the spin-off, an offer of full time employment with OIS Accommodations SpinCo Inc. Summarized below are the specific components of the offer discussed: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the spin-off:</w:t>
      </w:r>
    </w:p>
    <w:p>
      <w:pPr>
        <w:spacing w:after="0" w:line="225" w:lineRule="exact"/>
        <w:rPr>
          <w:sz w:val="20"/>
          <w:szCs w:val="20"/>
          <w:color w:val="auto"/>
        </w:rPr>
      </w:pPr>
    </w:p>
    <w:p>
      <w:pPr>
        <w:ind w:left="720" w:hanging="388"/>
        <w:spacing w:after="0"/>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Position: Consultant</w:t>
      </w:r>
    </w:p>
    <w:p>
      <w:pPr>
        <w:spacing w:after="0" w:line="225" w:lineRule="exact"/>
        <w:rPr>
          <w:rFonts w:ascii="Arial" w:cs="Arial" w:eastAsia="Arial" w:hAnsi="Arial"/>
          <w:sz w:val="18"/>
          <w:szCs w:val="18"/>
          <w:color w:val="auto"/>
        </w:rPr>
      </w:pPr>
    </w:p>
    <w:p>
      <w:pPr>
        <w:ind w:left="720" w:right="440" w:hanging="388"/>
        <w:spacing w:after="0" w:line="277" w:lineRule="auto"/>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Effective Employment Date: Complete the pre-employment process as soon as practicable, and commence the consulting arrangement no later than March 3, 2014</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Weekly Compensation: $7,692, paid bi-weekly</w:t>
      </w:r>
    </w:p>
    <w:p>
      <w:pPr>
        <w:spacing w:after="0" w:line="225" w:lineRule="exact"/>
        <w:rPr>
          <w:rFonts w:ascii="Arial" w:cs="Arial" w:eastAsia="Arial" w:hAnsi="Arial"/>
          <w:sz w:val="18"/>
          <w:szCs w:val="18"/>
          <w:color w:val="auto"/>
        </w:rPr>
      </w:pPr>
    </w:p>
    <w:p>
      <w:pPr>
        <w:ind w:left="720" w:right="1060" w:hanging="388"/>
        <w:spacing w:after="0" w:line="277" w:lineRule="auto"/>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Should the spin-off not occur and/or your consulting arrangement terminates without cause, you will be entitled to one year of weekly compensation at the above rate as our full obligation to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upon the spin-off:</w:t>
      </w:r>
    </w:p>
    <w:p>
      <w:pPr>
        <w:spacing w:after="0" w:line="225" w:lineRule="exact"/>
        <w:rPr>
          <w:sz w:val="20"/>
          <w:szCs w:val="20"/>
          <w:color w:val="auto"/>
        </w:rPr>
      </w:pPr>
    </w:p>
    <w:p>
      <w:pPr>
        <w:ind w:left="720" w:hanging="388"/>
        <w:spacing w:after="0"/>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Position: Senior Vice President, Chief Financial Officer and Treasurer</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Base Salary: $400,000 annually, paid bi-weekly</w:t>
      </w:r>
    </w:p>
    <w:p>
      <w:pPr>
        <w:spacing w:after="0" w:line="225" w:lineRule="exact"/>
        <w:rPr>
          <w:rFonts w:ascii="Arial" w:cs="Arial" w:eastAsia="Arial" w:hAnsi="Arial"/>
          <w:sz w:val="18"/>
          <w:szCs w:val="18"/>
          <w:color w:val="auto"/>
        </w:rPr>
      </w:pPr>
    </w:p>
    <w:p>
      <w:pPr>
        <w:ind w:left="720" w:right="380" w:hanging="388"/>
        <w:spacing w:after="0" w:line="257" w:lineRule="auto"/>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Incentive Compensation: Targeted annual incentive compensation is 60% of base pay. Incentive compensation may range from zero to 120% of base pay under current plan and will be subject to satisfying certain performance objectives. You will be eligible for the 2014 Annual Incentive Compensation Plan (AICP), pro-rated from the commencement of your consulting efforts, which will be confirmed in writing with additional AICP details and specific performance criteria. The plan is subject to change from time to time in discretion of the Oil States Compensation Committee.</w:t>
      </w:r>
    </w:p>
    <w:p>
      <w:pPr>
        <w:spacing w:after="0" w:line="188" w:lineRule="exact"/>
        <w:rPr>
          <w:rFonts w:ascii="Arial" w:cs="Arial" w:eastAsia="Arial" w:hAnsi="Arial"/>
          <w:sz w:val="18"/>
          <w:szCs w:val="18"/>
          <w:color w:val="auto"/>
        </w:rPr>
      </w:pPr>
    </w:p>
    <w:p>
      <w:pPr>
        <w:jc w:val="both"/>
        <w:ind w:left="720" w:right="320" w:hanging="388"/>
        <w:spacing w:after="0" w:line="264" w:lineRule="auto"/>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Equity Participation Plan: Subject to approval from the Oil States Compensation Committee, your position is eligible for the equity grants to be made in connection with the spin-off. Your equity grant will have a grant date value of approximately $800,000 which could be expected to vest over four years and may be subject to other criteria consistent with other similarly situated officers.</w:t>
      </w:r>
    </w:p>
    <w:p>
      <w:pPr>
        <w:spacing w:after="0" w:line="181" w:lineRule="exact"/>
        <w:rPr>
          <w:rFonts w:ascii="Arial" w:cs="Arial" w:eastAsia="Arial" w:hAnsi="Arial"/>
          <w:sz w:val="18"/>
          <w:szCs w:val="18"/>
          <w:color w:val="auto"/>
        </w:rPr>
      </w:pPr>
    </w:p>
    <w:p>
      <w:pPr>
        <w:ind w:left="720" w:right="380" w:hanging="388"/>
        <w:spacing w:after="0" w:line="264" w:lineRule="auto"/>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At the date of the spin-off, you will be provided a standard executive agreement commensurate with the position and consistent with other similarly situated officers. Eligibility to participate in SpinCo’s employee health and welfare benefit programs as outlined by Human Resources upon the spin-off.</w:t>
      </w:r>
    </w:p>
    <w:p>
      <w:pPr>
        <w:spacing w:after="0" w:line="181" w:lineRule="exact"/>
        <w:rPr>
          <w:rFonts w:ascii="Arial" w:cs="Arial" w:eastAsia="Arial" w:hAnsi="Arial"/>
          <w:sz w:val="18"/>
          <w:szCs w:val="18"/>
          <w:color w:val="auto"/>
        </w:rPr>
      </w:pPr>
    </w:p>
    <w:p>
      <w:pPr>
        <w:ind w:left="720" w:hanging="388"/>
        <w:spacing w:after="0"/>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Vacation: Four weeks of vacation annually upon the spin-off, pro-rated for 2014.</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Parking and fitness club membership will also be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1" w:name="page252"/>
    <w:bookmarkEnd w:id="251"/>
    <w:p>
      <w:pPr>
        <w:spacing w:after="0" w:line="253" w:lineRule="auto"/>
        <w:rPr>
          <w:sz w:val="20"/>
          <w:szCs w:val="20"/>
          <w:color w:val="auto"/>
        </w:rPr>
      </w:pPr>
      <w:r>
        <w:rPr>
          <w:rFonts w:ascii="Arial" w:cs="Arial" w:eastAsia="Arial" w:hAnsi="Arial"/>
          <w:sz w:val="18"/>
          <w:szCs w:val="18"/>
          <w:color w:val="auto"/>
        </w:rPr>
        <w:t>Your employment is “at-will” at all times and may be terminated by you or the Company at any time for any reason or no reason. This offer is contingent upon your successful completion of a pre-employment substance abuse and background check. Please contact Ron Diaz, Manager, Human Resources for the Houston area at (713) 445-2292 to coordinate the necessary pre-employment tests and paperwork. If this letter reflects your understanding of the employment offer, indicate your formal acceptance of the position by signing and dating the original of this letter and return it to me. An additional copy is provided for your records.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Frank, we are very excited and look forward to your joining our team. If I can be of any ongoing assistance, please feel free to contact me.</w:t>
      </w:r>
    </w:p>
    <w:p>
      <w:pPr>
        <w:sectPr>
          <w:pgSz w:w="11900" w:h="16838" w:orient="portrait"/>
          <w:cols w:equalWidth="0" w:num="1">
            <w:col w:w="11040"/>
          </w:cols>
          <w:pgMar w:left="240" w:top="584" w:right="6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271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27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EVP, Accommodations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Oil States International, Inc.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Agreed to and accepted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of February, 2014</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Frank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15017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Steininger</w:t>
      </w:r>
    </w:p>
    <w:p>
      <w:pPr>
        <w:sectPr>
          <w:pgSz w:w="11900" w:h="16838" w:orient="portrait"/>
          <w:cols w:equalWidth="0" w:num="2">
            <w:col w:w="5000" w:space="720"/>
            <w:col w:w="5320"/>
          </w:cols>
          <w:pgMar w:left="240" w:top="584" w:right="619" w:bottom="1440" w:gutter="0" w:footer="0" w:header="0"/>
          <w:type w:val="continuous"/>
        </w:sectPr>
      </w:pPr>
    </w:p>
    <w:bookmarkStart w:id="252" w:name="page253"/>
    <w:bookmarkEnd w:id="252"/>
    <w:p>
      <w:pPr>
        <w:ind w:left="10400"/>
        <w:spacing w:after="0"/>
        <w:rPr>
          <w:sz w:val="20"/>
          <w:szCs w:val="20"/>
          <w:color w:val="auto"/>
        </w:rPr>
      </w:pPr>
      <w:r>
        <w:rPr>
          <w:rFonts w:ascii="Arial" w:cs="Arial" w:eastAsia="Arial" w:hAnsi="Arial"/>
          <w:sz w:val="16"/>
          <w:szCs w:val="16"/>
          <w:b w:val="1"/>
          <w:bCs w:val="1"/>
          <w:color w:val="auto"/>
        </w:rPr>
        <w:t>Exhibit 10.17</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and between Civeo Corporation, a Delaware corporation (the</w:t>
      </w:r>
    </w:p>
    <w:p>
      <w:pPr>
        <w:spacing w:after="0" w:line="463" w:lineRule="exact"/>
        <w:rPr>
          <w:sz w:val="20"/>
          <w:szCs w:val="20"/>
          <w:color w:val="auto"/>
        </w:rPr>
      </w:pPr>
    </w:p>
    <w:p>
      <w:pPr>
        <w:sectPr>
          <w:pgSz w:w="11900" w:h="16838" w:orient="portrait"/>
          <w:cols w:equalWidth="0" w:num="2">
            <w:col w:w="6060" w:space="720"/>
            <w:col w:w="4640"/>
          </w:cols>
          <w:pgMar w:left="240" w:top="121" w:right="239" w:bottom="1440" w:gutter="0" w:footer="0" w:header="0"/>
          <w:type w:val="continuous"/>
        </w:sect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promises made in this Agreement, and for other good and valuable consideration, receipt of which is hereby acknowledged, the Company and Indemnitee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Third Party Proceedings</w:t>
      </w:r>
      <w:r>
        <w:rPr>
          <w:rFonts w:ascii="Arial" w:cs="Arial" w:eastAsia="Arial" w:hAnsi="Arial"/>
          <w:sz w:val="16"/>
          <w:szCs w:val="16"/>
          <w:color w:val="auto"/>
        </w:rPr>
        <w:t>. The Company shall indemnify Indemnitee if Indemnitee is or was a party or is threatened to be made a party to any threatened, pending or completed action, suit or proceeding, whether civil, criminal, administrative or investigative (other than an action by or in the right of the Company) by reason of the fact that Indemnitee is or was a director, officer, employee or agent of the Company, or any subsidiary of the Company, by reason of any action or inaction on the part of Indemnitee while an officer or director or by reason of the fact that Indemnitee is or was serving at the request of the Company as a director, officer, employee or agent of another corporation, partnership, joint venture, trust or other enterprise, against expenses (including attorneys’ fees), judgments, fines and amounts paid in settlement (if such settlement is approved in advance by the Company, which approval shall not be unreasonably withheld) actually and reasonably incurred by Indemnitee in connection with such action, suit or proceeding if Indemnitee acted in good faith and in a manner Indemnitee reasonably believed to be in or not opposed to the best interests of the Company, and, with respect to any criminal action or proceeding, had no reasonable cause to believe Indemnitee’s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Company, or, with respect to any criminal action or proceeding, that Indemnitee had reasonable cause to believe that Indemnitee’s conduct was unlawful.</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Proceedings by or in the Right of the Company</w:t>
      </w:r>
      <w:r>
        <w:rPr>
          <w:rFonts w:ascii="Arial" w:cs="Arial" w:eastAsia="Arial" w:hAnsi="Arial"/>
          <w:sz w:val="17"/>
          <w:szCs w:val="17"/>
          <w:color w:val="auto"/>
        </w:rPr>
        <w:t>. The Company shall indemnify Indemnitee if Indemnitee was or is a party or is threatened to be made a party to any threatened, pending or completed action or proceeding by or in the right of the Company or any subsidiary of the Company to procure a judgment in its favor by reason of the fact that Indemnitee is or was a director, officer, employee or agent of the Company, or any subsidiary of the Company, by reason of any action or inaction on the part of Indemnitee while an officer or director or by reason of the fact that Indemnitee is or was serving at the request of the Company as a director, officer, employee or agent of another corporation, partnership, joint venture, trust or other enterprise, against expenses (including attorneys’ fees) and, to the fullest extent permitted by law, amounts paid in settlement (if such settlement is approved in advance by the Company, which approval shall not be unreasonably withheld), in each case to the extent actually and reasonably incurred by Indemnitee in connection with the defense or settlement of such action or suit if Indemnitee acted in good faith and in a manner Indemnitee reasonably believed to be in or not opposed to the best interests of the Company and its stockholders, except that no indemnification shall be made in respect of any claim, issue or matter as to which Indemnitee shall have been finally adjudicated by court order or judgment to be liable to the Company in the performance of Indemnitee’s duty to the Company and its stockholders unless and only to the extent that the court in which such action or proceeding is or was pending shall determine upon application that, in view of all the circumstances of the case, Indemnitee is fairly and reasonably entitled to indemnity for such expenses which such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3" w:name="page254"/>
    <w:bookmarkEnd w:id="253"/>
    <w:p>
      <w:pPr>
        <w:jc w:val="both"/>
        <w:ind w:firstLine="648"/>
        <w:spacing w:after="0" w:line="26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Mandatory Payment of Expenses</w:t>
      </w:r>
      <w:r>
        <w:rPr>
          <w:rFonts w:ascii="Arial" w:cs="Arial" w:eastAsia="Arial" w:hAnsi="Arial"/>
          <w:sz w:val="18"/>
          <w:szCs w:val="18"/>
          <w:color w:val="auto"/>
        </w:rPr>
        <w:t xml:space="preserve">. To the extent that Indemnitee has been successful on the merits or otherwise in defense of any action, suit or proceeding referred to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the defense of any claim, issue or matter therein, Indemnitee shall be indemnified against expenses (including attorneys’ fees) actually and reasonably incurred by Indemnitee in connection therewith.</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EMPLOYMENT RIGHTS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contained in this Agreement is intended to create in Indemnitee any right to continued employment.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INDEMNIFICATION PROCEDURE</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color w:val="auto"/>
        </w:rPr>
        <w:t xml:space="preserve">. The Company shall advance all expenses incurred by Indemnitee in connection with the investigation, defense, settlement or appeal of any civil or criminal action, suit or proceeding referred to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(including amounts actually paid in settlement of any such action, suit or proceeding). Indemnitee hereby undertakes to repay such amounts advanced only if, and to the extent that, it shall ultimately be determined that Indemnitee is not entitled to be indemnified by the Company as authorized hereby.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Notice Cooperation by Indemnitee</w:t>
      </w:r>
      <w:r>
        <w:rPr>
          <w:rFonts w:ascii="Arial" w:cs="Arial" w:eastAsia="Arial" w:hAnsi="Arial"/>
          <w:sz w:val="16"/>
          <w:szCs w:val="16"/>
          <w:color w:val="auto"/>
        </w:rPr>
        <w:t xml:space="preserve">. Indemnitee shall, as a condition precedent to his or her right to be indemnified under this Agreement, give the Company notice in writing as soon as practicable of any claim made against Indemnitee for which indemnification will or could be sought under this Agreement. Notice to the Company shall be directed to the Chief Executive Officer of the Company (unless the Indemnitee is then the Chief Executive Officer, in which event then to the Chief Financial Officer of the Company) and shall be given in accordance with the provisions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below. In addition, Indemnitee shall give the Company such information and cooperation as it may reasonably require and as shall be within Indemnitee’s power.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4" w:name="page255"/>
    <w:bookmarkEnd w:id="254"/>
    <w:p>
      <w:pPr>
        <w:jc w:val="both"/>
        <w:ind w:firstLine="648"/>
        <w:spacing w:after="0" w:line="26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Procedure</w:t>
      </w:r>
      <w:r>
        <w:rPr>
          <w:rFonts w:ascii="Arial" w:cs="Arial" w:eastAsia="Arial" w:hAnsi="Arial"/>
          <w:sz w:val="17"/>
          <w:szCs w:val="17"/>
          <w:color w:val="auto"/>
        </w:rPr>
        <w:t xml:space="preserve">. Any indemnification and advances provided for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made no later than twenty (20) days after receipt of the written request of Indemnitee. If a claim under this Agreement, under any statute, or under any provision of the Company’s Certificate of Incorporation or Bylaws providing for indemnification, is not paid in full by the Company within twenty (20) days after a written request for payment thereof has first been received by the Company, Indemnitee may, but need not, at any time thereafter bring an action against the Company to recover the unpaid amount of the claim and,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of this Agreement, Indemnitee shall also be entitled to be paid for the expenses (including attorneys’ fees) of bringing such action. It shall be a defense to any such action (other than an action brought to enforce a claim for expenses incurred in connection with any action, suit or proceeding in advance of its final disposition) that Indemnitee has not met the standards of conduct which make it permissible under applicable law for the Company to indemnify Indemnitee for the amount claimed, but the burden of proving such defense shall be on the Company and Indemnitee shall be entitled to receive interim payments of expenses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unless and until such defense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In addition, to the fullest extent permitted by law and prior to a final adjudication by court order or judgment from which no further right of appeal exists as to Indemnitee’s right to indemnification, Indemnitee shall have the right to receive advancement, on the same terms and subject to the same obligation to repay as the advancement of expenses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any amounts that Indemnitee pays for which Indemnitee would be entitled to indemnification under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hereof if Indemnitee has met the applicable standard of conduct (including, without limitation, the costs of providing any bond in connection with the appeal of any proceeding); provided, however, that Indemnitee shall only be entitled to such advancement if Indemnitee delivers an opinion of independent legal counsel, selected by Indemnitee and reasonably acceptable to the Company, that such counsel has determined, after using customary procedures for such opinion, that it is probable (i.e., more than a 50% probability) that Indemnitee has met the applicable standard of conduct necessary in order to receive indemnification.</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to Insurers</w:t>
      </w:r>
      <w:r>
        <w:rPr>
          <w:rFonts w:ascii="Arial" w:cs="Arial" w:eastAsia="Arial" w:hAnsi="Arial"/>
          <w:sz w:val="17"/>
          <w:szCs w:val="17"/>
          <w:color w:val="auto"/>
        </w:rPr>
        <w:t xml:space="preserve">. If, at the time of the receipt of a notice of a claim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Selection of Counsel</w:t>
      </w:r>
      <w:r>
        <w:rPr>
          <w:rFonts w:ascii="Arial" w:cs="Arial" w:eastAsia="Arial" w:hAnsi="Arial"/>
          <w:sz w:val="16"/>
          <w:szCs w:val="16"/>
          <w:color w:val="auto"/>
        </w:rPr>
        <w:t xml:space="preserve">. In the event the Company shall be obligated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to pay the expenses of any proceeding against Indemnitee, the Company, if appropriate, shall be entitled to assume the defense of such proceeding,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provided that (a) Indemnitee shall have the right to employ counsel in any such proceeding at Indemnitee’s expense; and (b) if</w:t>
      </w:r>
    </w:p>
    <w:p>
      <w:pPr>
        <w:spacing w:after="0" w:line="2" w:lineRule="exact"/>
        <w:rPr>
          <w:sz w:val="20"/>
          <w:szCs w:val="20"/>
          <w:color w:val="auto"/>
        </w:rPr>
      </w:pPr>
    </w:p>
    <w:p>
      <w:pPr>
        <w:jc w:val="both"/>
        <w:ind w:firstLine="8"/>
        <w:spacing w:after="0" w:line="302" w:lineRule="auto"/>
        <w:tabs>
          <w:tab w:leader="none" w:pos="21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employment of counsel by Indemnitee has been previously authorized by the Company, (ii) Indemnitee shall have reasonably concluded that there may be a conflict of interest between the Company and Indemnitee in the conduct of any such defense or (iii) the Company shall not, in fact, have employed counsel to assume the defense of such proceeding, then the fees and expenses of Indemnitee’s counsel shall be at the expense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INDEMNIFICATION RIGHTS; NONEXCLUSIVITY</w:t>
      </w:r>
    </w:p>
    <w:p>
      <w:pPr>
        <w:spacing w:after="0" w:line="2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Scope</w:t>
      </w:r>
      <w:r>
        <w:rPr>
          <w:rFonts w:ascii="Arial" w:cs="Arial" w:eastAsia="Arial" w:hAnsi="Arial"/>
          <w:sz w:val="16"/>
          <w:szCs w:val="16"/>
          <w:color w:val="auto"/>
        </w:rPr>
        <w:t>. Notwithstanding any other provision of this Agreement, the Company hereby agrees to indemnify the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Nonexclusivity</w:t>
      </w:r>
      <w:r>
        <w:rPr>
          <w:rFonts w:ascii="Arial" w:cs="Arial" w:eastAsia="Arial" w:hAnsi="Arial"/>
          <w:sz w:val="18"/>
          <w:szCs w:val="18"/>
          <w:color w:val="auto"/>
        </w:rPr>
        <w:t>. The indemnification provided by this Agreement shall not be deemed exclusive of any rights to which Indemnitee may be entitled under the Company’s Certificate of Incorporation, its Bylaws, any agreement, any vote of stockholders or disinterested members of the Company’s Board of Directors, the General Corporation Law of the State of Delaware, or otherwise, both as to action in Indemnitee’s official capacity and as to action in another capacity while holding such office. The indemnification provided under this Agreement shall continue as to Indemnitee for any action taken or not taken while serving in an indemnified capacity even though he or she may have ceased to serve in any such capacity at the time of any action, suit or other covered proceeding.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PARTIAL INDEMNIFICATION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Indemnitee is entitled under any provision of this Agreement to indemnification by the Company for some or a portion of the expenses, judgments, fines or penalties actually or reasonably incurred in the investigation, defense, appeal or settlement of any civil or criminal action, suit or proceeding, but not, however, for the total amount thereof, the Company shall nevertheless indemnify Indemnitee for the portion of such expenses, judgments, fines or penalties to which Indemnitee is entitled.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ACKNOWLEDGMENT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Both the Company and Indemnitee acknowledge that in certain instances, Federal law or public policy may override applicable state law and prohibit the Company from indemnifying its directors and officers under this Agreement or otherwise. For example, the Company and Indemnitee acknowledge that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AND DIRECTOR LIABILITY INSURANCE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shall, from time to time, make the good faith determination whether or not it is practicable for the Company to obtain and maintain a policy or policies of insurance with reputable 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7" w:name="page258"/>
    <w:bookmarkEnd w:id="257"/>
    <w:p>
      <w:pPr>
        <w:ind w:left="518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EXCEPTIONS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other provision herein to the contrary notwithstanding, the Company shall not be obligated pursuant to the terms of this Agreement:</w:t>
      </w: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u w:val="single" w:color="auto"/>
          <w:color w:val="auto"/>
        </w:rPr>
        <w:t>Claims Initiated by Indemnitee</w:t>
      </w:r>
      <w:r>
        <w:rPr>
          <w:rFonts w:ascii="Arial" w:cs="Arial" w:eastAsia="Arial" w:hAnsi="Arial"/>
          <w:sz w:val="16"/>
          <w:szCs w:val="16"/>
          <w:color w:val="auto"/>
        </w:rPr>
        <w:t>. To indemnify or advance expenses to Indemnitee with respect to proceedings or claims initiated or brought voluntarily by Indemnitee and not by way of defense, except with respect to proceedings brought to establish or enforce a right to indemnification under this Agreement or any other statute or law or otherwise as required under Section 145 of the Delaware General Corporation Law, but such indemnification or advancement of expenses may be provided by the Company in specific cases if the Board of Directors finds it to be appropriate;</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Lack of Good Faith</w:t>
      </w:r>
      <w:r>
        <w:rPr>
          <w:rFonts w:ascii="Arial" w:cs="Arial" w:eastAsia="Arial" w:hAnsi="Arial"/>
          <w:sz w:val="18"/>
          <w:szCs w:val="18"/>
          <w:color w:val="auto"/>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Insured Claims</w:t>
      </w:r>
      <w:r>
        <w:rPr>
          <w:rFonts w:ascii="Arial" w:cs="Arial" w:eastAsia="Arial" w:hAnsi="Arial"/>
          <w:sz w:val="18"/>
          <w:szCs w:val="18"/>
          <w:color w:val="auto"/>
        </w:rPr>
        <w:t>. To indemnify Indemnitee for expenses or liabilities of any type whatsoever (including, but not limited to, judgments, fines, ERISA excise taxes or penalties, and amounts paid in settlement) to the extent such expenses or liabilities have been paid directly to Indemnitee by an insurance carrier under a policy of officers’ and directors’ liability insurance maintained by the Company; or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Claims Under Section 16(B)</w:t>
      </w:r>
      <w:r>
        <w:rPr>
          <w:rFonts w:ascii="Arial" w:cs="Arial" w:eastAsia="Arial" w:hAnsi="Arial"/>
          <w:sz w:val="18"/>
          <w:szCs w:val="18"/>
          <w:color w:val="auto"/>
        </w:rPr>
        <w:t>. To indemnify Indemnitee for expenses or the payment of profits arising from the purchase and sale by Indemnitee of securities in violation of Section 16(b) of the Securities Exchange Act of 1934, as amended, or any similar successor statute.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CONSTRUCTION OF CERTAIN PHRASES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10.1 For purposes of this Agreement, references 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10.2 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ATTORNEYS’ FEES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that any action is instituted by Indemnitee under this Agreement to enforce or interpret any of the terms hereof, Indemnitee shall be entitled to be paid all court costs and expenses, including reasonable attorneys’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attorneys’ fees, incurred by Indemnitee in defense of such action (including with respect to Indemnitee’s counterclaims and cross-claims made in such action), unless as a part of such action the court determines that each of Indemnitee’s material defenses to such action were made in bad faith or were frivolous.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all acts and transactions pursuant hereto and the rights and obligations of the parties hereto shall be governed, construed and interpreted in accordance with the laws of the State of Delaware, without giving effect to principles of conflict of law.</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color w:val="auto"/>
        </w:rPr>
        <w:t>. This Agreement sets forth the entire agreement and 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demand or request required or permitted to be given under this Agreement shall be in writing and shall be deemed sufficient when delivered personally or sent by telegram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59" w:name="page260"/>
    <w:bookmarkEnd w:id="259"/>
    <w:p>
      <w:pPr>
        <w:jc w:val="both"/>
        <w:ind w:firstLine="648"/>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instrument.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the Company and its successors and assigns, and inure to the benefit of Indemnitee and Indemnitee’s heirs, legal representatives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0" w:name="page261"/>
    <w:bookmarkEnd w:id="260"/>
    <w:p>
      <w:pPr>
        <w:ind w:left="660"/>
        <w:spacing w:after="0"/>
        <w:rPr>
          <w:sz w:val="20"/>
          <w:szCs w:val="20"/>
          <w:color w:val="auto"/>
        </w:rPr>
      </w:pPr>
      <w:r>
        <w:rPr>
          <w:rFonts w:ascii="Arial" w:cs="Arial" w:eastAsia="Arial" w:hAnsi="Arial"/>
          <w:sz w:val="16"/>
          <w:szCs w:val="16"/>
          <w:color w:val="auto"/>
        </w:rPr>
        <w:t>The parties hereto have executed this Agreement as of the day and year set forth on the first page of this Agreement.</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8" w:lineRule="exact"/>
        <w:rPr>
          <w:sz w:val="20"/>
          <w:szCs w:val="20"/>
          <w:color w:val="auto"/>
        </w:rPr>
      </w:pPr>
    </w:p>
    <w:p>
      <w:pPr>
        <w:ind w:left="5500"/>
        <w:spacing w:after="0"/>
        <w:tabs>
          <w:tab w:leader="none" w:pos="6320" w:val="left"/>
        </w:tabs>
        <w:rPr>
          <w:sz w:val="20"/>
          <w:szCs w:val="20"/>
          <w:color w:val="auto"/>
        </w:rPr>
      </w:pPr>
      <w:r>
        <w:rPr>
          <w:rFonts w:ascii="Arial" w:cs="Arial" w:eastAsia="Arial" w:hAnsi="Arial"/>
          <w:sz w:val="18"/>
          <w:szCs w:val="18"/>
          <w:color w:val="auto"/>
        </w:rPr>
        <w:t>Address:</w:t>
        <w:tab/>
        <w:t>Three Allen Center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1559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7649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7649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64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37649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764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37649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7649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37649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[Signature Page to Indemnification Agreement]</w:t>
      </w:r>
    </w:p>
    <w:p>
      <w:pPr>
        <w:sectPr>
          <w:pgSz w:w="11900" w:h="16838" w:orient="portrait"/>
          <w:cols w:equalWidth="0" w:num="1">
            <w:col w:w="10219"/>
          </w:cols>
          <w:pgMar w:left="240" w:top="584" w:right="1440"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00" w:type="dxa"/>
            <w:vAlign w:val="bottom"/>
            <w:gridSpan w:val="3"/>
          </w:tcPr>
          <w:p>
            <w:pPr>
              <w:ind w:left="980"/>
              <w:spacing w:after="0"/>
              <w:rPr>
                <w:sz w:val="20"/>
                <w:szCs w:val="20"/>
                <w:color w:val="auto"/>
              </w:rPr>
            </w:pPr>
            <w:r>
              <w:rPr>
                <w:rFonts w:ascii="Arial" w:cs="Arial" w:eastAsia="Arial" w:hAnsi="Arial"/>
                <w:sz w:val="18"/>
                <w:szCs w:val="18"/>
                <w:b w:val="1"/>
                <w:bCs w:val="1"/>
                <w:color w:val="auto"/>
              </w:rPr>
              <w:t>Subsidiaries of Civeo Corporation</w:t>
            </w:r>
          </w:p>
        </w:tc>
        <w:tc>
          <w:tcPr>
            <w:tcW w:w="0" w:type="dxa"/>
            <w:vAlign w:val="bottom"/>
          </w:tcPr>
          <w:p>
            <w:pPr>
              <w:spacing w:after="0"/>
              <w:rPr>
                <w:sz w:val="1"/>
                <w:szCs w:val="1"/>
                <w:color w:val="auto"/>
              </w:rPr>
            </w:pPr>
          </w:p>
        </w:tc>
      </w:tr>
      <w:tr>
        <w:trPr>
          <w:trHeight w:val="392"/>
        </w:trPr>
        <w:tc>
          <w:tcPr>
            <w:tcW w:w="3420" w:type="dxa"/>
            <w:vAlign w:val="bottom"/>
            <w:gridSpan w:val="3"/>
          </w:tcPr>
          <w:p>
            <w:pPr>
              <w:spacing w:after="0"/>
              <w:rPr>
                <w:sz w:val="20"/>
                <w:szCs w:val="20"/>
                <w:color w:val="auto"/>
              </w:rPr>
            </w:pPr>
            <w:r>
              <w:rPr>
                <w:rFonts w:ascii="Arial" w:cs="Arial" w:eastAsia="Arial" w:hAnsi="Arial"/>
                <w:sz w:val="18"/>
                <w:szCs w:val="18"/>
                <w:color w:val="auto"/>
              </w:rPr>
              <w:t>Name</w:t>
            </w:r>
          </w:p>
        </w:tc>
        <w:tc>
          <w:tcPr>
            <w:tcW w:w="8000" w:type="dxa"/>
            <w:vAlign w:val="bottom"/>
            <w:gridSpan w:val="3"/>
          </w:tcPr>
          <w:p>
            <w:pPr>
              <w:ind w:left="2360"/>
              <w:spacing w:after="0"/>
              <w:rPr>
                <w:sz w:val="20"/>
                <w:szCs w:val="20"/>
                <w:color w:val="auto"/>
              </w:rPr>
            </w:pPr>
            <w:r>
              <w:rPr>
                <w:rFonts w:ascii="Arial" w:cs="Arial" w:eastAsia="Arial" w:hAnsi="Arial"/>
                <w:sz w:val="18"/>
                <w:szCs w:val="18"/>
                <w:color w:val="auto"/>
              </w:rPr>
              <w:t>Jurisdiction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PTI Group USA LLC</w:t>
            </w:r>
          </w:p>
        </w:tc>
        <w:tc>
          <w:tcPr>
            <w:tcW w:w="800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PTI Premium Camp Services Ltd.</w:t>
            </w:r>
          </w:p>
        </w:tc>
        <w:tc>
          <w:tcPr>
            <w:tcW w:w="8000" w:type="dxa"/>
            <w:vAlign w:val="bottom"/>
            <w:gridSpan w:val="3"/>
          </w:tcPr>
          <w:p>
            <w:pPr>
              <w:ind w:left="2360"/>
              <w:spacing w:after="0"/>
              <w:rPr>
                <w:sz w:val="20"/>
                <w:szCs w:val="20"/>
                <w:color w:val="auto"/>
              </w:rPr>
            </w:pPr>
            <w:r>
              <w:rPr>
                <w:rFonts w:ascii="Arial" w:cs="Arial" w:eastAsia="Arial" w:hAnsi="Arial"/>
                <w:sz w:val="18"/>
                <w:szCs w:val="18"/>
                <w:color w:val="auto"/>
              </w:rPr>
              <w:t>Alberta, 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MAC Services Group Ltd.</w:t>
            </w:r>
          </w:p>
        </w:tc>
        <w:tc>
          <w:tcPr>
            <w:tcW w:w="800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4124960" cy="10979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12496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Oil States Stockholder:</w:t>
      </w:r>
    </w:p>
    <w:p>
      <w:pPr>
        <w:spacing w:after="0" w:line="225" w:lineRule="exact"/>
        <w:rPr>
          <w:sz w:val="20"/>
          <w:szCs w:val="20"/>
          <w:color w:val="auto"/>
        </w:rPr>
      </w:pPr>
    </w:p>
    <w:p>
      <w:pPr>
        <w:ind w:left="340"/>
        <w:spacing w:after="0"/>
        <w:tabs>
          <w:tab w:leader="none" w:pos="3420" w:val="left"/>
        </w:tabs>
        <w:rPr>
          <w:sz w:val="20"/>
          <w:szCs w:val="20"/>
          <w:color w:val="auto"/>
        </w:rPr>
      </w:pPr>
      <w:r>
        <w:rPr>
          <w:rFonts w:ascii="Arial" w:cs="Arial" w:eastAsia="Arial" w:hAnsi="Arial"/>
          <w:sz w:val="18"/>
          <w:szCs w:val="18"/>
          <w:color w:val="auto"/>
        </w:rPr>
        <w:t>I am pleased to inform you that on</w:t>
      </w:r>
      <w:r>
        <w:rPr>
          <w:sz w:val="20"/>
          <w:szCs w:val="20"/>
          <w:color w:val="auto"/>
        </w:rPr>
        <w:tab/>
      </w:r>
      <w:r>
        <w:rPr>
          <w:rFonts w:ascii="Arial" w:cs="Arial" w:eastAsia="Arial" w:hAnsi="Arial"/>
          <w:sz w:val="16"/>
          <w:szCs w:val="16"/>
          <w:color w:val="auto"/>
        </w:rPr>
        <w:t>, 2014, the board of directors of Oil States International, Inc. approved the spin-off of our Accommodations</w:t>
      </w:r>
    </w:p>
    <w:p>
      <w:pPr>
        <w:spacing w:after="0" w:line="23"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business as a separate, publicly traded company, which we have named Civeo Corporation (“Civeo”). Upon completion of the spin-off, Oil States stockholders will own 100% of the outstanding shares of common stock of Civeo. We believe that this separation of Civeo to form a new, independent, publicly traded company is in the best interests of Oil States, its stockholders and Civeo.</w:t>
      </w:r>
    </w:p>
    <w:p>
      <w:pPr>
        <w:spacing w:after="0" w:line="190"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color w:val="auto"/>
        </w:rPr>
        <w:t>The spin-off will be completed by way of a pro rata distribution on , 2014, of Civeo common stock to our stockholders of record as of the close of business on , 2014, the spin-off record date. Each Oil States stockholder will receive two shares of Civeo common stock for each share of Oil States</w:t>
      </w:r>
    </w:p>
    <w:p>
      <w:pPr>
        <w:jc w:val="both"/>
        <w:ind w:right="220"/>
        <w:spacing w:after="0" w:line="255" w:lineRule="auto"/>
        <w:rPr>
          <w:sz w:val="20"/>
          <w:szCs w:val="20"/>
          <w:color w:val="auto"/>
        </w:rPr>
      </w:pPr>
      <w:r>
        <w:rPr>
          <w:rFonts w:ascii="Arial" w:cs="Arial" w:eastAsia="Arial" w:hAnsi="Arial"/>
          <w:sz w:val="18"/>
          <w:szCs w:val="18"/>
          <w:color w:val="auto"/>
        </w:rPr>
        <w:t>common stock held by such stockholder on the record date. The distribution of these shares will be made in book-entry form, which means that no physical share certificates will be issued. Following the spin-off, stockholders may request that their shares of Civeo common stock be transferred to a brokerage or other account at any time.</w:t>
      </w:r>
    </w:p>
    <w:p>
      <w:pPr>
        <w:spacing w:after="0" w:line="19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spin-off is subject to certain customary conditions. Stockholder approval of the distribution is not required, nor are you required to take any action to receive your shares of Civeo common stock.</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Immediately following the spin-off, you will own common stock in Oil States and Civeo. Oil States’ common stock will continue to trade on the New York Stock Exchange under the symbol “OIS”. Civeo’s common stock is expected to be traded on the New York Stock Exchange under the symbol “CVEO”.</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Oil States has received a private letter ruling from the Internal Revenue Service to the effect that, among other things, the distribution of Civeo’s common stock to Oil States stockholders, together with certain related transactions, will qualify as a transaction that is generally tax-free for U.S. federal income tax purposes.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171"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The enclosed information statement, which is being mailed to all Oil States stockholders, describes the spin-off in detail and contains important information about Civeo, including its consolidated financial statements. We urge you to read this information statement carefully.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want to thank you for your continued support of Oil States. We look forward to your support of Civeo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Cindy B.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2581275" cy="1320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Civeo Stockholder:</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It is our pleasure to welcome you as a stockholder of our company, Civeo Corporation We provide remote site accommodations, logistics and facility management services to the global natural resource industry, with operations primarily focused in Canada, Australia and the United States.</w:t>
      </w:r>
    </w:p>
    <w:p>
      <w:pPr>
        <w:spacing w:after="0" w:line="14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Civeo has a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assess opportunities in additional locations and markets. As an independent, publicly traded company, we can more effectively focus on and enhance our strategic growth plans and deliver long-term stockholder returns.</w:t>
      </w:r>
    </w:p>
    <w:p>
      <w:pPr>
        <w:spacing w:after="0" w:line="15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expect to list Civeo common stock on the New York Stock Exchange under the symbol “CVEO” in connection with the distribution of Civeo common stock by Oil States.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invite you to learn more about Civeo by reviewing the enclosed information statement. We look forward to our future as an independent, public company and to your support as a holder of Civeo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64" w:name="page265"/>
    <w:bookmarkEnd w:id="264"/>
    <w:p>
      <w:pPr>
        <w:ind w:left="20" w:right="440"/>
        <w:spacing w:after="0" w:line="313" w:lineRule="auto"/>
        <w:rPr>
          <w:sz w:val="20"/>
          <w:szCs w:val="20"/>
          <w:color w:val="auto"/>
        </w:rPr>
      </w:pPr>
      <w:r>
        <w:rPr>
          <w:rFonts w:ascii="Arial" w:cs="Arial" w:eastAsia="Arial" w:hAnsi="Arial"/>
          <w:sz w:val="17"/>
          <w:szCs w:val="17"/>
          <w:b w:val="1"/>
          <w:bCs w:val="1"/>
          <w:color w:val="auto"/>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95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SUBJECT TO COMPLETION, DATED April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309245</wp:posOffset>
            </wp:positionV>
            <wp:extent cx="2581275" cy="132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STATEMENT</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Civeo Corporation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value $0.01 per share)</w:t>
      </w:r>
    </w:p>
    <w:p>
      <w:pPr>
        <w:spacing w:after="0" w:line="225"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This information statement is being sent to you in connection with the separation of Civeo Corporation (“Civeo”) from Oil States International, Inc. (“Oil States”), following which Civeo will be an independent, publicly traded company. As part of the separation, Oil States will distribute all of the shares of Civeo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Each Oil States stockholder will receive two shares of Civeo common stock</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for each share of Oil States common stock held by such stockholder as of the close of business on , 2014, the record date for the distribution. The distribution of shares will be made in book-entry form. As discussed under “The Spin-Off—Trading Prior to the Distribution Date,” if you sell your common shares of Oil States in the “regular-way” market after the record date and before the distribution date, you also will be selling your right to receive shares of</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common stock in connection with the separation. The distribution will be effective as of 11:59 p.m., Eastern Time, on , 2014. Immediately after the distribution becomes effective, Civeo will be an independent, publicly traded company.</w:t>
      </w:r>
    </w:p>
    <w:p>
      <w:pPr>
        <w:spacing w:after="0" w:line="180" w:lineRule="exact"/>
        <w:rPr>
          <w:sz w:val="20"/>
          <w:szCs w:val="20"/>
          <w:color w:val="auto"/>
        </w:rPr>
      </w:pPr>
    </w:p>
    <w:p>
      <w:pPr>
        <w:ind w:right="160" w:firstLine="324"/>
        <w:spacing w:after="0" w:line="289" w:lineRule="auto"/>
        <w:rPr>
          <w:sz w:val="20"/>
          <w:szCs w:val="20"/>
          <w:color w:val="auto"/>
        </w:rPr>
      </w:pPr>
      <w:r>
        <w:rPr>
          <w:rFonts w:ascii="Arial" w:cs="Arial" w:eastAsia="Arial" w:hAnsi="Arial"/>
          <w:sz w:val="17"/>
          <w:szCs w:val="17"/>
          <w:b w:val="1"/>
          <w:bCs w:val="1"/>
          <w:color w:val="auto"/>
        </w:rPr>
        <w:t>No vote or further action of Oil States stockholders is required in connection with the spin-off. We are not asking you for a proxy</w:t>
      </w:r>
      <w:r>
        <w:rPr>
          <w:rFonts w:ascii="Arial" w:cs="Arial" w:eastAsia="Arial" w:hAnsi="Arial"/>
          <w:sz w:val="17"/>
          <w:szCs w:val="17"/>
          <w:color w:val="auto"/>
        </w:rPr>
        <w:t>. Oil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not be required to pay any consideration for the shares of Civeo common stock they receive in the spin-off, and they will not be required to surrender or exchange shares of their Oil States common stock or take any other action in connection with the spin-off.</w:t>
      </w:r>
    </w:p>
    <w:p>
      <w:pPr>
        <w:spacing w:after="0" w:line="16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All of the outstanding shares of Civeo common stock are currently owned by Oil States. Accordingly, there is no current trading market for Civeo common stock. We expect, however, that a limited trading market for Civeo common stock, commonly known as a “when-issued” trading market, will develop on or shortly before the record date for the distribution, and we expect “regular-way” trading of Civeo common stock will begin the first trading day after the distribution date. We expect to list Civeo common stock on the New York Stock Exchange under the ticker symbol “CVEO”.</w:t>
      </w:r>
    </w:p>
    <w:p>
      <w:pPr>
        <w:spacing w:after="0" w:line="167" w:lineRule="exact"/>
        <w:rPr>
          <w:sz w:val="20"/>
          <w:szCs w:val="20"/>
          <w:color w:val="auto"/>
        </w:rPr>
      </w:pPr>
    </w:p>
    <w:p>
      <w:pPr>
        <w:ind w:right="440" w:firstLine="324"/>
        <w:spacing w:after="0" w:line="329"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“Risk Factors” beginning on page 19 of this information statement.</w:t>
      </w:r>
    </w:p>
    <w:p>
      <w:pPr>
        <w:spacing w:after="0" w:line="135" w:lineRule="exact"/>
        <w:rPr>
          <w:sz w:val="20"/>
          <w:szCs w:val="20"/>
          <w:color w:val="auto"/>
        </w:rPr>
      </w:pPr>
    </w:p>
    <w:p>
      <w:pPr>
        <w:ind w:right="8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is not an offer to sell, or a solicitation of an offer to buy, any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jc w:val="center"/>
              <w:ind w:left="3190"/>
              <w:spacing w:after="0"/>
              <w:rPr>
                <w:sz w:val="20"/>
                <w:szCs w:val="20"/>
                <w:color w:val="auto"/>
              </w:rPr>
            </w:pPr>
            <w:r>
              <w:rPr>
                <w:rFonts w:ascii="Arial" w:cs="Arial" w:eastAsia="Arial" w:hAnsi="Arial"/>
                <w:sz w:val="18"/>
                <w:szCs w:val="18"/>
                <w:color w:val="auto"/>
                <w:w w:val="91"/>
              </w:rPr>
              <w:t>The date of this information statement is</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 2014.</w:t>
            </w:r>
          </w:p>
        </w:tc>
        <w:tc>
          <w:tcPr>
            <w:tcW w:w="3040" w:type="dxa"/>
            <w:vAlign w:val="bottom"/>
          </w:tcPr>
          <w:p>
            <w:pPr>
              <w:spacing w:after="0"/>
              <w:rPr>
                <w:sz w:val="20"/>
                <w:szCs w:val="20"/>
                <w:color w:val="auto"/>
              </w:rPr>
            </w:pPr>
          </w:p>
        </w:tc>
      </w:tr>
      <w:tr>
        <w:trPr>
          <w:trHeight w:val="432"/>
        </w:trPr>
        <w:tc>
          <w:tcPr>
            <w:tcW w:w="8420" w:type="dxa"/>
            <w:vAlign w:val="bottom"/>
            <w:gridSpan w:val="2"/>
          </w:tcPr>
          <w:p>
            <w:pPr>
              <w:jc w:val="center"/>
              <w:ind w:left="1710"/>
              <w:spacing w:after="0"/>
              <w:rPr>
                <w:sz w:val="20"/>
                <w:szCs w:val="20"/>
                <w:color w:val="auto"/>
              </w:rPr>
            </w:pPr>
            <w:r>
              <w:rPr>
                <w:rFonts w:ascii="Arial" w:cs="Arial" w:eastAsia="Arial" w:hAnsi="Arial"/>
                <w:sz w:val="18"/>
                <w:szCs w:val="18"/>
                <w:color w:val="auto"/>
                <w:w w:val="91"/>
              </w:rPr>
              <w:t>This information statement was first mailed to Oil States stockholders on or about</w:t>
            </w:r>
          </w:p>
        </w:tc>
        <w:tc>
          <w:tcPr>
            <w:tcW w:w="3040" w:type="dxa"/>
            <w:vAlign w:val="bottom"/>
          </w:tcPr>
          <w:p>
            <w:pPr>
              <w:jc w:val="right"/>
              <w:ind w:right="2090"/>
              <w:spacing w:after="0"/>
              <w:rPr>
                <w:sz w:val="20"/>
                <w:szCs w:val="20"/>
                <w:color w:val="auto"/>
              </w:rPr>
            </w:pPr>
            <w:r>
              <w:rPr>
                <w:rFonts w:ascii="Arial" w:cs="Arial" w:eastAsia="Arial" w:hAnsi="Arial"/>
                <w:sz w:val="18"/>
                <w:szCs w:val="18"/>
                <w:color w:val="auto"/>
              </w:rPr>
              <w:t>, 2014.</w:t>
            </w:r>
          </w:p>
        </w:tc>
      </w:tr>
      <w:tr>
        <w:trPr>
          <w:trHeight w:val="996"/>
        </w:trPr>
        <w:tc>
          <w:tcPr>
            <w:tcW w:w="6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1"/>
        </w:trPr>
        <w:tc>
          <w:tcPr>
            <w:tcW w:w="69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4" w:right="199" w:bottom="1440" w:gutter="0" w:footer="0" w:header="0"/>
        </w:sectPr>
      </w:pPr>
    </w:p>
    <w:bookmarkStart w:id="265" w:name="page266"/>
    <w:bookmarkEnd w:id="2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80" w:type="dxa"/>
            <w:vAlign w:val="bottom"/>
          </w:tcPr>
          <w:p>
            <w:pPr>
              <w:ind w:left="490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RISK FACTORS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SPIN-OFF</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TRADING MARKET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DIVIDEND POLICY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UNAUDITED PRO FORMA COMBINED FINANCIAL STATEMENTS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SELECTED HISTORICAL COMBINED FINANCIAL DATA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SUMMARY COMPENSATION TABLE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GRANTS OF PLAN BASED AWARDS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OUTSTANDING EQUITY AWARDS AT 2013 FISCAL YEAR END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AND STOCK VESTED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NONQUALIFIED DEFERRED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POTENTIAL PAYMENTS UPON TERMINATION OR CHANGE OF CONTROL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DIRECTOR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ARRANGEMENTS BETWEEN OIL STATES AND OUR COMPANY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PARTY TRANSACTIONS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DESCRIPTION OF MATERIAL INDEBTEDNESS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CAPITAL STOCK</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INDEX TO FINANCIAL STATEMENTS, SUPPLEMENTARY DATA AND SCHEDULES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b w:val="1"/>
          <w:bCs w:val="1"/>
          <w:color w:val="auto"/>
        </w:rPr>
        <w:t>This information statement is being furnished solely to provide information to Oil States stockholders who will receive shares of Civeo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6" w:name="page267"/>
    <w:bookmarkEnd w:id="266"/>
    <w:p>
      <w:pPr>
        <w:jc w:val="center"/>
        <w:ind w:left="32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and provides an overview of our company, our separation from Oil States and the distribution of Civeo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188"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i w:val="1"/>
          <w:iCs w:val="1"/>
          <w:color w:val="auto"/>
        </w:rPr>
        <w:t>Except where the context otherwise requires or where otherwise indicated, (1) all references to “Oil States” refer to Oil States International, Inc., our parent company, and its subsidiaries, other than us, and (2) all references to “Civeo,” the “Company,” “we,” “us” and “our” refer to Civeo Corporation and its subsidiaries. Except as otherwise indicated or unless the context otherwise requires, the information included in this information statement assumes the completion of the restructuring transactions. See “The Spin-Off—Restructuring Transactions</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406400</wp:posOffset>
            </wp:positionV>
            <wp:extent cx="3267075" cy="30613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6707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For the year ended December 31, 2013, we generated $1.0 billion in revenue and $259.5 million in operating income.</w:t>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267" w:name="page268"/>
    <w:bookmarkEnd w:id="267"/>
    <w:p>
      <w:pPr>
        <w:ind w:right="20" w:firstLine="324"/>
        <w:spacing w:after="0" w:line="271"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Own, Operate model with solutions that span the lifecycle of the customers’ projects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revenue base</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16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banking focus with a pipeline of approved developments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 first-mover advantage as competitors may be less willing to speculatively build large-scale accommodation facilities without firm customer commitments.</w:t>
      </w:r>
    </w:p>
    <w:p>
      <w:pPr>
        <w:spacing w:after="0" w:line="173"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w:t>
      </w:r>
    </w:p>
    <w:p>
      <w:pPr>
        <w:spacing w:after="0"/>
        <w:rPr>
          <w:sz w:val="20"/>
          <w:szCs w:val="20"/>
          <w:color w:val="auto"/>
        </w:rPr>
      </w:pPr>
      <w:r>
        <w:rPr>
          <w:rFonts w:ascii="Arial" w:cs="Arial" w:eastAsia="Arial" w:hAnsi="Arial"/>
          <w:sz w:val="18"/>
          <w:szCs w:val="18"/>
          <w:color w:val="auto"/>
        </w:rPr>
        <w:t>necessary permitting and regulatory approvals. We believe this will allow us to respond promptly to future room demand in emerging regions.</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 first-mover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0" w:name="page271"/>
    <w:bookmarkEnd w:id="270"/>
    <w:p>
      <w:pPr>
        <w:ind w:firstLine="324"/>
        <w:spacing w:after="0" w:line="279" w:lineRule="auto"/>
        <w:rPr>
          <w:sz w:val="20"/>
          <w:szCs w:val="20"/>
          <w:color w:val="auto"/>
        </w:rPr>
      </w:pPr>
      <w:r>
        <w:rPr>
          <w:rFonts w:ascii="Arial" w:cs="Arial" w:eastAsia="Arial" w:hAnsi="Arial"/>
          <w:sz w:val="17"/>
          <w:szCs w:val="17"/>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Civeo was incorporated under the laws of the State of Delaware in 2013. Our principal executive offices are located at Three Allen Center, 333 Clay Street, Suite 4980, Houston, Texas 77002. Our telephone number is (713) 652-0582. Our website address is </w:t>
      </w:r>
      <w:r>
        <w:rPr>
          <w:rFonts w:ascii="Arial" w:cs="Arial" w:eastAsia="Arial" w:hAnsi="Arial"/>
          <w:sz w:val="16"/>
          <w:szCs w:val="16"/>
          <w:i w:val="1"/>
          <w:iCs w:val="1"/>
          <w:color w:val="auto"/>
        </w:rPr>
        <w:t>www.civeo.com</w:t>
      </w:r>
      <w:r>
        <w:rPr>
          <w:rFonts w:ascii="Arial" w:cs="Arial" w:eastAsia="Arial" w:hAnsi="Arial"/>
          <w:sz w:val="16"/>
          <w:szCs w:val="16"/>
          <w:color w:val="auto"/>
        </w:rPr>
        <w:t>.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Spin-Off</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we will consummate certain restructuring transactions described under “The Spin-Off—Restructuring Transactions,” including (i) the incurrence of additional debt, (ii) the payment of a special dividend to Oil States and (iii) the contribution and transfer to us of the assets and liabilities associated with our business. These transactions are collectively referred to as our “restructuring transactions” throughout this information statement.</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271" w:name="page272"/>
    <w:bookmarkEnd w:id="271"/>
    <w:p>
      <w:pPr>
        <w:ind w:firstLine="324"/>
        <w:spacing w:after="0" w:line="259" w:lineRule="auto"/>
        <w:rPr>
          <w:sz w:val="20"/>
          <w:szCs w:val="20"/>
          <w:color w:val="auto"/>
        </w:rPr>
      </w:pPr>
      <w:r>
        <w:rPr>
          <w:rFonts w:ascii="Arial" w:cs="Arial" w:eastAsia="Arial" w:hAnsi="Arial"/>
          <w:sz w:val="18"/>
          <w:szCs w:val="18"/>
          <w:color w:val="auto"/>
        </w:rPr>
        <w:t>The distribution of Civeo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Civeo from Oil States. See “The Spin-Off—Conditions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and Answers about the Spin-off</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provides only a summary of the terms of the spin-off. For a more detailed description of the matters described below, see “The Spin-Off.”</w:t>
      </w:r>
    </w:p>
    <w:p>
      <w:pPr>
        <w:spacing w:after="0" w:line="248" w:lineRule="exact"/>
        <w:rPr>
          <w:sz w:val="20"/>
          <w:szCs w:val="20"/>
          <w:color w:val="auto"/>
        </w:rPr>
      </w:pPr>
    </w:p>
    <w:p>
      <w:pPr>
        <w:ind w:left="960" w:hanging="628"/>
        <w:spacing w:after="0"/>
        <w:tabs>
          <w:tab w:leader="none" w:pos="9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What is the spin-off?</w:t>
      </w:r>
    </w:p>
    <w:p>
      <w:pPr>
        <w:spacing w:after="0" w:line="225" w:lineRule="exact"/>
        <w:rPr>
          <w:sz w:val="20"/>
          <w:szCs w:val="20"/>
          <w:color w:val="auto"/>
        </w:rPr>
      </w:pPr>
    </w:p>
    <w:p>
      <w:pPr>
        <w:ind w:left="960" w:right="740" w:hanging="628"/>
        <w:spacing w:after="0" w:line="259" w:lineRule="auto"/>
        <w:tabs>
          <w:tab w:leader="none" w:pos="9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spin-off is the method by which Civeo will separate from Oil States. To complete the spin-off, Oil States will distribute to its stockholders all of the shares of Civeo common stock. Following the spin-off, Civeo will be a separate company from Oil States, and Oil States will not retain any ownership interest in Civeo. The number of shares of Oil States common stock you own will not change as a result of the spin-off.</w:t>
      </w:r>
    </w:p>
    <w:p>
      <w:pPr>
        <w:spacing w:after="0" w:line="187" w:lineRule="exact"/>
        <w:rPr>
          <w:sz w:val="20"/>
          <w:szCs w:val="20"/>
          <w:color w:val="auto"/>
        </w:rPr>
      </w:pPr>
    </w:p>
    <w:p>
      <w:pPr>
        <w:ind w:left="960" w:hanging="628"/>
        <w:spacing w:after="0"/>
        <w:tabs>
          <w:tab w:leader="none" w:pos="96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What will I receive in the spin-off?</w:t>
      </w:r>
    </w:p>
    <w:p>
      <w:pPr>
        <w:spacing w:after="0" w:line="225" w:lineRule="exact"/>
        <w:rPr>
          <w:sz w:val="20"/>
          <w:szCs w:val="20"/>
          <w:color w:val="auto"/>
        </w:rPr>
      </w:pPr>
    </w:p>
    <w:p>
      <w:pPr>
        <w:ind w:left="960" w:right="880" w:hanging="628"/>
        <w:spacing w:after="0" w:line="264" w:lineRule="auto"/>
        <w:tabs>
          <w:tab w:leader="none" w:pos="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As a holder of Oil States stock, you will retain your Oil States shares and will receive two shares of Civeo common stock for each share of Oil States common stock you hold as of the record date. Your proportionate interest in Oil States will not change as a result of the spin-off. For a more detailed description, see “The Spin-Off.”</w:t>
      </w:r>
    </w:p>
    <w:p>
      <w:pPr>
        <w:spacing w:after="0" w:line="181" w:lineRule="exact"/>
        <w:rPr>
          <w:sz w:val="20"/>
          <w:szCs w:val="20"/>
          <w:color w:val="auto"/>
        </w:rPr>
      </w:pPr>
    </w:p>
    <w:p>
      <w:pPr>
        <w:ind w:left="960" w:hanging="628"/>
        <w:spacing w:after="0"/>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What is Civeo?</w:t>
      </w:r>
    </w:p>
    <w:p>
      <w:pPr>
        <w:spacing w:after="0" w:line="225" w:lineRule="exact"/>
        <w:rPr>
          <w:sz w:val="20"/>
          <w:szCs w:val="20"/>
          <w:color w:val="auto"/>
        </w:rPr>
      </w:pPr>
    </w:p>
    <w:p>
      <w:pPr>
        <w:ind w:left="960" w:right="860" w:hanging="628"/>
        <w:spacing w:after="0" w:line="259"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Civeo is currently a wholly-owned subsidiary of Oil States whose shares will be distributed to Oil States stockholders if the spin-off is completed. After the spin-off is completed, Civeo will be a public company and will own and operate the accommodations business that was formerly a part of Oil States. That business is referred to as the “accommodations business” throughout this information statement.</w:t>
      </w:r>
    </w:p>
    <w:p>
      <w:pPr>
        <w:spacing w:after="0" w:line="187" w:lineRule="exact"/>
        <w:rPr>
          <w:sz w:val="20"/>
          <w:szCs w:val="20"/>
          <w:color w:val="auto"/>
        </w:rPr>
      </w:pPr>
    </w:p>
    <w:p>
      <w:pPr>
        <w:ind w:left="960" w:hanging="628"/>
        <w:spacing w:after="0"/>
        <w:tabs>
          <w:tab w:leader="none" w:pos="960"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When is the record date for the distribution, and when will the distribution occur?</w:t>
      </w:r>
    </w:p>
    <w:p>
      <w:pPr>
        <w:sectPr>
          <w:pgSz w:w="11900" w:h="16838" w:orient="portrait"/>
          <w:cols w:equalWidth="0" w:num="1">
            <w:col w:w="11320"/>
          </w:cols>
          <w:pgMar w:left="240" w:top="584" w:right="339" w:bottom="1440" w:gutter="0" w:footer="0" w:header="0"/>
        </w:sectPr>
      </w:pPr>
    </w:p>
    <w:p>
      <w:pPr>
        <w:spacing w:after="0" w:line="225" w:lineRule="exact"/>
        <w:rPr>
          <w:sz w:val="20"/>
          <w:szCs w:val="20"/>
          <w:color w:val="auto"/>
        </w:rPr>
      </w:pPr>
    </w:p>
    <w:p>
      <w:pPr>
        <w:ind w:left="960" w:hanging="619"/>
        <w:spacing w:after="0" w:line="277" w:lineRule="auto"/>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record date will be the close of business of the New York Stock Exchange (the “NYSE”) on date of the spin-off is ,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w:t>
      </w:r>
    </w:p>
    <w:p>
      <w:pPr>
        <w:spacing w:after="0" w:line="463" w:lineRule="exact"/>
        <w:rPr>
          <w:sz w:val="20"/>
          <w:szCs w:val="20"/>
          <w:color w:val="auto"/>
        </w:rPr>
      </w:pPr>
    </w:p>
    <w:p>
      <w:pPr>
        <w:sectPr>
          <w:pgSz w:w="11900" w:h="16838" w:orient="portrait"/>
          <w:cols w:equalWidth="0" w:num="2">
            <w:col w:w="7880" w:space="720"/>
            <w:col w:w="2720"/>
          </w:cols>
          <w:pgMar w:left="240" w:top="584" w:right="339" w:bottom="1440" w:gutter="0" w:footer="0" w:header="0"/>
          <w:type w:val="continuous"/>
        </w:sectPr>
      </w:pPr>
    </w:p>
    <w:p>
      <w:pPr>
        <w:ind w:left="960" w:hanging="628"/>
        <w:spacing w:after="0"/>
        <w:tabs>
          <w:tab w:leader="none" w:pos="96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What are the reasons for and benefits of separating Civeo from Oil States?</w:t>
      </w:r>
    </w:p>
    <w:p>
      <w:pPr>
        <w:spacing w:after="0" w:line="225" w:lineRule="exact"/>
        <w:rPr>
          <w:sz w:val="20"/>
          <w:szCs w:val="20"/>
          <w:color w:val="auto"/>
        </w:rPr>
      </w:pPr>
    </w:p>
    <w:p>
      <w:pPr>
        <w:jc w:val="both"/>
        <w:ind w:left="960" w:right="720" w:hanging="628"/>
        <w:spacing w:after="0" w:line="264" w:lineRule="auto"/>
        <w:tabs>
          <w:tab w:leader="none" w:pos="9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separation of Civeo from Oil States and the distribution of Civeo common stock are intended to provide you with equity investments in two separate companies, each of which will be able to focus on their respective businesses. For a more detailed discussion of the reasons for and benefits of the spin-off, see “The Spin-Off—Reasons for the Spin-Off.”</w:t>
      </w:r>
    </w:p>
    <w:p>
      <w:pPr>
        <w:spacing w:after="0" w:line="181" w:lineRule="exact"/>
        <w:rPr>
          <w:sz w:val="20"/>
          <w:szCs w:val="20"/>
          <w:color w:val="auto"/>
        </w:rPr>
      </w:pPr>
    </w:p>
    <w:p>
      <w:pPr>
        <w:ind w:left="960" w:hanging="628"/>
        <w:spacing w:after="0"/>
        <w:tabs>
          <w:tab w:leader="none" w:pos="960"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Why is the separation of Civeo structured as a spin-off as opposed to a sale?</w:t>
      </w:r>
    </w:p>
    <w:p>
      <w:pPr>
        <w:spacing w:after="0" w:line="225" w:lineRule="exact"/>
        <w:rPr>
          <w:sz w:val="20"/>
          <w:szCs w:val="20"/>
          <w:color w:val="auto"/>
        </w:rPr>
      </w:pPr>
    </w:p>
    <w:p>
      <w:pPr>
        <w:ind w:left="960" w:right="1220" w:hanging="628"/>
        <w:spacing w:after="0" w:line="264" w:lineRule="auto"/>
        <w:tabs>
          <w:tab w:leader="none" w:pos="9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Oil States believes that a tax-free distribution of Civeo common stock is an efficient way to separate Civeo from Oil States in a manner that will improve flexibility, benefit both Oil States and the accommodations business and create long-term value for stockholders of both Oil States and Civeo.</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type w:val="continuous"/>
        </w:sectPr>
      </w:pPr>
    </w:p>
    <w:bookmarkStart w:id="272" w:name="page273"/>
    <w:bookmarkEnd w:id="272"/>
    <w:p>
      <w:pPr>
        <w:ind w:left="628" w:hanging="628"/>
        <w:spacing w:after="0"/>
        <w:tabs>
          <w:tab w:leader="none" w:pos="628"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What is being distributed in the spin-off?</w:t>
      </w:r>
    </w:p>
    <w:p>
      <w:pPr>
        <w:spacing w:after="0" w:line="225" w:lineRule="exact"/>
        <w:rPr>
          <w:sz w:val="20"/>
          <w:szCs w:val="20"/>
          <w:color w:val="auto"/>
        </w:rPr>
      </w:pPr>
    </w:p>
    <w:p>
      <w:pPr>
        <w:ind w:left="628" w:right="140" w:hanging="628"/>
        <w:spacing w:after="0" w:line="291" w:lineRule="auto"/>
        <w:tabs>
          <w:tab w:leader="none" w:pos="62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Approximately 106,109,322 shares of Civeo common stock will be distributed in the spin-off, based on the number of shares of Oil States common stock expected to be outstanding as of the record date. The actual number of shares of Civeo common stock to be</w:t>
      </w:r>
    </w:p>
    <w:p>
      <w:pPr>
        <w:ind w:left="628"/>
        <w:spacing w:after="0" w:line="277" w:lineRule="auto"/>
        <w:rPr>
          <w:sz w:val="20"/>
          <w:szCs w:val="20"/>
          <w:color w:val="auto"/>
        </w:rPr>
      </w:pPr>
      <w:r>
        <w:rPr>
          <w:rFonts w:ascii="Arial" w:cs="Arial" w:eastAsia="Arial" w:hAnsi="Arial"/>
          <w:sz w:val="17"/>
          <w:szCs w:val="17"/>
          <w:color w:val="auto"/>
        </w:rPr>
        <w:t>distributed will be calculated on , 2014, the record date. The shares of Civeo common stock to be distributed by Oil States will constitute all of the issued and outstanding shares of Civeo common stock immediately prior to the distribution. For more information on the shares being distributed in the spin-off, see “Description of Capital Stock—Common Stock.”</w:t>
      </w:r>
    </w:p>
    <w:p>
      <w:pPr>
        <w:spacing w:after="0" w:line="173" w:lineRule="exact"/>
        <w:rPr>
          <w:sz w:val="20"/>
          <w:szCs w:val="20"/>
          <w:color w:val="auto"/>
        </w:rPr>
      </w:pPr>
    </w:p>
    <w:p>
      <w:pPr>
        <w:ind w:left="628" w:hanging="628"/>
        <w:spacing w:after="0"/>
        <w:tabs>
          <w:tab w:leader="none" w:pos="628" w:val="left"/>
        </w:tabs>
        <w:numPr>
          <w:ilvl w:val="0"/>
          <w:numId w:val="284"/>
        </w:numPr>
        <w:rPr>
          <w:rFonts w:ascii="Arial" w:cs="Arial" w:eastAsia="Arial" w:hAnsi="Arial"/>
          <w:sz w:val="16"/>
          <w:szCs w:val="16"/>
          <w:color w:val="auto"/>
        </w:rPr>
      </w:pPr>
      <w:r>
        <w:rPr>
          <w:rFonts w:ascii="Arial" w:cs="Arial" w:eastAsia="Arial" w:hAnsi="Arial"/>
          <w:sz w:val="16"/>
          <w:szCs w:val="16"/>
          <w:i w:val="1"/>
          <w:iCs w:val="1"/>
          <w:color w:val="auto"/>
        </w:rPr>
        <w:t>How will options and other equity-based compensation awards held by Oil States employees be affected as a result of the spin-off?</w:t>
      </w:r>
    </w:p>
    <w:p>
      <w:pPr>
        <w:spacing w:after="0" w:line="248" w:lineRule="exact"/>
        <w:rPr>
          <w:sz w:val="20"/>
          <w:szCs w:val="20"/>
          <w:color w:val="auto"/>
        </w:rPr>
      </w:pPr>
    </w:p>
    <w:p>
      <w:pPr>
        <w:ind w:left="628" w:hanging="628"/>
        <w:spacing w:after="0" w:line="286" w:lineRule="auto"/>
        <w:tabs>
          <w:tab w:leader="none" w:pos="62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award. Oil States options and other time-vested equity-based awards (other than restricted shares) held by current employees of Civeo will be converted upon the spin-off such that each equity award holder will hold the same type of award with respect to Civeo common stock, with the number of shares and exercise price of such award adjusted to preserve the value of the award prior to the spin-off. Oil States options and other time-vested equity-based awards held by current or former employees or directors of Oil States will remain outstanding following the spin-off, with the number of shares and exercise price of such award adjusted upon the spin-off to preserve the value of the award prior to the spin-off. Oil States performance-based deferred stock awards will be cancelled with the holder thereof entitled to receive a grant of time-vested restricted shares of Civeo common stock (in the case of Civeo employees) or Oil States common stock (in the case of current and former Oil States employees), with the resulting number of restricted shares determined based upon the number of Oil States shares issuable pursuant to such deferred stock award assuming settlement based upon the actual attainment of performance objectives to date as of Oil States’ most recently-completed fiscal quarter. For more information regarding the treatment of equity-based compensation awards in the spin-off, see “The Spin-Off—Treatment of Stock-Based Plans for Current and Former Employees.”</w:t>
      </w:r>
    </w:p>
    <w:p>
      <w:pPr>
        <w:spacing w:after="0" w:line="172" w:lineRule="exact"/>
        <w:rPr>
          <w:sz w:val="20"/>
          <w:szCs w:val="20"/>
          <w:color w:val="auto"/>
        </w:rPr>
      </w:pPr>
    </w:p>
    <w:p>
      <w:pPr>
        <w:ind w:left="628" w:hanging="628"/>
        <w:spacing w:after="0"/>
        <w:tabs>
          <w:tab w:leader="none" w:pos="628"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What do I have to do to participate in the spin-off?</w:t>
      </w:r>
    </w:p>
    <w:p>
      <w:pPr>
        <w:spacing w:after="0" w:line="225" w:lineRule="exact"/>
        <w:rPr>
          <w:sz w:val="20"/>
          <w:szCs w:val="20"/>
          <w:color w:val="auto"/>
        </w:rPr>
      </w:pPr>
    </w:p>
    <w:p>
      <w:pPr>
        <w:ind w:left="628" w:hanging="628"/>
        <w:spacing w:after="0" w:line="259" w:lineRule="auto"/>
        <w:tabs>
          <w:tab w:leader="none" w:pos="62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Civeo common stock. You will neither be required to pay anything for the new shares nor to surrender any shares of Oil States common stock to participate in the spin-off.</w:t>
      </w:r>
    </w:p>
    <w:p>
      <w:pPr>
        <w:spacing w:after="0" w:line="187" w:lineRule="exact"/>
        <w:rPr>
          <w:sz w:val="20"/>
          <w:szCs w:val="20"/>
          <w:color w:val="auto"/>
        </w:rPr>
      </w:pPr>
    </w:p>
    <w:p>
      <w:pPr>
        <w:ind w:left="628" w:hanging="628"/>
        <w:spacing w:after="0"/>
        <w:tabs>
          <w:tab w:leader="none" w:pos="628"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tax consequences of the spin-off?</w:t>
      </w:r>
    </w:p>
    <w:p>
      <w:pPr>
        <w:spacing w:after="0" w:line="225" w:lineRule="exact"/>
        <w:rPr>
          <w:sz w:val="20"/>
          <w:szCs w:val="20"/>
          <w:color w:val="auto"/>
        </w:rPr>
      </w:pPr>
    </w:p>
    <w:p>
      <w:pPr>
        <w:ind w:left="628" w:right="80" w:hanging="628"/>
        <w:spacing w:after="0" w:line="287" w:lineRule="auto"/>
        <w:tabs>
          <w:tab w:leader="none" w:pos="62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Oil States has received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generally qualifies as a tax-free transaction under Section 355 and Section 368(a)(1)(D) of the Code. In addition, Oil States will receive an opinion from its tax counsel, which will rely on the effectiveness of the private letter ruling, with respect to certain matters on which the IRS will not rule. See “The Spin-Off – Conditions to the Spin-Off.” Accordingly, the contribution, distribution and related transactions will qualify as a tax-free transactions under Section 355 and/or Section 368(a)(1)(D) of the Code, for U.S. federal income tax purposes, no gain or loss will generally be recognized by an Oil States shareholder, and no amount generally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16" w:lineRule="exact"/>
        <w:rPr>
          <w:sz w:val="20"/>
          <w:szCs w:val="20"/>
          <w:color w:val="auto"/>
        </w:rPr>
      </w:pPr>
    </w:p>
    <w:p>
      <w:pPr>
        <w:jc w:val="center"/>
        <w:ind w:right="-52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8"/>
          </w:cols>
          <w:pgMar w:left="572" w:top="585" w:right="1099" w:bottom="1440" w:gutter="0" w:footer="0" w:header="0"/>
        </w:sectPr>
      </w:pPr>
    </w:p>
    <w:bookmarkStart w:id="273" w:name="page274"/>
    <w:bookmarkEnd w:id="273"/>
    <w:p>
      <w:pPr>
        <w:ind w:left="628" w:hanging="628"/>
        <w:spacing w:after="0"/>
        <w:tabs>
          <w:tab w:leader="none" w:pos="628"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Will the Civeo common stock be listed on a stock exchange?</w:t>
      </w:r>
    </w:p>
    <w:p>
      <w:pPr>
        <w:spacing w:after="0" w:line="225" w:lineRule="exact"/>
        <w:rPr>
          <w:sz w:val="20"/>
          <w:szCs w:val="20"/>
          <w:color w:val="auto"/>
        </w:rPr>
      </w:pPr>
    </w:p>
    <w:p>
      <w:pPr>
        <w:ind w:left="628" w:right="60" w:hanging="628"/>
        <w:spacing w:after="0" w:line="272" w:lineRule="auto"/>
        <w:tabs>
          <w:tab w:leader="none" w:pos="62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Yes. Although there is not currently a public market for Civeo common stock, Civeo has applied to list its common stock on the NYSE under the symbol “CVEO”. It is anticipated that trading of Civeo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Civeo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78" w:lineRule="exact"/>
        <w:rPr>
          <w:sz w:val="20"/>
          <w:szCs w:val="20"/>
          <w:color w:val="auto"/>
        </w:rPr>
      </w:pPr>
    </w:p>
    <w:p>
      <w:pPr>
        <w:ind w:left="628" w:hanging="628"/>
        <w:spacing w:after="0"/>
        <w:tabs>
          <w:tab w:leader="none" w:pos="628"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Will my shares of Oil States common stock continue to trade?</w:t>
      </w:r>
    </w:p>
    <w:p>
      <w:pPr>
        <w:spacing w:after="0" w:line="225" w:lineRule="exact"/>
        <w:rPr>
          <w:sz w:val="20"/>
          <w:szCs w:val="20"/>
          <w:color w:val="auto"/>
        </w:rPr>
      </w:pPr>
    </w:p>
    <w:p>
      <w:pPr>
        <w:ind w:left="628" w:hanging="628"/>
        <w:spacing w:after="0"/>
        <w:tabs>
          <w:tab w:leader="none" w:pos="62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Yes. Oil States common stock will continue to be listed and traded on the NYSE under the symbol “OIS”.</w:t>
      </w:r>
    </w:p>
    <w:p>
      <w:pPr>
        <w:spacing w:after="0" w:line="225" w:lineRule="exact"/>
        <w:rPr>
          <w:sz w:val="20"/>
          <w:szCs w:val="20"/>
          <w:color w:val="auto"/>
        </w:rPr>
      </w:pPr>
    </w:p>
    <w:p>
      <w:pPr>
        <w:ind w:left="628" w:right="460" w:hanging="628"/>
        <w:spacing w:after="0" w:line="342" w:lineRule="auto"/>
        <w:tabs>
          <w:tab w:leader="none" w:pos="628" w:val="left"/>
        </w:tabs>
        <w:numPr>
          <w:ilvl w:val="0"/>
          <w:numId w:val="294"/>
        </w:numPr>
        <w:rPr>
          <w:rFonts w:ascii="Arial" w:cs="Arial" w:eastAsia="Arial" w:hAnsi="Arial"/>
          <w:sz w:val="16"/>
          <w:szCs w:val="16"/>
          <w:color w:val="auto"/>
        </w:rPr>
      </w:pPr>
      <w:r>
        <w:rPr>
          <w:rFonts w:ascii="Arial" w:cs="Arial" w:eastAsia="Arial" w:hAnsi="Arial"/>
          <w:sz w:val="16"/>
          <w:szCs w:val="16"/>
          <w:i w:val="1"/>
          <w:iCs w:val="1"/>
          <w:color w:val="auto"/>
        </w:rPr>
        <w:t>If I sell, on or before the distribution date, shares of Oil States common stock that I held on the record date, am I still entitled to receive shares of Civeo common stock distributable with respect to the shares of Oil States common stock I sold?</w:t>
      </w:r>
    </w:p>
    <w:p>
      <w:pPr>
        <w:spacing w:after="0" w:line="124" w:lineRule="exact"/>
        <w:rPr>
          <w:sz w:val="20"/>
          <w:szCs w:val="20"/>
          <w:color w:val="auto"/>
        </w:rPr>
      </w:pPr>
    </w:p>
    <w:p>
      <w:pPr>
        <w:ind w:left="628" w:hanging="628"/>
        <w:spacing w:after="0" w:line="291" w:lineRule="auto"/>
        <w:tabs>
          <w:tab w:leader="none" w:pos="62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Civeo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Civeo common stock in the spin-off.</w:t>
      </w:r>
    </w:p>
    <w:p>
      <w:pPr>
        <w:spacing w:after="0" w:line="167" w:lineRule="exact"/>
        <w:rPr>
          <w:sz w:val="20"/>
          <w:szCs w:val="20"/>
          <w:color w:val="auto"/>
        </w:rPr>
      </w:pPr>
    </w:p>
    <w:p>
      <w:pPr>
        <w:ind w:left="628" w:hanging="628"/>
        <w:spacing w:after="0"/>
        <w:tabs>
          <w:tab w:leader="none" w:pos="628"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Will the spin-off affect the trading price of my Oil States stock?</w:t>
      </w:r>
    </w:p>
    <w:p>
      <w:pPr>
        <w:spacing w:after="0" w:line="225" w:lineRule="exact"/>
        <w:rPr>
          <w:sz w:val="20"/>
          <w:szCs w:val="20"/>
          <w:color w:val="auto"/>
        </w:rPr>
      </w:pPr>
    </w:p>
    <w:p>
      <w:pPr>
        <w:ind w:left="628" w:right="380" w:hanging="628"/>
        <w:spacing w:after="0" w:line="259" w:lineRule="auto"/>
        <w:tabs>
          <w:tab w:leader="none" w:pos="62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Yes, the trading price of shares of Oil States common stock immediately following the distribution is expected to be lower than immediately prior to the distribution because of the shareholder dividend of Civeo stock and the fact that its trading price will no longer reflect the value of the accommodations business. However, we cannot provide you with any assurance as to the price at which the Oil States shares will trade following the spin-off.</w:t>
      </w:r>
    </w:p>
    <w:p>
      <w:pPr>
        <w:spacing w:after="0" w:line="187" w:lineRule="exact"/>
        <w:rPr>
          <w:sz w:val="20"/>
          <w:szCs w:val="20"/>
          <w:color w:val="auto"/>
        </w:rPr>
      </w:pPr>
    </w:p>
    <w:p>
      <w:pPr>
        <w:ind w:left="628" w:hanging="628"/>
        <w:spacing w:after="0"/>
        <w:tabs>
          <w:tab w:leader="none" w:pos="628"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What indebtedness will Civeo have following the spin-off?</w:t>
      </w:r>
    </w:p>
    <w:p>
      <w:pPr>
        <w:spacing w:after="0" w:line="225" w:lineRule="exact"/>
        <w:rPr>
          <w:sz w:val="20"/>
          <w:szCs w:val="20"/>
          <w:color w:val="auto"/>
        </w:rPr>
      </w:pPr>
    </w:p>
    <w:p>
      <w:pPr>
        <w:ind w:left="628" w:hanging="628"/>
        <w:spacing w:after="0" w:line="270" w:lineRule="auto"/>
        <w:tabs>
          <w:tab w:leader="none" w:pos="62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Upon the closing of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We anticipate that, upon closing of the spin-off, our U.S. term loan facility will be fully drawn and that we will have no borrowings outstanding under our credit facilities. See “Description of Material Indebtedness” for a more detailed description of these transactions.</w:t>
      </w:r>
    </w:p>
    <w:p>
      <w:pPr>
        <w:spacing w:after="0" w:line="200" w:lineRule="exact"/>
        <w:rPr>
          <w:sz w:val="20"/>
          <w:szCs w:val="20"/>
          <w:color w:val="auto"/>
        </w:rPr>
      </w:pPr>
    </w:p>
    <w:p>
      <w:pPr>
        <w:spacing w:after="0" w:line="225" w:lineRule="exact"/>
        <w:rPr>
          <w:sz w:val="20"/>
          <w:szCs w:val="20"/>
          <w:color w:val="auto"/>
        </w:rPr>
      </w:pPr>
    </w:p>
    <w:p>
      <w:pPr>
        <w:jc w:val="center"/>
        <w:ind w:right="-50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8"/>
          </w:cols>
          <w:pgMar w:left="572" w:top="585" w:right="1059" w:bottom="1440" w:gutter="0" w:footer="0" w:header="0"/>
        </w:sectPr>
      </w:pPr>
    </w:p>
    <w:bookmarkStart w:id="274" w:name="page275"/>
    <w:bookmarkEnd w:id="274"/>
    <w:p>
      <w:pPr>
        <w:ind w:left="628" w:hanging="628"/>
        <w:spacing w:after="0"/>
        <w:tabs>
          <w:tab w:leader="none" w:pos="628"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What will the relationship be between Oil States and Civeo after the spin-off?</w:t>
      </w:r>
    </w:p>
    <w:p>
      <w:pPr>
        <w:spacing w:after="0" w:line="225" w:lineRule="exact"/>
        <w:rPr>
          <w:sz w:val="20"/>
          <w:szCs w:val="20"/>
          <w:color w:val="auto"/>
        </w:rPr>
      </w:pPr>
    </w:p>
    <w:p>
      <w:pPr>
        <w:ind w:left="628" w:hanging="628"/>
        <w:spacing w:after="0" w:line="273" w:lineRule="auto"/>
        <w:tabs>
          <w:tab w:leader="none" w:pos="628" w:val="left"/>
        </w:tabs>
        <w:numPr>
          <w:ilvl w:val="0"/>
          <w:numId w:val="301"/>
        </w:numPr>
        <w:rPr>
          <w:rFonts w:ascii="Arial" w:cs="Arial" w:eastAsia="Arial" w:hAnsi="Arial"/>
          <w:sz w:val="17"/>
          <w:szCs w:val="17"/>
          <w:color w:val="auto"/>
        </w:rPr>
      </w:pPr>
      <w:r>
        <w:rPr>
          <w:rFonts w:ascii="Arial" w:cs="Arial" w:eastAsia="Arial" w:hAnsi="Arial"/>
          <w:sz w:val="17"/>
          <w:szCs w:val="17"/>
          <w:color w:val="auto"/>
        </w:rPr>
        <w:t>Following the spin-off, Civeo will be an independent, publicly traded company and Oil States will have no continuing stock ownership interest in Civeo. In connection with the spin-off, Civeo will have entered into a separation and distribution agreement and several other agreements with Oil States for the purpose of allocating between Civeo and Oil States various assets, liabilities and obligations. These agreements will also govern Civeo’s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178" w:lineRule="exact"/>
        <w:rPr>
          <w:sz w:val="20"/>
          <w:szCs w:val="20"/>
          <w:color w:val="auto"/>
        </w:rPr>
      </w:pPr>
    </w:p>
    <w:p>
      <w:pPr>
        <w:ind w:left="628" w:hanging="628"/>
        <w:spacing w:after="0"/>
        <w:tabs>
          <w:tab w:leader="none" w:pos="628"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What will Civeo’s dividend policy be after the spin-off?</w:t>
      </w:r>
    </w:p>
    <w:p>
      <w:pPr>
        <w:spacing w:after="0" w:line="225" w:lineRule="exact"/>
        <w:rPr>
          <w:sz w:val="20"/>
          <w:szCs w:val="20"/>
          <w:color w:val="auto"/>
        </w:rPr>
      </w:pPr>
    </w:p>
    <w:p>
      <w:pPr>
        <w:ind w:left="628" w:right="60" w:hanging="628"/>
        <w:spacing w:after="0" w:line="255" w:lineRule="auto"/>
        <w:tabs>
          <w:tab w:leader="none" w:pos="62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w:t>
      </w:r>
    </w:p>
    <w:p>
      <w:pPr>
        <w:spacing w:after="0" w:line="189" w:lineRule="exact"/>
        <w:rPr>
          <w:sz w:val="20"/>
          <w:szCs w:val="20"/>
          <w:color w:val="auto"/>
        </w:rPr>
      </w:pPr>
    </w:p>
    <w:p>
      <w:pPr>
        <w:ind w:left="628" w:hanging="628"/>
        <w:spacing w:after="0"/>
        <w:tabs>
          <w:tab w:leader="none" w:pos="628"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What are the anti-takeover effects of the spin-off?</w:t>
      </w:r>
    </w:p>
    <w:p>
      <w:pPr>
        <w:spacing w:after="0" w:line="225" w:lineRule="exact"/>
        <w:rPr>
          <w:sz w:val="20"/>
          <w:szCs w:val="20"/>
          <w:color w:val="auto"/>
        </w:rPr>
      </w:pPr>
    </w:p>
    <w:p>
      <w:pPr>
        <w:ind w:left="628" w:hanging="628"/>
        <w:spacing w:after="0" w:line="271" w:lineRule="auto"/>
        <w:tabs>
          <w:tab w:leader="none" w:pos="62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Some provisions of the amended and restated certificate of incorporation of Civeo, the amended and restated bylaws of Civeo and Delaware law may have the effect of making more difficult an acquisition of control of Civeo in a transaction not approved by Civeo’s board of directors. For example, Civeo’s amended and restated certificate of incorporation and amended and restated bylaws provide for a classified board, require advance notice for shareholder proposals and nominations, place limitations on convening shareholder meetings and authorize Civeo’s board of directors to issue one or more series of preferred stock. In addition, certain provisions of the transaction agreements may limit our ability to enter into strategic transactions. See “Description of Capital Stock— Anti-Takeover Effects of Provisions of our Amended and Restated Certificate of Incorporation, our Amended and Restated Bylaws and Delaware Law” and “Risk Factors—Risks Related to the Spin-Off” for more information.</w:t>
      </w:r>
    </w:p>
    <w:p>
      <w:pPr>
        <w:spacing w:after="0" w:line="179" w:lineRule="exact"/>
        <w:rPr>
          <w:sz w:val="20"/>
          <w:szCs w:val="20"/>
          <w:color w:val="auto"/>
        </w:rPr>
      </w:pPr>
    </w:p>
    <w:p>
      <w:pPr>
        <w:ind w:left="628" w:hanging="628"/>
        <w:spacing w:after="0"/>
        <w:tabs>
          <w:tab w:leader="none" w:pos="628"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What are the risks associated with the spin-off?</w:t>
      </w:r>
    </w:p>
    <w:p>
      <w:pPr>
        <w:spacing w:after="0" w:line="225" w:lineRule="exact"/>
        <w:rPr>
          <w:sz w:val="20"/>
          <w:szCs w:val="20"/>
          <w:color w:val="auto"/>
        </w:rPr>
      </w:pPr>
    </w:p>
    <w:p>
      <w:pPr>
        <w:ind w:left="628" w:right="180" w:hanging="628"/>
        <w:spacing w:after="0" w:line="277" w:lineRule="auto"/>
        <w:tabs>
          <w:tab w:leader="none" w:pos="62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There are a number of risks associated with the spin-off and resultant ownership of Civeo common stock. These risks are discussed under “Risk Factors” beginning on page 19.</w:t>
      </w:r>
    </w:p>
    <w:p>
      <w:pPr>
        <w:spacing w:after="0" w:line="200" w:lineRule="exact"/>
        <w:rPr>
          <w:sz w:val="20"/>
          <w:szCs w:val="20"/>
          <w:color w:val="auto"/>
        </w:rPr>
      </w:pPr>
    </w:p>
    <w:p>
      <w:pPr>
        <w:spacing w:after="0" w:line="268" w:lineRule="exact"/>
        <w:rPr>
          <w:sz w:val="20"/>
          <w:szCs w:val="20"/>
          <w:color w:val="auto"/>
        </w:rPr>
      </w:pPr>
    </w:p>
    <w:p>
      <w:pPr>
        <w:jc w:val="center"/>
        <w:ind w:right="-52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8"/>
          </w:cols>
          <w:pgMar w:left="572" w:top="584" w:right="1079" w:bottom="1440" w:gutter="0" w:footer="0" w:header="0"/>
        </w:sectPr>
      </w:pPr>
    </w:p>
    <w:bookmarkStart w:id="275" w:name="page276"/>
    <w:bookmarkEnd w:id="275"/>
    <w:p>
      <w:pPr>
        <w:ind w:left="628" w:hanging="628"/>
        <w:spacing w:after="0"/>
        <w:tabs>
          <w:tab w:leader="none" w:pos="628"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Where can I get more information?</w:t>
      </w:r>
    </w:p>
    <w:p>
      <w:pPr>
        <w:spacing w:after="0" w:line="225" w:lineRule="exact"/>
        <w:rPr>
          <w:sz w:val="20"/>
          <w:szCs w:val="20"/>
          <w:color w:val="auto"/>
        </w:rPr>
      </w:pPr>
    </w:p>
    <w:p>
      <w:pPr>
        <w:ind w:left="628" w:hanging="628"/>
        <w:spacing w:after="0"/>
        <w:tabs>
          <w:tab w:leader="none" w:pos="62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If you have any questions relating to the mechanics of the distribution, you should contact the distribution agent at:</w:t>
      </w:r>
    </w:p>
    <w:p>
      <w:pPr>
        <w:spacing w:after="0" w:line="248"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Computershare Trust Company, N.A.</w:t>
      </w:r>
    </w:p>
    <w:p>
      <w:pPr>
        <w:spacing w:after="0" w:line="23" w:lineRule="exact"/>
        <w:rPr>
          <w:rFonts w:ascii="Arial" w:cs="Arial" w:eastAsia="Arial" w:hAnsi="Arial"/>
          <w:sz w:val="16"/>
          <w:szCs w:val="16"/>
          <w:color w:val="auto"/>
        </w:rPr>
      </w:pPr>
    </w:p>
    <w:p>
      <w:pPr>
        <w:ind w:left="628" w:right="7099"/>
        <w:spacing w:after="0" w:line="255" w:lineRule="auto"/>
        <w:rPr>
          <w:rFonts w:ascii="Arial" w:cs="Arial" w:eastAsia="Arial" w:hAnsi="Arial"/>
          <w:sz w:val="16"/>
          <w:szCs w:val="16"/>
          <w:color w:val="auto"/>
        </w:rPr>
      </w:pPr>
      <w:r>
        <w:rPr>
          <w:rFonts w:ascii="Arial" w:cs="Arial" w:eastAsia="Arial" w:hAnsi="Arial"/>
          <w:sz w:val="18"/>
          <w:szCs w:val="18"/>
          <w:color w:val="auto"/>
        </w:rPr>
        <w:t>100 Crescent Court, Suite 700 Dallas, Texas 75201 Phone: (214) 808-3264</w:t>
      </w:r>
    </w:p>
    <w:p>
      <w:pPr>
        <w:spacing w:after="0" w:line="190"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Before the spin-off, if you have any questions relating to the spin-off, you should contact Oil States at:</w:t>
      </w:r>
    </w:p>
    <w:p>
      <w:pPr>
        <w:spacing w:after="0" w:line="225" w:lineRule="exact"/>
        <w:rPr>
          <w:rFonts w:ascii="Arial" w:cs="Arial" w:eastAsia="Arial" w:hAnsi="Arial"/>
          <w:sz w:val="16"/>
          <w:szCs w:val="16"/>
          <w:color w:val="auto"/>
        </w:rPr>
      </w:pPr>
    </w:p>
    <w:p>
      <w:pPr>
        <w:ind w:left="628" w:right="7239"/>
        <w:spacing w:after="0" w:line="288" w:lineRule="auto"/>
        <w:rPr>
          <w:rFonts w:ascii="Arial" w:cs="Arial" w:eastAsia="Arial" w:hAnsi="Arial"/>
          <w:sz w:val="16"/>
          <w:szCs w:val="16"/>
          <w:color w:val="auto"/>
        </w:rPr>
      </w:pPr>
      <w:r>
        <w:rPr>
          <w:rFonts w:ascii="Arial" w:cs="Arial" w:eastAsia="Arial" w:hAnsi="Arial"/>
          <w:sz w:val="16"/>
          <w:szCs w:val="16"/>
          <w:color w:val="auto"/>
        </w:rPr>
        <w:t>Oil States International, Inc. Attn: Investor Relations Three Allen Center</w:t>
      </w:r>
    </w:p>
    <w:p>
      <w:pPr>
        <w:ind w:left="628" w:right="7279"/>
        <w:spacing w:after="0" w:line="295" w:lineRule="auto"/>
        <w:rPr>
          <w:rFonts w:ascii="Arial" w:cs="Arial" w:eastAsia="Arial" w:hAnsi="Arial"/>
          <w:sz w:val="16"/>
          <w:szCs w:val="16"/>
          <w:color w:val="auto"/>
        </w:rPr>
      </w:pPr>
      <w:r>
        <w:rPr>
          <w:rFonts w:ascii="Arial" w:cs="Arial" w:eastAsia="Arial" w:hAnsi="Arial"/>
          <w:sz w:val="16"/>
          <w:szCs w:val="16"/>
          <w:color w:val="auto"/>
        </w:rPr>
        <w:t>333 Clay Street, Suite 4620 Houston, Texas 77002 Phone: (713) 652-0582 www.oilstatesintl.com</w:t>
      </w:r>
    </w:p>
    <w:p>
      <w:pPr>
        <w:spacing w:after="0" w:line="161" w:lineRule="exact"/>
        <w:rPr>
          <w:rFonts w:ascii="Arial" w:cs="Arial" w:eastAsia="Arial" w:hAnsi="Arial"/>
          <w:sz w:val="16"/>
          <w:szCs w:val="16"/>
          <w:color w:val="auto"/>
        </w:rPr>
      </w:pPr>
    </w:p>
    <w:p>
      <w:pPr>
        <w:ind w:left="628"/>
        <w:spacing w:after="0"/>
        <w:rPr>
          <w:rFonts w:ascii="Arial" w:cs="Arial" w:eastAsia="Arial" w:hAnsi="Arial"/>
          <w:sz w:val="16"/>
          <w:szCs w:val="16"/>
          <w:color w:val="auto"/>
        </w:rPr>
      </w:pPr>
      <w:r>
        <w:rPr>
          <w:rFonts w:ascii="Arial" w:cs="Arial" w:eastAsia="Arial" w:hAnsi="Arial"/>
          <w:sz w:val="18"/>
          <w:szCs w:val="18"/>
          <w:color w:val="auto"/>
        </w:rPr>
        <w:t>After the spin-off, if you have any questions relating to Civeo, you should contact Civeo at:</w:t>
      </w:r>
    </w:p>
    <w:p>
      <w:pPr>
        <w:spacing w:after="0" w:line="225" w:lineRule="exact"/>
        <w:rPr>
          <w:rFonts w:ascii="Arial" w:cs="Arial" w:eastAsia="Arial" w:hAnsi="Arial"/>
          <w:sz w:val="16"/>
          <w:szCs w:val="16"/>
          <w:color w:val="auto"/>
        </w:rPr>
      </w:pPr>
    </w:p>
    <w:p>
      <w:pPr>
        <w:ind w:left="628" w:right="7539"/>
        <w:spacing w:after="0" w:line="288" w:lineRule="auto"/>
        <w:rPr>
          <w:rFonts w:ascii="Arial" w:cs="Arial" w:eastAsia="Arial" w:hAnsi="Arial"/>
          <w:sz w:val="16"/>
          <w:szCs w:val="16"/>
          <w:color w:val="auto"/>
        </w:rPr>
      </w:pPr>
      <w:r>
        <w:rPr>
          <w:rFonts w:ascii="Arial" w:cs="Arial" w:eastAsia="Arial" w:hAnsi="Arial"/>
          <w:sz w:val="16"/>
          <w:szCs w:val="16"/>
          <w:color w:val="auto"/>
        </w:rPr>
        <w:t>Civeo Corporation Attn: Investor Relations Three Allen Center</w:t>
      </w:r>
    </w:p>
    <w:p>
      <w:pPr>
        <w:ind w:left="628" w:right="7279"/>
        <w:spacing w:after="0" w:line="273" w:lineRule="auto"/>
        <w:rPr>
          <w:rFonts w:ascii="Arial" w:cs="Arial" w:eastAsia="Arial" w:hAnsi="Arial"/>
          <w:sz w:val="16"/>
          <w:szCs w:val="16"/>
          <w:color w:val="auto"/>
        </w:rPr>
      </w:pPr>
      <w:r>
        <w:rPr>
          <w:rFonts w:ascii="Arial" w:cs="Arial" w:eastAsia="Arial" w:hAnsi="Arial"/>
          <w:sz w:val="17"/>
          <w:szCs w:val="17"/>
          <w:color w:val="auto"/>
        </w:rPr>
        <w:t>333 Clay Street, Suite 4980 Houston, Texas 77002 Phone: (713) 652-0582 www.civeo.com</w:t>
      </w:r>
    </w:p>
    <w:p>
      <w:pPr>
        <w:spacing w:after="0" w:line="200" w:lineRule="exact"/>
        <w:rPr>
          <w:sz w:val="20"/>
          <w:szCs w:val="20"/>
          <w:color w:val="auto"/>
        </w:rPr>
      </w:pPr>
    </w:p>
    <w:p>
      <w:pPr>
        <w:spacing w:after="0" w:line="220"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87"/>
          </w:cols>
          <w:pgMar w:left="572" w:top="584" w:right="1440"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460" w:type="dxa"/>
            <w:vAlign w:val="bottom"/>
            <w:gridSpan w:val="2"/>
          </w:tcPr>
          <w:p>
            <w:pPr>
              <w:ind w:left="1980"/>
              <w:spacing w:after="0"/>
              <w:rPr>
                <w:sz w:val="20"/>
                <w:szCs w:val="20"/>
                <w:color w:val="auto"/>
              </w:rPr>
            </w:pPr>
            <w:r>
              <w:rPr>
                <w:rFonts w:ascii="Arial" w:cs="Arial" w:eastAsia="Arial" w:hAnsi="Arial"/>
                <w:sz w:val="18"/>
                <w:szCs w:val="18"/>
                <w:b w:val="1"/>
                <w:bCs w:val="1"/>
                <w:color w:val="auto"/>
              </w:rPr>
              <w:t>Summary of the Spin-Off</w:t>
            </w:r>
          </w:p>
        </w:tc>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Distributing Company</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Oil States International, Inc., a Delaware corporation. After the distribution, Oil States will not own any</w:t>
            </w:r>
          </w:p>
        </w:tc>
      </w:tr>
      <w:tr>
        <w:trPr>
          <w:trHeight w:val="230"/>
        </w:trPr>
        <w:tc>
          <w:tcPr>
            <w:tcW w:w="2760" w:type="dxa"/>
            <w:vAlign w:val="bottom"/>
          </w:tcPr>
          <w:p>
            <w:pPr>
              <w:spacing w:after="0"/>
              <w:rPr>
                <w:sz w:val="20"/>
                <w:szCs w:val="20"/>
                <w:color w:val="auto"/>
              </w:rPr>
            </w:pPr>
          </w:p>
        </w:tc>
        <w:tc>
          <w:tcPr>
            <w:tcW w:w="3120" w:type="dxa"/>
            <w:vAlign w:val="bottom"/>
          </w:tcPr>
          <w:p>
            <w:pPr>
              <w:ind w:left="820"/>
              <w:spacing w:after="0"/>
              <w:rPr>
                <w:sz w:val="20"/>
                <w:szCs w:val="20"/>
                <w:color w:val="auto"/>
              </w:rPr>
            </w:pPr>
            <w:r>
              <w:rPr>
                <w:rFonts w:ascii="Arial" w:cs="Arial" w:eastAsia="Arial" w:hAnsi="Arial"/>
                <w:sz w:val="18"/>
                <w:szCs w:val="18"/>
                <w:color w:val="auto"/>
                <w:w w:val="90"/>
              </w:rPr>
              <w:t>shares of Civeo common stock.</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Company</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Civeo Corporation, a Delaware corporation and a wholly-owned subsidiary of Oil States. After the spin-off,</w:t>
            </w:r>
          </w:p>
        </w:tc>
      </w:tr>
      <w:tr>
        <w:trPr>
          <w:trHeight w:val="230"/>
        </w:trPr>
        <w:tc>
          <w:tcPr>
            <w:tcW w:w="2760" w:type="dxa"/>
            <w:vAlign w:val="bottom"/>
          </w:tcPr>
          <w:p>
            <w:pPr>
              <w:spacing w:after="0"/>
              <w:rPr>
                <w:sz w:val="20"/>
                <w:szCs w:val="20"/>
                <w:color w:val="auto"/>
              </w:rPr>
            </w:pPr>
          </w:p>
        </w:tc>
        <w:tc>
          <w:tcPr>
            <w:tcW w:w="5620" w:type="dxa"/>
            <w:vAlign w:val="bottom"/>
            <w:gridSpan w:val="3"/>
          </w:tcPr>
          <w:p>
            <w:pPr>
              <w:ind w:left="820"/>
              <w:spacing w:after="0"/>
              <w:rPr>
                <w:sz w:val="20"/>
                <w:szCs w:val="20"/>
                <w:color w:val="auto"/>
              </w:rPr>
            </w:pPr>
            <w:r>
              <w:rPr>
                <w:rFonts w:ascii="Arial" w:cs="Arial" w:eastAsia="Arial" w:hAnsi="Arial"/>
                <w:sz w:val="18"/>
                <w:szCs w:val="18"/>
                <w:color w:val="auto"/>
              </w:rPr>
              <w:t>Civeo will be an independent, publicly owned company.</w:t>
            </w: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Distributed Securities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All of the shares of Civeo common stock owned by Oil States, which will be 100% of Civeo common stock</w:t>
            </w:r>
          </w:p>
        </w:tc>
      </w:tr>
      <w:tr>
        <w:trPr>
          <w:trHeight w:val="230"/>
        </w:trPr>
        <w:tc>
          <w:tcPr>
            <w:tcW w:w="2760" w:type="dxa"/>
            <w:vAlign w:val="bottom"/>
          </w:tcPr>
          <w:p>
            <w:pPr>
              <w:spacing w:after="0"/>
              <w:rPr>
                <w:sz w:val="20"/>
                <w:szCs w:val="20"/>
                <w:color w:val="auto"/>
              </w:rPr>
            </w:pPr>
          </w:p>
        </w:tc>
        <w:tc>
          <w:tcPr>
            <w:tcW w:w="5620" w:type="dxa"/>
            <w:vAlign w:val="bottom"/>
            <w:gridSpan w:val="3"/>
          </w:tcPr>
          <w:p>
            <w:pPr>
              <w:ind w:left="820"/>
              <w:spacing w:after="0"/>
              <w:rPr>
                <w:sz w:val="20"/>
                <w:szCs w:val="20"/>
                <w:color w:val="auto"/>
              </w:rPr>
            </w:pPr>
            <w:r>
              <w:rPr>
                <w:rFonts w:ascii="Arial" w:cs="Arial" w:eastAsia="Arial" w:hAnsi="Arial"/>
                <w:sz w:val="18"/>
                <w:szCs w:val="18"/>
                <w:color w:val="auto"/>
              </w:rPr>
              <w:t>issued and outstanding immediately prior to the distribution.</w:t>
            </w:r>
          </w:p>
        </w:tc>
        <w:tc>
          <w:tcPr>
            <w:tcW w:w="3080" w:type="dxa"/>
            <w:vAlign w:val="bottom"/>
          </w:tcPr>
          <w:p>
            <w:pPr>
              <w:spacing w:after="0"/>
              <w:rPr>
                <w:sz w:val="20"/>
                <w:szCs w:val="20"/>
                <w:color w:val="auto"/>
              </w:rPr>
            </w:pP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Record Date</w:t>
            </w:r>
          </w:p>
        </w:tc>
        <w:tc>
          <w:tcPr>
            <w:tcW w:w="5620" w:type="dxa"/>
            <w:vAlign w:val="bottom"/>
            <w:gridSpan w:val="3"/>
          </w:tcPr>
          <w:p>
            <w:pPr>
              <w:ind w:left="820"/>
              <w:spacing w:after="0"/>
              <w:rPr>
                <w:sz w:val="20"/>
                <w:szCs w:val="20"/>
                <w:color w:val="auto"/>
              </w:rPr>
            </w:pPr>
            <w:r>
              <w:rPr>
                <w:rFonts w:ascii="Arial" w:cs="Arial" w:eastAsia="Arial" w:hAnsi="Arial"/>
                <w:sz w:val="18"/>
                <w:szCs w:val="18"/>
                <w:color w:val="auto"/>
                <w:w w:val="97"/>
              </w:rPr>
              <w:t>The record date for the distribution is the close of business on</w:t>
            </w:r>
          </w:p>
        </w:tc>
        <w:tc>
          <w:tcPr>
            <w:tcW w:w="3080" w:type="dxa"/>
            <w:vAlign w:val="bottom"/>
          </w:tcPr>
          <w:p>
            <w:pPr>
              <w:jc w:val="right"/>
              <w:ind w:right="2130"/>
              <w:spacing w:after="0"/>
              <w:rPr>
                <w:sz w:val="20"/>
                <w:szCs w:val="20"/>
                <w:color w:val="auto"/>
              </w:rPr>
            </w:pPr>
            <w:r>
              <w:rPr>
                <w:rFonts w:ascii="Arial" w:cs="Arial" w:eastAsia="Arial" w:hAnsi="Arial"/>
                <w:sz w:val="18"/>
                <w:szCs w:val="18"/>
                <w:color w:val="auto"/>
              </w:rPr>
              <w:t>, 2014.</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Distribution Date</w:t>
            </w:r>
          </w:p>
        </w:tc>
        <w:tc>
          <w:tcPr>
            <w:tcW w:w="3120" w:type="dxa"/>
            <w:vAlign w:val="bottom"/>
          </w:tcPr>
          <w:p>
            <w:pPr>
              <w:ind w:left="820"/>
              <w:spacing w:after="0"/>
              <w:rPr>
                <w:sz w:val="20"/>
                <w:szCs w:val="20"/>
                <w:color w:val="auto"/>
              </w:rPr>
            </w:pPr>
            <w:r>
              <w:rPr>
                <w:rFonts w:ascii="Arial" w:cs="Arial" w:eastAsia="Arial" w:hAnsi="Arial"/>
                <w:sz w:val="18"/>
                <w:szCs w:val="18"/>
                <w:color w:val="auto"/>
              </w:rPr>
              <w:t>The distribution date is</w:t>
            </w:r>
          </w:p>
        </w:tc>
        <w:tc>
          <w:tcPr>
            <w:tcW w:w="1340" w:type="dxa"/>
            <w:vAlign w:val="bottom"/>
          </w:tcPr>
          <w:p>
            <w:pPr>
              <w:jc w:val="right"/>
              <w:ind w:right="730"/>
              <w:spacing w:after="0"/>
              <w:rPr>
                <w:sz w:val="20"/>
                <w:szCs w:val="20"/>
                <w:color w:val="auto"/>
              </w:rPr>
            </w:pPr>
            <w:r>
              <w:rPr>
                <w:rFonts w:ascii="Arial" w:cs="Arial" w:eastAsia="Arial" w:hAnsi="Arial"/>
                <w:sz w:val="18"/>
                <w:szCs w:val="18"/>
                <w:color w:val="auto"/>
                <w:w w:val="90"/>
              </w:rPr>
              <w:t>, 2014.</w:t>
            </w: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Restructuring Transactions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4"/>
              </w:rPr>
              <w:t>As part of the spin-off, we will consummate certain restructuring transactions described under “The Spin-</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8"/>
              </w:rPr>
              <w:t>Off—Restructuring Transactions,” including (i) the incurrence of additional debt, (ii) the payment of a</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rPr>
              <w:t>special dividend to Oil States and (iii) the contribution and transfer to us of the assets and liabilities</w:t>
            </w:r>
          </w:p>
        </w:tc>
      </w:tr>
      <w:tr>
        <w:trPr>
          <w:trHeight w:val="230"/>
        </w:trPr>
        <w:tc>
          <w:tcPr>
            <w:tcW w:w="2760" w:type="dxa"/>
            <w:vAlign w:val="bottom"/>
          </w:tcPr>
          <w:p>
            <w:pPr>
              <w:spacing w:after="0"/>
              <w:rPr>
                <w:sz w:val="20"/>
                <w:szCs w:val="20"/>
                <w:color w:val="auto"/>
              </w:rPr>
            </w:pPr>
          </w:p>
        </w:tc>
        <w:tc>
          <w:tcPr>
            <w:tcW w:w="3120" w:type="dxa"/>
            <w:vAlign w:val="bottom"/>
          </w:tcPr>
          <w:p>
            <w:pPr>
              <w:ind w:left="820"/>
              <w:spacing w:after="0"/>
              <w:rPr>
                <w:sz w:val="20"/>
                <w:szCs w:val="20"/>
                <w:color w:val="auto"/>
              </w:rPr>
            </w:pPr>
            <w:r>
              <w:rPr>
                <w:rFonts w:ascii="Arial" w:cs="Arial" w:eastAsia="Arial" w:hAnsi="Arial"/>
                <w:sz w:val="18"/>
                <w:szCs w:val="18"/>
                <w:color w:val="auto"/>
                <w:w w:val="96"/>
              </w:rPr>
              <w:t>associated with our business.</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Indebtedness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4"/>
              </w:rPr>
              <w:t>Upon the closing of the spin-off, we expect to enter into (i) a $650.0 million, 5-year revolving credit facility</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which is currently expected to be allocated as follows: (A) a $450.0 million senior secured revolving credit</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facility in favor of Civeo, as borrower, (B) a $100.0 million senior secured revolving credit facility in favor</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of certain of our Canadian subsidiaries, as borrowers, and (C) a $100.0 million senior secured revolving</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6"/>
              </w:rPr>
              <w:t>credit facility in favor of one of our Australian subsidiaries, as borrower; and (ii) a 5-year U.S. term loan</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facility in an amount to be determined up to $775.0 million in favor of Civeo. Amounts outstanding under</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1"/>
              </w:rPr>
              <w:t>the credit facilities are expected to bear interest at LIBOR plus a margin of 1.75% to 2.75%, or at a base rate</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2"/>
              </w:rPr>
              <w:t>plus a margin of 0.75% to 1.75%, in each case based on a ratio of our total leverage to EBITDA (as defined</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6"/>
              </w:rPr>
              <w:t>in the credit facilities). We anticipate that, upon closing of the spin-off, our U.S. term loan facility will be</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fully drawn and that we will have no borrowings outstanding under our credit facilities. See “Description of</w:t>
            </w:r>
          </w:p>
        </w:tc>
      </w:tr>
      <w:tr>
        <w:trPr>
          <w:trHeight w:val="230"/>
        </w:trPr>
        <w:tc>
          <w:tcPr>
            <w:tcW w:w="2760" w:type="dxa"/>
            <w:vAlign w:val="bottom"/>
          </w:tcPr>
          <w:p>
            <w:pPr>
              <w:spacing w:after="0"/>
              <w:rPr>
                <w:sz w:val="20"/>
                <w:szCs w:val="20"/>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rPr>
              <w:t>Material Indebtedness” for a more detailed description of these transactions.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Ratio</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Each Oil States stockholder will receive two shares of Civeo common stock for each share of Oil States</w:t>
            </w:r>
          </w:p>
        </w:tc>
      </w:tr>
      <w:tr>
        <w:trPr>
          <w:trHeight w:val="230"/>
        </w:trPr>
        <w:tc>
          <w:tcPr>
            <w:tcW w:w="2760" w:type="dxa"/>
            <w:vAlign w:val="bottom"/>
          </w:tcPr>
          <w:p>
            <w:pPr>
              <w:spacing w:after="0"/>
              <w:rPr>
                <w:sz w:val="20"/>
                <w:szCs w:val="20"/>
                <w:color w:val="auto"/>
              </w:rPr>
            </w:pPr>
          </w:p>
        </w:tc>
        <w:tc>
          <w:tcPr>
            <w:tcW w:w="4460" w:type="dxa"/>
            <w:vAlign w:val="bottom"/>
            <w:gridSpan w:val="2"/>
          </w:tcPr>
          <w:p>
            <w:pPr>
              <w:ind w:left="820"/>
              <w:spacing w:after="0"/>
              <w:rPr>
                <w:sz w:val="20"/>
                <w:szCs w:val="20"/>
                <w:color w:val="auto"/>
              </w:rPr>
            </w:pPr>
            <w:r>
              <w:rPr>
                <w:rFonts w:ascii="Arial" w:cs="Arial" w:eastAsia="Arial" w:hAnsi="Arial"/>
                <w:sz w:val="18"/>
                <w:szCs w:val="18"/>
                <w:color w:val="auto"/>
              </w:rPr>
              <w:t>common stock held by such stockholder on</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 2014.</w:t>
            </w: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Distribution Method</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Civeo common stock will be issued only by direct registration in book-entry form. Registration in book</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entry form is a method of recording stock ownership when no physical paper certificates are issued to</w:t>
            </w:r>
          </w:p>
        </w:tc>
      </w:tr>
      <w:tr>
        <w:trPr>
          <w:trHeight w:val="230"/>
        </w:trPr>
        <w:tc>
          <w:tcPr>
            <w:tcW w:w="2760" w:type="dxa"/>
            <w:vAlign w:val="bottom"/>
          </w:tcPr>
          <w:p>
            <w:pPr>
              <w:spacing w:after="0"/>
              <w:rPr>
                <w:sz w:val="20"/>
                <w:szCs w:val="20"/>
                <w:color w:val="auto"/>
              </w:rPr>
            </w:pPr>
          </w:p>
        </w:tc>
        <w:tc>
          <w:tcPr>
            <w:tcW w:w="4460" w:type="dxa"/>
            <w:vAlign w:val="bottom"/>
            <w:gridSpan w:val="2"/>
          </w:tcPr>
          <w:p>
            <w:pPr>
              <w:ind w:left="820"/>
              <w:spacing w:after="0"/>
              <w:rPr>
                <w:sz w:val="20"/>
                <w:szCs w:val="20"/>
                <w:color w:val="auto"/>
              </w:rPr>
            </w:pPr>
            <w:r>
              <w:rPr>
                <w:rFonts w:ascii="Arial" w:cs="Arial" w:eastAsia="Arial" w:hAnsi="Arial"/>
                <w:sz w:val="18"/>
                <w:szCs w:val="18"/>
                <w:color w:val="auto"/>
                <w:w w:val="97"/>
              </w:rPr>
              <w:t>stockholders, as is the case in this distribution.</w:t>
            </w:r>
          </w:p>
        </w:tc>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Conditions to the Spin-Off</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2"/>
              </w:rPr>
              <w:t>The spin-off is subject to the satisfaction or waiver by Oil States of the following conditions, as well as other</w:t>
            </w:r>
          </w:p>
        </w:tc>
      </w:tr>
      <w:tr>
        <w:trPr>
          <w:trHeight w:val="230"/>
        </w:trPr>
        <w:tc>
          <w:tcPr>
            <w:tcW w:w="2760" w:type="dxa"/>
            <w:vAlign w:val="bottom"/>
          </w:tcPr>
          <w:p>
            <w:pPr>
              <w:spacing w:after="0"/>
              <w:rPr>
                <w:sz w:val="20"/>
                <w:szCs w:val="20"/>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rPr>
              <w:t>conditions described in this information statement in “The Spin-Off—Conditions to the Spin-Off”:</w:t>
            </w:r>
          </w:p>
        </w:tc>
      </w:tr>
      <w:tr>
        <w:trPr>
          <w:trHeight w:val="675"/>
        </w:trPr>
        <w:tc>
          <w:tcPr>
            <w:tcW w:w="2760" w:type="dxa"/>
            <w:vAlign w:val="bottom"/>
          </w:tcPr>
          <w:p>
            <w:pPr>
              <w:spacing w:after="0"/>
              <w:rPr>
                <w:sz w:val="24"/>
                <w:szCs w:val="24"/>
                <w:color w:val="auto"/>
              </w:rPr>
            </w:pPr>
          </w:p>
        </w:tc>
        <w:tc>
          <w:tcPr>
            <w:tcW w:w="3120" w:type="dxa"/>
            <w:vAlign w:val="bottom"/>
          </w:tcPr>
          <w:p>
            <w:pPr>
              <w:ind w:left="2860"/>
              <w:spacing w:after="0"/>
              <w:rPr>
                <w:sz w:val="20"/>
                <w:szCs w:val="20"/>
                <w:color w:val="auto"/>
              </w:rPr>
            </w:pPr>
            <w:r>
              <w:rPr>
                <w:rFonts w:ascii="Arial" w:cs="Arial" w:eastAsia="Arial" w:hAnsi="Arial"/>
                <w:sz w:val="18"/>
                <w:szCs w:val="18"/>
                <w:color w:val="auto"/>
              </w:rPr>
              <w:t>11</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05"/>
        </w:trPr>
        <w:tc>
          <w:tcPr>
            <w:tcW w:w="27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8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277" w:name="page278"/>
    <w:bookmarkEnd w:id="277"/>
    <w:p>
      <w:pPr>
        <w:ind w:left="2700" w:right="60" w:hanging="327"/>
        <w:spacing w:after="0" w:line="257"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Securities and Exchange Commission (the “SEC”) will have declared effective our registration statement on Form 10, of which this information statement is a part, under the Securities Exchange Act of 1934, as amended (the “Exchange Act”), no stop order suspending the effectiveness of the registration statement shall be in effect, and no proceedings for such purpose shall be pending before or threatened by the SEC;</w:t>
      </w:r>
    </w:p>
    <w:p>
      <w:pPr>
        <w:spacing w:after="0" w:line="188" w:lineRule="exact"/>
        <w:rPr>
          <w:rFonts w:ascii="Arial" w:cs="Arial" w:eastAsia="Arial" w:hAnsi="Arial"/>
          <w:sz w:val="18"/>
          <w:szCs w:val="18"/>
          <w:color w:val="auto"/>
        </w:rPr>
      </w:pPr>
    </w:p>
    <w:p>
      <w:pPr>
        <w:ind w:left="2700" w:right="180" w:hanging="327"/>
        <w:spacing w:after="0" w:line="264"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United States (and any comparable laws under any foreign jurisdiction) will have been taken and, where applicable, have become effective or been accepted;</w:t>
      </w:r>
    </w:p>
    <w:p>
      <w:pPr>
        <w:spacing w:after="0" w:line="181" w:lineRule="exact"/>
        <w:rPr>
          <w:rFonts w:ascii="Arial" w:cs="Arial" w:eastAsia="Arial" w:hAnsi="Arial"/>
          <w:sz w:val="18"/>
          <w:szCs w:val="18"/>
          <w:color w:val="auto"/>
        </w:rPr>
      </w:pPr>
    </w:p>
    <w:p>
      <w:pPr>
        <w:ind w:left="2700" w:right="640" w:hanging="327"/>
        <w:spacing w:after="0" w:line="308" w:lineRule="auto"/>
        <w:tabs>
          <w:tab w:leader="none" w:pos="27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Civeo common stock will have been authorized for listing on the NYSE or another national securities exchange approved by Oil States, subject to official notice of issuance;</w:t>
      </w:r>
    </w:p>
    <w:p>
      <w:pPr>
        <w:spacing w:after="0" w:line="146" w:lineRule="exact"/>
        <w:rPr>
          <w:rFonts w:ascii="Arial" w:cs="Arial" w:eastAsia="Arial" w:hAnsi="Arial"/>
          <w:sz w:val="17"/>
          <w:szCs w:val="17"/>
          <w:color w:val="auto"/>
        </w:rPr>
      </w:pPr>
    </w:p>
    <w:p>
      <w:pPr>
        <w:ind w:left="2700" w:right="520" w:hanging="327"/>
        <w:spacing w:after="0" w:line="277"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prior to the spin-off, this information statement will have been mailed to the holders of Oil States common stock as of the record date;</w:t>
      </w:r>
    </w:p>
    <w:p>
      <w:pPr>
        <w:spacing w:after="0" w:line="170" w:lineRule="exact"/>
        <w:rPr>
          <w:rFonts w:ascii="Arial" w:cs="Arial" w:eastAsia="Arial" w:hAnsi="Arial"/>
          <w:sz w:val="18"/>
          <w:szCs w:val="18"/>
          <w:color w:val="auto"/>
        </w:rPr>
      </w:pPr>
    </w:p>
    <w:p>
      <w:pPr>
        <w:ind w:left="2700" w:hanging="327"/>
        <w:spacing w:after="0" w:line="259"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86" w:lineRule="exact"/>
        <w:rPr>
          <w:rFonts w:ascii="Arial" w:cs="Arial" w:eastAsia="Arial" w:hAnsi="Arial"/>
          <w:sz w:val="18"/>
          <w:szCs w:val="18"/>
          <w:color w:val="auto"/>
        </w:rPr>
      </w:pPr>
    </w:p>
    <w:p>
      <w:pPr>
        <w:ind w:left="2700" w:right="40" w:hanging="327"/>
        <w:spacing w:after="0" w:line="264"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Oil States shall have received an opinion from tax counsel, in form and substance acceptable to Oil States and which shall remain in full force and effect, as to certain matters affecting the tax treatment of the spin-off on which the IRS will not rule;</w:t>
      </w:r>
    </w:p>
    <w:p>
      <w:pPr>
        <w:spacing w:after="0" w:line="181" w:lineRule="exact"/>
        <w:rPr>
          <w:rFonts w:ascii="Arial" w:cs="Arial" w:eastAsia="Arial" w:hAnsi="Arial"/>
          <w:sz w:val="18"/>
          <w:szCs w:val="18"/>
          <w:color w:val="auto"/>
        </w:rPr>
      </w:pPr>
    </w:p>
    <w:p>
      <w:pPr>
        <w:ind w:left="2700" w:right="320" w:hanging="327"/>
        <w:spacing w:after="0" w:line="342" w:lineRule="auto"/>
        <w:tabs>
          <w:tab w:leader="none" w:pos="27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no order, injunction, decree or regulation issued by any court or agency of competent jurisdiction or other legal restraint or prohibition preventing the consummation of the spin-off will be in effect;</w:t>
      </w:r>
    </w:p>
    <w:p>
      <w:pPr>
        <w:spacing w:after="0" w:line="123" w:lineRule="exact"/>
        <w:rPr>
          <w:rFonts w:ascii="Arial" w:cs="Arial" w:eastAsia="Arial" w:hAnsi="Arial"/>
          <w:sz w:val="16"/>
          <w:szCs w:val="16"/>
          <w:color w:val="auto"/>
        </w:rPr>
      </w:pPr>
    </w:p>
    <w:p>
      <w:pPr>
        <w:ind w:left="2700" w:right="100" w:hanging="327"/>
        <w:spacing w:after="0" w:line="277"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spin-off will have been obtained and be in full force and effect;</w:t>
      </w:r>
    </w:p>
    <w:p>
      <w:pPr>
        <w:spacing w:after="0" w:line="170" w:lineRule="exact"/>
        <w:rPr>
          <w:rFonts w:ascii="Arial" w:cs="Arial" w:eastAsia="Arial" w:hAnsi="Arial"/>
          <w:sz w:val="18"/>
          <w:szCs w:val="18"/>
          <w:color w:val="auto"/>
        </w:rPr>
      </w:pPr>
    </w:p>
    <w:p>
      <w:pPr>
        <w:ind w:left="2700" w:hanging="327"/>
        <w:spacing w:after="0"/>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Oil States shall have received the special dividend from Civeo; and</w:t>
      </w:r>
    </w:p>
    <w:p>
      <w:pPr>
        <w:spacing w:after="0" w:line="225" w:lineRule="exact"/>
        <w:rPr>
          <w:rFonts w:ascii="Arial" w:cs="Arial" w:eastAsia="Arial" w:hAnsi="Arial"/>
          <w:sz w:val="18"/>
          <w:szCs w:val="18"/>
          <w:color w:val="auto"/>
        </w:rPr>
      </w:pPr>
    </w:p>
    <w:p>
      <w:pPr>
        <w:ind w:left="2700" w:right="220" w:hanging="327"/>
        <w:spacing w:after="0" w:line="264" w:lineRule="auto"/>
        <w:tabs>
          <w:tab w:leader="none" w:pos="27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Oil States 5 1/8% Senior Notes due 2023 and 6 1/8% Senior Notes due 2019 shall have been accepted for payment pursuant to the Oil States tender offers.</w:t>
      </w:r>
    </w:p>
    <w:p>
      <w:pPr>
        <w:spacing w:after="0" w:line="181" w:lineRule="exact"/>
        <w:rPr>
          <w:sz w:val="20"/>
          <w:szCs w:val="20"/>
          <w:color w:val="auto"/>
        </w:rPr>
      </w:pPr>
    </w:p>
    <w:p>
      <w:pPr>
        <w:ind w:left="2380" w:right="200"/>
        <w:spacing w:after="0" w:line="279" w:lineRule="auto"/>
        <w:rPr>
          <w:sz w:val="20"/>
          <w:szCs w:val="20"/>
          <w:color w:val="auto"/>
        </w:rPr>
      </w:pPr>
      <w:r>
        <w:rPr>
          <w:rFonts w:ascii="Arial" w:cs="Arial" w:eastAsia="Arial" w:hAnsi="Arial"/>
          <w:sz w:val="17"/>
          <w:szCs w:val="17"/>
          <w:color w:val="auto"/>
        </w:rPr>
        <w:t>The fulfillment of the foregoing conditions does not create any obligations on Oil States’ part to effect the spin-off, and the Oil States board of directors has reserved the right, in its sole discretion, to abandon, modify or change the terms of the spin-off, including by accelerating or delaying the timing of the consummation of all or part of the spin-off, at any time prior to the distribution date.</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00"/>
          </w:cols>
          <w:pgMar w:left="1440" w:top="585" w:right="25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Trading Market and Symbol</w:t>
            </w: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We have filed an application to list Civeo common stock on the NYSE under the ticker symbol “CVEO”.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We anticipate that, on or shortly before the record date, trading of shares of Civeo common stock will begin</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on a “when-issued” basis and will continue up to and including the distribution date, and we expect “regular-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way” trading of Civeo common stock will begin the first trading day after the distribution date. We also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anticipate that, on or shortly before the record date, there will be two markets in Oil States common stock: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regular-way market on which shares of Oil States common stock will trade with an entitlement to shares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Civeo common stock to be distributed pursuant to the distribution, and an “ex-distribution” market on which</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shares of Oil States common stock will trade without an entitlement to shares of Civeo common stock. For</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more information, see “Trading Market.”</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Tax Consequences</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Oil States has received a private letter ruling from the IRS substantially to the effect that, for U.S. federal</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income tax purposes, (i) certain transactions to be effected in connection with the separation qualify as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transactions under Sections 355 and/or 368(a) of the Code and (ii) the distribution generally qualifies as a</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tax-free transaction under Section 355 and Section 368(a)(1)(D) of the Code. Further, Oil States will receive</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an opinion from its tax counsel in form and substance acceptable to Oil States, which will rely on the</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effectiveness of the private letter ruling, with respect to certain matters on which the IRS will not rule.</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Accordingly, the contribution, distribution and related transactions will qualify as a tax-free transactions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under Section 355 and/or Section 368(a)(1)(D) of the Code, for U.S. federal income tax purposes, no gain or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3"/>
              </w:rPr>
              <w:t>loss will generally be recognized by an Oil States shareholder, and no amount generally will be included in</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such Oil States shareholder’s taxable income, as a result of the spin-off.</w:t>
            </w:r>
          </w:p>
        </w:tc>
      </w:tr>
      <w:tr>
        <w:trPr>
          <w:trHeight w:val="418"/>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For a more detailed description of the U.S. federal income tax consequences of the spin-off, see “The Spin-</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Off—U.S. Federal Income Tax Consequences of the Spin-Off.”</w:t>
            </w:r>
          </w:p>
        </w:tc>
      </w:tr>
      <w:tr>
        <w:trPr>
          <w:trHeight w:val="414"/>
        </w:trPr>
        <w:tc>
          <w:tcPr>
            <w:tcW w:w="2800" w:type="dxa"/>
            <w:vAlign w:val="bottom"/>
          </w:tcPr>
          <w:p>
            <w:pPr>
              <w:spacing w:after="0"/>
              <w:rPr>
                <w:sz w:val="24"/>
                <w:szCs w:val="24"/>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0"/>
              </w:rPr>
              <w:t>Each stockholder is urged to consult his, her or its tax advisor as to the specific tax consequences of</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w w:val="93"/>
              </w:rPr>
              <w:t>the spin-off to such stockholder, including the effect of any state, local or non-U.S. tax laws and of</w:t>
            </w:r>
          </w:p>
        </w:tc>
      </w:tr>
      <w:tr>
        <w:trPr>
          <w:trHeight w:val="234"/>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b w:val="1"/>
                <w:bCs w:val="1"/>
                <w:color w:val="auto"/>
              </w:rPr>
              <w:t>changes in applicable tax laws.</w:t>
            </w: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Relationship with Oil States</w:t>
            </w:r>
          </w:p>
        </w:tc>
        <w:tc>
          <w:tcPr>
            <w:tcW w:w="8660" w:type="dxa"/>
            <w:vAlign w:val="bottom"/>
          </w:tcPr>
          <w:p>
            <w:pPr>
              <w:spacing w:after="0"/>
              <w:rPr>
                <w:sz w:val="24"/>
                <w:szCs w:val="24"/>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after the Spin-Off</w:t>
            </w: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We will enter into a separation and distribution agreement and other ancillary agreements with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related to the spin-off. These agreements will govern the relationship between us and Oil States after</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8"/>
              </w:rPr>
              <w:t>completion of the spin-off and provide for the allocation between us and Oil States of various assets,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liabilities and obligations. We intend to enter into a transition services agreement with Oil States pursuant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7"/>
              </w:rPr>
              <w:t>which certain services will be provided on an interim basis following the distribution. We also intend to</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5"/>
              </w:rPr>
              <w:t>enter into an employee matters agreement that will set forth the agreements between Oil States and us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0"/>
              </w:rPr>
              <w:t>concerning certain employee compensation and benefit matters. Further, we intend to enter into a tax sharing</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agreement with Oil States regarding the respective rights, responsibilities, and obligations of Oil States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2"/>
              </w:rPr>
              <w:t>us with respect to the payment of taxes, filing of tax returns, reimbursements of taxes, control of audits and</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4"/>
              </w:rPr>
              <w:t>other tax proceedings, liability for taxes that may be triggered as a result of the spin-off and other matters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1"/>
              </w:rPr>
              <w:t>regarding taxes. We describe these arrangements in greater detail under “Arrangements Between Oil States</w:t>
            </w:r>
          </w:p>
        </w:tc>
      </w:tr>
      <w:tr>
        <w:trPr>
          <w:trHeight w:val="216"/>
        </w:trPr>
        <w:tc>
          <w:tcPr>
            <w:tcW w:w="2800" w:type="dxa"/>
            <w:vAlign w:val="bottom"/>
          </w:tcPr>
          <w:p>
            <w:pPr>
              <w:spacing w:after="0"/>
              <w:rPr>
                <w:sz w:val="18"/>
                <w:szCs w:val="18"/>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w w:val="96"/>
              </w:rPr>
              <w:t>and Our Company,” and describe some of the risks of these arrangements under “Risk Factors—Risks</w:t>
            </w:r>
          </w:p>
        </w:tc>
      </w:tr>
      <w:tr>
        <w:trPr>
          <w:trHeight w:val="230"/>
        </w:trPr>
        <w:tc>
          <w:tcPr>
            <w:tcW w:w="2800" w:type="dxa"/>
            <w:vAlign w:val="bottom"/>
          </w:tcPr>
          <w:p>
            <w:pPr>
              <w:spacing w:after="0"/>
              <w:rPr>
                <w:sz w:val="20"/>
                <w:szCs w:val="20"/>
                <w:color w:val="auto"/>
              </w:rPr>
            </w:pPr>
          </w:p>
        </w:tc>
        <w:tc>
          <w:tcPr>
            <w:tcW w:w="8660" w:type="dxa"/>
            <w:vAlign w:val="bottom"/>
          </w:tcPr>
          <w:p>
            <w:pPr>
              <w:ind w:left="780"/>
              <w:spacing w:after="0"/>
              <w:rPr>
                <w:sz w:val="20"/>
                <w:szCs w:val="20"/>
                <w:color w:val="auto"/>
              </w:rPr>
            </w:pPr>
            <w:r>
              <w:rPr>
                <w:rFonts w:ascii="Arial" w:cs="Arial" w:eastAsia="Arial" w:hAnsi="Arial"/>
                <w:sz w:val="18"/>
                <w:szCs w:val="18"/>
                <w:color w:val="auto"/>
              </w:rPr>
              <w:t>Related to the Spin-Off.”</w:t>
            </w:r>
          </w:p>
        </w:tc>
      </w:tr>
      <w:tr>
        <w:trPr>
          <w:trHeight w:val="675"/>
        </w:trPr>
        <w:tc>
          <w:tcPr>
            <w:tcW w:w="2800" w:type="dxa"/>
            <w:vAlign w:val="bottom"/>
          </w:tcPr>
          <w:p>
            <w:pPr>
              <w:spacing w:after="0"/>
              <w:rPr>
                <w:sz w:val="24"/>
                <w:szCs w:val="24"/>
                <w:color w:val="auto"/>
              </w:rPr>
            </w:pPr>
          </w:p>
        </w:tc>
        <w:tc>
          <w:tcPr>
            <w:tcW w:w="8660" w:type="dxa"/>
            <w:vAlign w:val="bottom"/>
          </w:tcPr>
          <w:p>
            <w:pPr>
              <w:ind w:left="2820"/>
              <w:spacing w:after="0"/>
              <w:rPr>
                <w:sz w:val="20"/>
                <w:szCs w:val="20"/>
                <w:color w:val="auto"/>
              </w:rPr>
            </w:pPr>
            <w:r>
              <w:rPr>
                <w:rFonts w:ascii="Arial" w:cs="Arial" w:eastAsia="Arial" w:hAnsi="Arial"/>
                <w:sz w:val="18"/>
                <w:szCs w:val="18"/>
                <w:color w:val="auto"/>
              </w:rPr>
              <w:t>13</w:t>
            </w:r>
          </w:p>
        </w:tc>
      </w:tr>
      <w:tr>
        <w:trPr>
          <w:trHeight w:val="105"/>
        </w:trPr>
        <w:tc>
          <w:tcPr>
            <w:tcW w:w="28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61"/>
        </w:trPr>
        <w:tc>
          <w:tcPr>
            <w:tcW w:w="280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5" w:right="199" w:bottom="1440" w:gutter="0" w:footer="0" w:header="0"/>
        </w:sectPr>
      </w:pPr>
    </w:p>
    <w:bookmarkStart w:id="279" w:name="page280"/>
    <w:bookmarkEnd w:id="2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Indemnities</w:t>
            </w: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We will indemnify Oil States under the tax sharing agreement for taxes incurred as a result of the failure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the spin-off to qualify as tax-free under Section 355 and Section 368(a)(1)(D) of the Code, to the extent</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0"/>
              </w:rPr>
              <w:t>caused by our breach of any representations or covenants made in the tax sharing agreement, the separation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and distribution agreement, or made in connection with the private letter ruling and the tax opinion or by any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other action taken by us. See “Arrangements Between Oil States and Our Company—Tax Sharing</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Agreement.” In addition, under the separation and distribution agreement and indemnification and release</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agreement, we will also indemnify Oil States and its remaining subsidiaries against various claims and</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liabilities relating to the past operation of our business. In addition, we have agreed to pay 50% of any taxes</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arising from the spin-off to the extent that the tax is not attributable to the fault of either party. See</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“Arrangements Between Oil States and Our Company.”</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Dividend Policy</w:t>
            </w:r>
          </w:p>
        </w:tc>
        <w:tc>
          <w:tcPr>
            <w:tcW w:w="9080" w:type="dxa"/>
            <w:vAlign w:val="bottom"/>
          </w:tcPr>
          <w:p>
            <w:pPr>
              <w:ind w:left="1200"/>
              <w:spacing w:after="0"/>
              <w:rPr>
                <w:sz w:val="20"/>
                <w:szCs w:val="20"/>
                <w:color w:val="auto"/>
              </w:rPr>
            </w:pPr>
            <w:r>
              <w:rPr>
                <w:rFonts w:ascii="Arial" w:cs="Arial" w:eastAsia="Arial" w:hAnsi="Arial"/>
                <w:sz w:val="18"/>
                <w:szCs w:val="18"/>
                <w:color w:val="auto"/>
                <w:w w:val="98"/>
              </w:rPr>
              <w:t>Following the spin-off, we intend to commence the payment of cash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subject to our compliance with applicable law, and depending on, among other things, our results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operations, financial condition, level of indebtedness, capital requirements, business prospects and other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8"/>
              </w:rPr>
              <w:t>factors that our board of directors may deem relevant. In addition, our ability to pay dividends on our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common stock is limited by covenants in our credit facilities. Future agreements may also limit our ability to</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pay dividends, and we may incur incremental taxes in the United States if we repatriate foreign earnings to</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pay such dividends. See “Dividend Policy,” “Description of Material Indebtedness” and “Management’s</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Discussion and Analysis of Financial Condition and Results of Operations—Tax Matters.”</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Transfer Agent</w:t>
            </w:r>
          </w:p>
        </w:tc>
        <w:tc>
          <w:tcPr>
            <w:tcW w:w="9080" w:type="dxa"/>
            <w:vAlign w:val="bottom"/>
          </w:tcPr>
          <w:p>
            <w:pPr>
              <w:ind w:left="1200"/>
              <w:spacing w:after="0"/>
              <w:rPr>
                <w:sz w:val="20"/>
                <w:szCs w:val="20"/>
                <w:color w:val="auto"/>
              </w:rPr>
            </w:pPr>
            <w:r>
              <w:rPr>
                <w:rFonts w:ascii="Arial" w:cs="Arial" w:eastAsia="Arial" w:hAnsi="Arial"/>
                <w:sz w:val="18"/>
                <w:szCs w:val="18"/>
                <w:color w:val="auto"/>
              </w:rPr>
              <w:t>Computershare Trust Company, N.A.</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Risk Factors</w:t>
            </w: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We face both general and specific risks and uncertainties relating to our business and our being an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independent, publicly owned company. We also are subject to risks related to the spin-off. You should</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carefully read “Risk Factors” beginning on page 19 of this information statement.</w:t>
            </w:r>
          </w:p>
        </w:tc>
      </w:tr>
      <w:tr>
        <w:trPr>
          <w:trHeight w:val="891"/>
        </w:trPr>
        <w:tc>
          <w:tcPr>
            <w:tcW w:w="238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14</w:t>
            </w:r>
          </w:p>
        </w:tc>
      </w:tr>
      <w:tr>
        <w:trPr>
          <w:trHeight w:val="105"/>
        </w:trPr>
        <w:tc>
          <w:tcPr>
            <w:tcW w:w="2380" w:type="dxa"/>
            <w:vAlign w:val="bottom"/>
          </w:tcPr>
          <w:p>
            <w:pPr>
              <w:spacing w:after="0"/>
              <w:rPr>
                <w:sz w:val="9"/>
                <w:szCs w:val="9"/>
                <w:color w:val="auto"/>
              </w:rPr>
            </w:pPr>
          </w:p>
        </w:tc>
        <w:tc>
          <w:tcPr>
            <w:tcW w:w="9080" w:type="dxa"/>
            <w:vAlign w:val="bottom"/>
          </w:tcPr>
          <w:p>
            <w:pPr>
              <w:spacing w:after="0"/>
              <w:rPr>
                <w:sz w:val="9"/>
                <w:szCs w:val="9"/>
                <w:color w:val="auto"/>
              </w:rPr>
            </w:pPr>
          </w:p>
        </w:tc>
      </w:tr>
      <w:tr>
        <w:trPr>
          <w:trHeight w:val="61"/>
        </w:trPr>
        <w:tc>
          <w:tcPr>
            <w:tcW w:w="238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5" w:right="1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auto"/>
        </w:rPr>
        <w:t>Summary Risk Factors</w:t>
      </w:r>
    </w:p>
    <w:p>
      <w:pPr>
        <w:spacing w:after="0" w:line="229" w:lineRule="exact"/>
        <w:rPr>
          <w:sz w:val="20"/>
          <w:szCs w:val="20"/>
          <w:color w:val="auto"/>
        </w:rPr>
      </w:pPr>
    </w:p>
    <w:p>
      <w:pPr>
        <w:ind w:right="220" w:firstLine="324"/>
        <w:spacing w:after="0" w:line="395" w:lineRule="auto"/>
        <w:rPr>
          <w:sz w:val="20"/>
          <w:szCs w:val="20"/>
          <w:color w:val="auto"/>
        </w:rPr>
      </w:pPr>
      <w:r>
        <w:rPr>
          <w:rFonts w:ascii="Arial" w:cs="Arial" w:eastAsia="Arial" w:hAnsi="Arial"/>
          <w:sz w:val="16"/>
          <w:szCs w:val="16"/>
          <w:color w:val="auto"/>
        </w:rPr>
        <w:t>We face both general and specific risks and uncertainties relating to our business and our being an independent, publicly owned company. We also are subject to risks related to the spin-off. You should carefully read “Risk Factors” beginning on page 19 of this information statement. In particular: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ind w:left="1080" w:hanging="640"/>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Decreased customer expenditure levels will adversely affect our results of operations.</w:t>
      </w:r>
    </w:p>
    <w:p>
      <w:pPr>
        <w:spacing w:after="0" w:line="225" w:lineRule="exact"/>
        <w:rPr>
          <w:rFonts w:ascii="Arial" w:cs="Arial" w:eastAsia="Arial" w:hAnsi="Arial"/>
          <w:sz w:val="18"/>
          <w:szCs w:val="18"/>
          <w:color w:val="auto"/>
        </w:rPr>
      </w:pPr>
    </w:p>
    <w:p>
      <w:pPr>
        <w:ind w:left="1080" w:right="340" w:hanging="640"/>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6" w:lineRule="exact"/>
        <w:rPr>
          <w:rFonts w:ascii="Arial" w:cs="Arial" w:eastAsia="Arial" w:hAnsi="Arial"/>
          <w:sz w:val="17"/>
          <w:szCs w:val="17"/>
          <w:color w:val="auto"/>
        </w:rPr>
      </w:pPr>
    </w:p>
    <w:p>
      <w:pPr>
        <w:ind w:left="1080" w:right="6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Exchange rate fluctuations could adversely affect our U.S. reported results of operations and financial position and could impact our ability to pay dividends.</w:t>
      </w:r>
    </w:p>
    <w:p>
      <w:pPr>
        <w:spacing w:after="0" w:line="170" w:lineRule="exact"/>
        <w:rPr>
          <w:rFonts w:ascii="Arial" w:cs="Arial" w:eastAsia="Arial" w:hAnsi="Arial"/>
          <w:sz w:val="18"/>
          <w:szCs w:val="18"/>
          <w:color w:val="auto"/>
        </w:rPr>
      </w:pPr>
    </w:p>
    <w:p>
      <w:pPr>
        <w:ind w:left="1080" w:right="22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Our failure to retain our current customers, renew our existing customer contracts and obtain new customer contracts could adversely affect our business.</w:t>
      </w:r>
    </w:p>
    <w:p>
      <w:pPr>
        <w:spacing w:after="0" w:line="170" w:lineRule="exact"/>
        <w:rPr>
          <w:rFonts w:ascii="Arial" w:cs="Arial" w:eastAsia="Arial" w:hAnsi="Arial"/>
          <w:sz w:val="18"/>
          <w:szCs w:val="18"/>
          <w:color w:val="auto"/>
        </w:rPr>
      </w:pPr>
    </w:p>
    <w:p>
      <w:pPr>
        <w:ind w:left="1080" w:right="4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We do business in Canada and Australia, whose political and regulatory environments and compliance regimes differ from those in the United States.</w:t>
      </w:r>
    </w:p>
    <w:p>
      <w:pPr>
        <w:spacing w:after="0" w:line="170"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of our major Canadian lodges are located on land subject to leases; if we are unable to renew a lease, we could be materially and adversely affected.</w:t>
      </w:r>
    </w:p>
    <w:p>
      <w:pPr>
        <w:spacing w:after="0" w:line="170" w:lineRule="exact"/>
        <w:rPr>
          <w:rFonts w:ascii="Arial" w:cs="Arial" w:eastAsia="Arial" w:hAnsi="Arial"/>
          <w:sz w:val="18"/>
          <w:szCs w:val="18"/>
          <w:color w:val="auto"/>
        </w:rPr>
      </w:pPr>
    </w:p>
    <w:p>
      <w:pPr>
        <w:ind w:left="1080" w:right="70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We will incur incremental U.S. income taxes if we elect to repatriate our foreign earnings.</w:t>
      </w:r>
    </w:p>
    <w:p>
      <w:pPr>
        <w:spacing w:after="0" w:line="225" w:lineRule="exact"/>
        <w:rPr>
          <w:rFonts w:ascii="Arial" w:cs="Arial" w:eastAsia="Arial" w:hAnsi="Arial"/>
          <w:sz w:val="18"/>
          <w:szCs w:val="18"/>
          <w:color w:val="auto"/>
        </w:rPr>
      </w:pPr>
    </w:p>
    <w:p>
      <w:pPr>
        <w:ind w:left="1080" w:right="80" w:hanging="640"/>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Spin-Off</w:t>
      </w:r>
    </w:p>
    <w:p>
      <w:pPr>
        <w:spacing w:after="0" w:line="225" w:lineRule="exact"/>
        <w:rPr>
          <w:sz w:val="20"/>
          <w:szCs w:val="20"/>
          <w:color w:val="auto"/>
        </w:rPr>
      </w:pPr>
    </w:p>
    <w:p>
      <w:pPr>
        <w:ind w:left="1080" w:hanging="640"/>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We may not realize the potential benefits from our separation from Oil States.</w:t>
      </w:r>
    </w:p>
    <w:p>
      <w:pPr>
        <w:spacing w:after="0" w:line="225" w:lineRule="exact"/>
        <w:rPr>
          <w:rFonts w:ascii="Arial" w:cs="Arial" w:eastAsia="Arial" w:hAnsi="Arial"/>
          <w:sz w:val="18"/>
          <w:szCs w:val="18"/>
          <w:color w:val="auto"/>
        </w:rPr>
      </w:pPr>
    </w:p>
    <w:p>
      <w:pPr>
        <w:ind w:left="1080" w:right="140" w:hanging="640"/>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combined value of Oil States and Civeo shares after the spin-off may not equal or exceed the value of Oil States shares prior to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 large number of our shares are or will be eligible for future sale, which may cause the market price for our common stock to decline.</w:t>
      </w:r>
    </w:p>
    <w:p>
      <w:pPr>
        <w:spacing w:after="0" w:line="236" w:lineRule="exact"/>
        <w:rPr>
          <w:rFonts w:ascii="Arial" w:cs="Arial" w:eastAsia="Arial" w:hAnsi="Arial"/>
          <w:sz w:val="17"/>
          <w:szCs w:val="17"/>
          <w:color w:val="auto"/>
        </w:rPr>
      </w:pPr>
    </w:p>
    <w:p>
      <w:pPr>
        <w:ind w:left="1080" w:right="100" w:hanging="640"/>
        <w:spacing w:after="0" w:line="264"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Because significant amounts of our common stock are held by oilfield services and other stock indices there is the possibility that our shareholder base will change following the spin-off. If significant amounts of our common stock are sold in the open market, any such shares sold may not meet with offsetting new demand.</w:t>
      </w:r>
    </w:p>
    <w:p>
      <w:pPr>
        <w:spacing w:after="0" w:line="181" w:lineRule="exact"/>
        <w:rPr>
          <w:rFonts w:ascii="Arial" w:cs="Arial" w:eastAsia="Arial" w:hAnsi="Arial"/>
          <w:sz w:val="18"/>
          <w:szCs w:val="18"/>
          <w:color w:val="auto"/>
        </w:rPr>
      </w:pPr>
    </w:p>
    <w:p>
      <w:pPr>
        <w:ind w:left="1080" w:hanging="640"/>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rFonts w:ascii="Arial" w:cs="Arial" w:eastAsia="Arial" w:hAnsi="Arial"/>
          <w:sz w:val="18"/>
          <w:szCs w:val="18"/>
          <w:color w:val="auto"/>
        </w:rPr>
      </w:pPr>
    </w:p>
    <w:p>
      <w:pPr>
        <w:ind w:left="1080" w:right="580" w:hanging="640"/>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Our costs will increase as a result of operating as a public company, and our management will be required to devote substantial time to complying with public company regulations.</w:t>
      </w:r>
    </w:p>
    <w:p>
      <w:pPr>
        <w:spacing w:after="0" w:line="170" w:lineRule="exact"/>
        <w:rPr>
          <w:rFonts w:ascii="Arial" w:cs="Arial" w:eastAsia="Arial" w:hAnsi="Arial"/>
          <w:sz w:val="18"/>
          <w:szCs w:val="18"/>
          <w:color w:val="auto"/>
        </w:rPr>
      </w:pPr>
    </w:p>
    <w:p>
      <w:pPr>
        <w:ind w:left="1080" w:right="300" w:hanging="640"/>
        <w:spacing w:after="0" w:line="286" w:lineRule="auto"/>
        <w:tabs>
          <w:tab w:leader="none" w:pos="10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5" w:lineRule="exact"/>
        <w:rPr>
          <w:rFonts w:ascii="Arial" w:cs="Arial" w:eastAsia="Arial" w:hAnsi="Arial"/>
          <w:sz w:val="17"/>
          <w:szCs w:val="17"/>
          <w:color w:val="auto"/>
        </w:rPr>
      </w:pPr>
    </w:p>
    <w:p>
      <w:pPr>
        <w:ind w:left="1080" w:hanging="640"/>
        <w:spacing w:after="0"/>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We potentially could have received better terms from unaffiliated third parties than the terms we receive in our agreements with Oil States.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81" w:name="page282"/>
    <w:bookmarkEnd w:id="281"/>
    <w:p>
      <w:pPr>
        <w:ind w:left="1080" w:right="80" w:hanging="640"/>
        <w:spacing w:after="0" w:line="277"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We may increase our debt or raise additional capital in the future, which could affect our financial condition, may decrease our profitability or could dilute our shareholders.</w:t>
      </w:r>
    </w:p>
    <w:p>
      <w:pPr>
        <w:spacing w:after="0" w:line="170" w:lineRule="exact"/>
        <w:rPr>
          <w:rFonts w:ascii="Arial" w:cs="Arial" w:eastAsia="Arial" w:hAnsi="Arial"/>
          <w:sz w:val="18"/>
          <w:szCs w:val="18"/>
          <w:color w:val="auto"/>
        </w:rPr>
      </w:pPr>
    </w:p>
    <w:p>
      <w:pPr>
        <w:ind w:left="1080" w:right="140" w:hanging="640"/>
        <w:spacing w:after="0" w:line="277"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Our tax sharing agreement with Oil States may limit our ability to take certain actions, including strategic transactions, and may require us to indemnify Oil States for significant tax liabilities.</w:t>
      </w:r>
    </w:p>
    <w:p>
      <w:pPr>
        <w:spacing w:after="0" w:line="224" w:lineRule="exact"/>
        <w:rPr>
          <w:rFonts w:ascii="Arial" w:cs="Arial" w:eastAsia="Arial" w:hAnsi="Arial"/>
          <w:sz w:val="18"/>
          <w:szCs w:val="18"/>
          <w:color w:val="auto"/>
        </w:rPr>
      </w:pPr>
    </w:p>
    <w:p>
      <w:pPr>
        <w:ind w:left="1080" w:right="40" w:hanging="640"/>
        <w:spacing w:after="0" w:line="277"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transaction agreements limit our ability to take certain actions, including certain strategic transactions, if we do not remove Oil States as a party under certain of our contracts.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ind w:left="1080" w:hanging="640"/>
        <w:spacing w:after="0"/>
        <w:tabs>
          <w:tab w:leader="none" w:pos="10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No market currently exists for our common stock. We cannot assure you that an active trading market will develop for our common stock.</w:t>
      </w:r>
    </w:p>
    <w:p>
      <w:pPr>
        <w:spacing w:after="0" w:line="236" w:lineRule="exact"/>
        <w:rPr>
          <w:rFonts w:ascii="Arial" w:cs="Arial" w:eastAsia="Arial" w:hAnsi="Arial"/>
          <w:sz w:val="17"/>
          <w:szCs w:val="17"/>
          <w:color w:val="auto"/>
        </w:rPr>
      </w:pPr>
    </w:p>
    <w:p>
      <w:pPr>
        <w:ind w:left="1080" w:hanging="640"/>
        <w:spacing w:after="0" w:line="277"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Future sales, or the perception of future sales, of our common stock may depress the price of our common stock.</w:t>
      </w:r>
    </w:p>
    <w:p>
      <w:pPr>
        <w:spacing w:after="0" w:line="225" w:lineRule="exact"/>
        <w:rPr>
          <w:rFonts w:ascii="Arial" w:cs="Arial" w:eastAsia="Arial" w:hAnsi="Arial"/>
          <w:sz w:val="18"/>
          <w:szCs w:val="18"/>
          <w:color w:val="auto"/>
        </w:rPr>
      </w:pPr>
    </w:p>
    <w:p>
      <w:pPr>
        <w:ind w:left="1080" w:right="600" w:hanging="640"/>
        <w:spacing w:after="0" w:line="308" w:lineRule="auto"/>
        <w:tabs>
          <w:tab w:leader="none" w:pos="10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46" w:lineRule="exact"/>
        <w:rPr>
          <w:rFonts w:ascii="Arial" w:cs="Arial" w:eastAsia="Arial" w:hAnsi="Arial"/>
          <w:sz w:val="17"/>
          <w:szCs w:val="17"/>
          <w:color w:val="auto"/>
        </w:rPr>
      </w:pPr>
    </w:p>
    <w:p>
      <w:pPr>
        <w:ind w:left="1080" w:right="200" w:hanging="640"/>
        <w:spacing w:after="0" w:line="277"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We cannot assure you that we will pay dividends on our common stock, and our indebtedness could limit our ability to pay dividends on our common stock.</w:t>
      </w:r>
    </w:p>
    <w:p>
      <w:pPr>
        <w:spacing w:after="0" w:line="170" w:lineRule="exact"/>
        <w:rPr>
          <w:rFonts w:ascii="Arial" w:cs="Arial" w:eastAsia="Arial" w:hAnsi="Arial"/>
          <w:sz w:val="18"/>
          <w:szCs w:val="18"/>
          <w:color w:val="auto"/>
        </w:rPr>
      </w:pPr>
    </w:p>
    <w:p>
      <w:pPr>
        <w:jc w:val="both"/>
        <w:ind w:left="1080" w:right="160" w:hanging="640"/>
        <w:spacing w:after="0" w:line="264"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Provisions contained in our amended and restated certificate of incorporation and amended and restated bylaws could discourage a takeover attempt, which may reduce or eliminate the likelihood of a change of control transaction and, therefore, the ability of our stockholders to sell their shares for a premium.</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SUMMARY COMBINED HISTORICAL FINANCIAL DATA</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statements of income and cash flows for each of the years ended December 31, 2013, 2012 and 2011 are derived from our audited combined financial statements included elsewhere in this information statement. The balance sheet data as of December 31, 2011 is derived from our audited combined financial statements not included in this information statement.</w:t>
      </w:r>
    </w:p>
    <w:p>
      <w:pPr>
        <w:spacing w:after="0" w:line="1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90"/>
              </w:rPr>
              <w:t>For the 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4"/>
              </w:rPr>
              <w:t>(In thousands,</w:t>
            </w:r>
          </w:p>
        </w:tc>
        <w:tc>
          <w:tcPr>
            <w:tcW w:w="3520" w:type="dxa"/>
            <w:vAlign w:val="bottom"/>
            <w:gridSpan w:val="9"/>
          </w:tcPr>
          <w:p>
            <w:pPr>
              <w:spacing w:after="0" w:line="191" w:lineRule="exact"/>
              <w:rPr>
                <w:sz w:val="20"/>
                <w:szCs w:val="20"/>
                <w:color w:val="auto"/>
              </w:rPr>
            </w:pPr>
            <w:r>
              <w:rPr>
                <w:rFonts w:ascii="Arial" w:cs="Arial" w:eastAsia="Arial" w:hAnsi="Arial"/>
                <w:sz w:val="18"/>
                <w:szCs w:val="18"/>
                <w:b w:val="1"/>
                <w:bCs w:val="1"/>
                <w:color w:val="auto"/>
                <w:w w:val="93"/>
              </w:rPr>
              <w:t>except for average available lodges/villages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rooms and RevPAR)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1,041,104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1,108,875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259,456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352,929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181,876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244,721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428,982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494,193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291,694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314,047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804,201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823,893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Average available lodge/villages rooms</w:t>
            </w:r>
          </w:p>
        </w:tc>
        <w:tc>
          <w:tcPr>
            <w:tcW w:w="1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20,466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RevPAR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2,127,050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2,132,925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335,171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358,316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80" w:type="dxa"/>
            <w:vAlign w:val="bottom"/>
          </w:tcPr>
          <w:p>
            <w:pPr>
              <w:spacing w:after="0"/>
              <w:rPr>
                <w:sz w:val="20"/>
                <w:szCs w:val="20"/>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123,497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right="40" w:hanging="332"/>
        <w:spacing w:after="0" w:line="270" w:lineRule="auto"/>
        <w:tabs>
          <w:tab w:leader="none" w:pos="34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term EBITDA as defined consists of net income plus net interest expense,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83" w:name="page284"/>
    <w:bookmarkEnd w:id="283"/>
    <w:p>
      <w:pPr>
        <w:ind w:left="332"/>
        <w:spacing w:after="0"/>
        <w:rPr>
          <w:sz w:val="20"/>
          <w:szCs w:val="20"/>
          <w:color w:val="auto"/>
        </w:rPr>
      </w:pPr>
      <w:r>
        <w:rPr>
          <w:rFonts w:ascii="Arial" w:cs="Arial" w:eastAsia="Arial" w:hAnsi="Arial"/>
          <w:sz w:val="18"/>
          <w:szCs w:val="18"/>
          <w:color w:val="auto"/>
        </w:rPr>
        <w:t>The following table reconciles EBITDA as defined with our net income, as derived from our financial information (in thousands):</w:t>
      </w:r>
    </w:p>
    <w:p>
      <w:pPr>
        <w:spacing w:after="0" w:line="221" w:lineRule="exact"/>
        <w:rPr>
          <w:sz w:val="20"/>
          <w:szCs w:val="20"/>
          <w:color w:val="auto"/>
        </w:rPr>
      </w:pPr>
    </w:p>
    <w:tbl>
      <w:tblPr>
        <w:tblLayout w:type="fixed"/>
        <w:tblInd w:w="11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8"/>
                <w:szCs w:val="18"/>
                <w:b w:val="1"/>
                <w:bCs w:val="1"/>
                <w:color w:val="auto"/>
                <w:w w:val="98"/>
              </w:rPr>
              <w:t>For the year ended December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Accommodations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of Oil States International, Inc.</w:t>
            </w:r>
          </w:p>
        </w:tc>
        <w:tc>
          <w:tcPr>
            <w:tcW w:w="140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181,876</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62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167,213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139,047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84,266</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as defined</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428,982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494,193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32" w:hanging="332"/>
        <w:spacing w:after="0" w:line="277" w:lineRule="auto"/>
        <w:tabs>
          <w:tab w:leader="none" w:pos="3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RevPAR is defined as lodge/village revenue divided by the product of (a) average available rooms and (b) days in the period. An available room is defined as a calendar day during which the room is available for occupancy.</w:t>
      </w:r>
    </w:p>
    <w:p>
      <w:pPr>
        <w:spacing w:after="0" w:line="200" w:lineRule="exact"/>
        <w:rPr>
          <w:sz w:val="20"/>
          <w:szCs w:val="20"/>
          <w:color w:val="auto"/>
        </w:rPr>
      </w:pPr>
    </w:p>
    <w:p>
      <w:pPr>
        <w:spacing w:after="0" w:line="214" w:lineRule="exact"/>
        <w:rPr>
          <w:sz w:val="20"/>
          <w:szCs w:val="20"/>
          <w:color w:val="auto"/>
        </w:rPr>
      </w:pPr>
    </w:p>
    <w:p>
      <w:pPr>
        <w:jc w:val="center"/>
        <w:ind w:right="-5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72"/>
          </w:cols>
          <w:pgMar w:left="248" w:top="584" w:right="77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i w:val="1"/>
          <w:iCs w:val="1"/>
          <w:color w:val="auto"/>
        </w:rPr>
        <w:t>You should carefully consider the information included in this information statement, including the matters addressed under “Forward-Looking Statements,” and the following risks.</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customer expenditure levels will adversely affect our results of operations.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182" w:lineRule="exact"/>
        <w:rPr>
          <w:sz w:val="20"/>
          <w:szCs w:val="20"/>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level of demand, particularly from China, for coal and other natural resources produced in Australia;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development;</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and coal, refining capacity and shifts in end-customer preferences toward fuel efficiency and the use of natural gas;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1" w:right="259" w:bottom="1440" w:gutter="0" w:footer="0" w:header="0"/>
        </w:sectPr>
      </w:pPr>
    </w:p>
    <w:bookmarkStart w:id="285" w:name="page286"/>
    <w:bookmarkEnd w:id="285"/>
    <w:p>
      <w:pPr>
        <w:ind w:right="320"/>
        <w:spacing w:after="0" w:line="308"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Exchange rate fluctuations could adversely affect our U.S. reported results of operations and financial position and could impact our ability to pay dividends.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For the year ended December 31, 2013, 93% of our revenues originated from subsidiaries outside of the U.S. and were denominated in the Canadian dollar and the Australian dollar. As a result, a material decrease in the value of these currencies relative to the U.S. dollar has had, and may have in the future,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flows into U.S. dollars in order to pay our dividends.</w:t>
      </w:r>
    </w:p>
    <w:p>
      <w:pPr>
        <w:spacing w:after="0" w:line="18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could adversely affect our business.</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 States.</w:t>
      </w:r>
    </w:p>
    <w:p>
      <w:pPr>
        <w:spacing w:after="0" w:line="248"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A significant portion of our revenue is attributable to operations in Canada and Australia. These activities accounted for over 90% of our consolidated revenue in the year ended December 31, 2013. Risks associated with our operations in Canada and Australia include, but are not limited to:</w:t>
      </w:r>
    </w:p>
    <w:p>
      <w:pPr>
        <w:spacing w:after="0" w:line="124" w:lineRule="exact"/>
        <w:rPr>
          <w:sz w:val="20"/>
          <w:szCs w:val="20"/>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foreign taxation;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inability to repatriate earnings or capital in a tax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changing foreign and domestic monetary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 of our major Canadian lodges are located on land subject to leases; if we are unable to renew a lease, we could be materially and adversely affected.</w:t>
      </w:r>
    </w:p>
    <w:p>
      <w:pPr>
        <w:spacing w:after="0" w:line="26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2026 unless extended. We can provide no assurances that we will be able to renew our leases upon expiration on similar terms, or at all. If we are unable to renew leases on similar terms, it may have an adverse effect on our business. In addition, if we were to lose the right to use a property due to non-renewal of the lease, we would be unable to derive income from such property, which could materially and adversely affect us.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necessary in the future in order to fund dividends, allow for U.S. expansion or to repay debt.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2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70" w:lineRule="exact"/>
        <w:rPr>
          <w:sz w:val="20"/>
          <w:szCs w:val="20"/>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domestic and international pricing and demand for the natural resource being produced at a given project (or proposed project);</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water or food quality or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25" w:lineRule="exact"/>
        <w:rPr>
          <w:rFonts w:ascii="Arial" w:cs="Arial" w:eastAsia="Arial" w:hAnsi="Arial"/>
          <w:sz w:val="18"/>
          <w:szCs w:val="18"/>
          <w:color w:val="auto"/>
        </w:rPr>
      </w:pPr>
    </w:p>
    <w:p>
      <w:pPr>
        <w:ind w:left="660" w:right="160" w:hanging="328"/>
        <w:spacing w:after="0" w:line="286" w:lineRule="auto"/>
        <w:tabs>
          <w:tab w:leader="none" w:pos="6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9" w:name="page290"/>
    <w:bookmarkEnd w:id="289"/>
    <w:p>
      <w:pPr>
        <w:ind w:right="14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9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land banking strategy is focused on investing early in land in order to gain a strategic, first-mover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188" w:lineRule="exact"/>
        <w:rPr>
          <w:sz w:val="20"/>
          <w:szCs w:val="20"/>
          <w:color w:val="auto"/>
        </w:rPr>
      </w:pPr>
    </w:p>
    <w:p>
      <w:pPr>
        <w:ind w:left="660" w:hanging="328"/>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regions in which we invest may not develop adequate customer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90" w:name="page291"/>
    <w:bookmarkEnd w:id="290"/>
    <w:p>
      <w:pPr>
        <w:ind w:left="660" w:hanging="328"/>
        <w:spacing w:after="0"/>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70" w:lineRule="exact"/>
        <w:rPr>
          <w:sz w:val="20"/>
          <w:szCs w:val="20"/>
          <w:color w:val="auto"/>
        </w:rPr>
      </w:pPr>
    </w:p>
    <w:p>
      <w:pPr>
        <w:ind w:left="660" w:hanging="328"/>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81" w:lineRule="exact"/>
        <w:rPr>
          <w:sz w:val="20"/>
          <w:szCs w:val="20"/>
          <w:color w:val="auto"/>
        </w:rPr>
      </w:pPr>
    </w:p>
    <w:p>
      <w:pPr>
        <w:ind w:left="660" w:hanging="328"/>
        <w:spacing w:after="0"/>
        <w:tabs>
          <w:tab w:leader="none" w:pos="66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4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1" w:name="page292"/>
    <w:bookmarkEnd w:id="291"/>
    <w:p>
      <w:pPr>
        <w:jc w:val="both"/>
        <w:ind w:left="660" w:right="160" w:hanging="328"/>
        <w:spacing w:after="0" w:line="264"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objections aired by aboriginal or community interest, environment and/or neighborhood groups which may cause delays in the granting or approvals and/or the overall progress of a project;</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our business and a severe prolonged downturn could negatively affect the value of our goodwill.</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 of December 31, 2013, goodwill represented approximately 12%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58" w:lineRule="exact"/>
        <w:rPr>
          <w:sz w:val="20"/>
          <w:szCs w:val="20"/>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global economic conditions deteriorate;</w:t>
      </w:r>
    </w:p>
    <w:p>
      <w:pPr>
        <w:spacing w:after="0" w:line="225"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292" w:name="page293"/>
    <w:bookmarkEnd w:id="292"/>
    <w:p>
      <w:pPr>
        <w:ind w:right="16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87" w:lineRule="exact"/>
        <w:rPr>
          <w:sz w:val="20"/>
          <w:szCs w:val="20"/>
          <w:color w:val="auto"/>
        </w:r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25"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87" w:lineRule="exact"/>
        <w:rPr>
          <w:sz w:val="20"/>
          <w:szCs w:val="20"/>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3" w:name="page294"/>
    <w:bookmarkEnd w:id="293"/>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distribution. The specifications and insured limits under those policies, however, may be insufficient for such claims. We also face the following other risks related to our insurance coverage:</w:t>
      </w:r>
    </w:p>
    <w:p>
      <w:pPr>
        <w:spacing w:after="0" w:line="178" w:lineRule="exact"/>
        <w:rPr>
          <w:sz w:val="20"/>
          <w:szCs w:val="20"/>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assets.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81"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2013, we were party to collective bargaining agreements covering 1,823 employees in Canada and 543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our separation from Oil States.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not realize the benefits that we anticipate from our separation from Oil States. These benefits include the following:</w:t>
      </w:r>
    </w:p>
    <w:p>
      <w:pPr>
        <w:spacing w:after="0" w:line="225" w:lineRule="exact"/>
        <w:rPr>
          <w:sz w:val="20"/>
          <w:szCs w:val="20"/>
          <w:color w:val="auto"/>
        </w:rPr>
      </w:pPr>
    </w:p>
    <w:p>
      <w:pPr>
        <w:ind w:left="660" w:right="600" w:hanging="328"/>
        <w:spacing w:after="0" w:line="277" w:lineRule="auto"/>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enhancing corporate growth and efficiency by enabling each management team to focus its attention on the development and execution of its respective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improving access to capital to fund internal and external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enhancing Civeo’s market recognition with investors because of more focused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establishing an acquisition currency for Civeo;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enhancing our ability to attract and retain key employees.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value of Oil States and Civeo shares after the spin-off may not equal or exceed the value of Oil States shares prior to the spin-off.</w:t>
      </w:r>
    </w:p>
    <w:p>
      <w:pPr>
        <w:spacing w:after="0" w:line="2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After the spin-off, Oil States’ common stock will continue to be listed and traded on the NYSE under the symbol “OIS”. We have applied to list our common stock authorized on the NYSE under the symbol “CVEO”. We cannot assure you that the combined trading prices of Oil States common stock and Civeo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Civeo common stock trades may fluctuate significantly.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for our common stock to decline.</w:t>
      </w:r>
    </w:p>
    <w:p>
      <w:pPr>
        <w:spacing w:after="0" w:line="2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expect that we will have an aggregate of approximately 106,109,322 shares of our common stock outstanding, based on the number of shares of Oil States common stock expected to be outstanding as of the record date.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 144. We estimate that our directors and executive officers, who may be considered “affiliates” for purposes of Rule 144, will beneficially own approximately 756,731 shares of our common stock immediately following the distribution.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1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Because significant amounts of our common stock are currently held by oilfield services and other stock indices there is the possibility that our shareholder base will change following the spin-off. If significant amounts of our common stock are sold in the open market, any such shares sold may not be met with offsetting new demand.</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6" w:name="page297"/>
    <w:bookmarkEnd w:id="296"/>
    <w:p>
      <w:pPr>
        <w:ind w:right="240"/>
        <w:spacing w:after="0" w:line="277" w:lineRule="auto"/>
        <w:rPr>
          <w:sz w:val="20"/>
          <w:szCs w:val="20"/>
          <w:color w:val="auto"/>
        </w:rPr>
      </w:pPr>
      <w:r>
        <w:rPr>
          <w:rFonts w:ascii="Arial" w:cs="Arial" w:eastAsia="Arial" w:hAnsi="Arial"/>
          <w:sz w:val="18"/>
          <w:szCs w:val="18"/>
          <w:b w:val="1"/>
          <w:bCs w:val="1"/>
          <w:i w:val="1"/>
          <w:iCs w:val="1"/>
          <w:color w:val="auto"/>
        </w:rPr>
        <w:t>Our costs will increase as a result of operating as a public company, and our management will be required to devote substantial time to complying with public company regulations.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3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7" w:name="page298"/>
    <w:bookmarkEnd w:id="297"/>
    <w:p>
      <w:pPr>
        <w:ind w:right="400"/>
        <w:spacing w:after="0" w:line="277" w:lineRule="auto"/>
        <w:rPr>
          <w:sz w:val="20"/>
          <w:szCs w:val="20"/>
          <w:color w:val="auto"/>
        </w:rPr>
      </w:pPr>
      <w:r>
        <w:rPr>
          <w:rFonts w:ascii="Arial" w:cs="Arial" w:eastAsia="Arial" w:hAnsi="Arial"/>
          <w:sz w:val="18"/>
          <w:szCs w:val="18"/>
          <w:b w:val="1"/>
          <w:bCs w:val="1"/>
          <w:i w:val="1"/>
          <w:iCs w:val="1"/>
          <w:color w:val="auto"/>
        </w:rPr>
        <w:t>We may increase our debt or raise additional capital in the future, which could affect our financial condition, may decrease our profitability or could dilute our shareholders.</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a period of two years after the spin-off.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spin-off. See “Arrangements Between Oil States and Our Company—Tax Sharing Agreement.”</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247" w:lineRule="exact"/>
        <w:rPr>
          <w:sz w:val="20"/>
          <w:szCs w:val="20"/>
          <w:color w:val="auto"/>
        </w:rPr>
      </w:pPr>
    </w:p>
    <w:p>
      <w:pPr>
        <w:ind w:right="400"/>
        <w:spacing w:after="0" w:line="324" w:lineRule="auto"/>
        <w:rPr>
          <w:sz w:val="20"/>
          <w:szCs w:val="20"/>
          <w:color w:val="auto"/>
        </w:rPr>
      </w:pPr>
      <w:r>
        <w:rPr>
          <w:rFonts w:ascii="Arial" w:cs="Arial" w:eastAsia="Arial" w:hAnsi="Arial"/>
          <w:sz w:val="18"/>
          <w:szCs w:val="18"/>
          <w:b w:val="1"/>
          <w:bCs w:val="1"/>
          <w:i w:val="1"/>
          <w:iCs w:val="1"/>
          <w:color w:val="auto"/>
        </w:rPr>
        <w:t>The transaction agreements limit our ability to take certain actions, including certain strategic transactions, if we do not remove Oil States as a party under certain of our contracts.</w:t>
      </w:r>
    </w:p>
    <w:p>
      <w:pPr>
        <w:spacing w:after="0" w:line="19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Oil States is a party to certain of our contracts. Pursuant to the separation and distribution agreement, we have agreed to use our commercially reasonable efforts to remove Oil States as party to these contracts. In the event that we are unable to remove Oil States as a party, pursuant to the indemnification and release agreement,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such person or entity has agreed to indemnify Oil States for any liability under such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8" w:name="page299"/>
    <w:bookmarkEnd w:id="298"/>
    <w:p>
      <w:pPr>
        <w:ind w:right="20" w:firstLine="324"/>
        <w:spacing w:after="0" w:line="257" w:lineRule="auto"/>
        <w:rPr>
          <w:sz w:val="20"/>
          <w:szCs w:val="20"/>
          <w:color w:val="auto"/>
        </w:rPr>
      </w:pPr>
      <w:r>
        <w:rPr>
          <w:rFonts w:ascii="Arial" w:cs="Arial" w:eastAsia="Arial" w:hAnsi="Arial"/>
          <w:sz w:val="18"/>
          <w:szCs w:val="18"/>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8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The spin-off is conditioned on Oil States’ receipt of an opinion of its outside tax advisor reasonably acceptable to the Oil States board of directors regarding certain aspects of the spin-off transaction on which the IRS will not rule. Oil States will receive an opinion from its outside tax advisor to such effect.</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Oil States has received a private letter ruling from the IRS regarding certain aspects of the spin-off transaction. The private letter ruling relies, and the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 States and Our Company—Tax Sharing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193"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Following the spin-off, we expect our board of directors to consider converting us to a REIT. If we qualify as a REIT, compliance with REIT requirements could have adverse consequences to us.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expect our board of directors to consider converting us to a real estate investment trust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 maximize profits. For example, we may be required to pay distributions to shareholders at disadvantageous times or when we do not have funds readily available for distribution.</w:t>
      </w:r>
    </w:p>
    <w:p>
      <w:pPr>
        <w:spacing w:after="0" w:line="193"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qualify as a REIT.</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Following the spin-off, we expect our board of directors to consider the viability and advisability of an election by Civeo to qualify and be taxed as a REIT for U.S. federal income tax purposes.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 lose our REIT status, we will not receive the tax and other benefits associated with qualifying as a REIT.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0" w:name="page301"/>
    <w:bookmarkEnd w:id="300"/>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 Separation and Distribution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market currently exists for our common stock. We cannot assure you that an active trading market will develop for our common stock.</w:t>
      </w:r>
    </w:p>
    <w:p>
      <w:pPr>
        <w:spacing w:after="0" w:line="23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market price of our stock may be influenced by many factors, some of which are beyond our control, including those described above in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Business” and the following:</w:t>
      </w:r>
    </w:p>
    <w:p>
      <w:pPr>
        <w:spacing w:after="0" w:line="211" w:lineRule="exact"/>
        <w:rPr>
          <w:sz w:val="20"/>
          <w:szCs w:val="20"/>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 or changes in financial estimates by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1" w:name="page302"/>
    <w:bookmarkEnd w:id="301"/>
    <w:p>
      <w:pPr>
        <w:ind w:left="660" w:hanging="328"/>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Upon completion of the spin-off, we expect that we will have approximately 106,109,322 million shares of common stock outstanding, based on the number of shares of Oil States common stock expected to be outstanding as of the record date.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19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“Management’s Discussion and Analysis of Financial Condition and Results of Operations—Tax Matters.” There can be no assurance that we will pay a dividend in the future or continue to pay any dividend if we do commence paying dividends.</w:t>
      </w:r>
    </w:p>
    <w:p>
      <w:pPr>
        <w:spacing w:after="0" w:line="18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Provisions contained in our amended and restated certificate of incorporation and amended and restated bylaws could discourage a takeover attempt, which may reduce or eliminate the likelihood of a change of control transaction and, therefore, the ability of our stockholders to sell their shares for a premium.</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Provisions contained in our amended and restated certificate of incorporation and amended and restated bylaws provide for a classified board of directors, limitations on the removal of directors, limitations on stockholder proposals at meetings of stockholders and limitations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See “Description of Capital Stock—Anti-Takeover Effects of Provisions of our Amended and Restated Certificate of Incorporation, our Amended and Restated Bylaws and Delaware Law.”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2" w:name="page303"/>
    <w:bookmarkEnd w:id="302"/>
    <w:p>
      <w:pPr>
        <w:ind w:right="3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328"/>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3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(the “DGCL”), our amended and restated certificate of incorporation or our amended and restated bylaws, or</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at least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03" w:name="page304"/>
    <w:bookmarkEnd w:id="303"/>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information in this information statement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87" w:lineRule="exact"/>
        <w:rPr>
          <w:sz w:val="20"/>
          <w:szCs w:val="20"/>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and other minerals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drilling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recovery from the recent recession;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other factors identified under the caption “Risk Factors” beginning on page 19 of this information statement.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1" w:right="259" w:bottom="1440" w:gutter="0" w:footer="0" w:header="0"/>
        </w:sectPr>
      </w:pPr>
    </w:p>
    <w:bookmarkStart w:id="304" w:name="page305"/>
    <w:bookmarkEnd w:id="304"/>
    <w:p>
      <w:pPr>
        <w:jc w:val="center"/>
        <w:ind w:right="-3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w:t>
      </w:r>
    </w:p>
    <w:p>
      <w:pPr>
        <w:spacing w:after="0" w:line="265" w:lineRule="auto"/>
        <w:rPr>
          <w:sz w:val="20"/>
          <w:szCs w:val="20"/>
          <w:color w:val="auto"/>
        </w:rPr>
      </w:pPr>
      <w:r>
        <w:rPr>
          <w:rFonts w:ascii="Arial" w:cs="Arial" w:eastAsia="Arial" w:hAnsi="Arial"/>
          <w:sz w:val="17"/>
          <w:szCs w:val="17"/>
          <w:color w:val="auto"/>
        </w:rPr>
        <w:t>standalone, publicly traded company. On , 2014, Oil States announced that its board of directors had unanimously approved the spin-off and the distribution of all of the stock of the new company to Oil States’ shareholders as of the record date of , 2014. This authorization is subject to final</w:t>
      </w:r>
    </w:p>
    <w:p>
      <w:pPr>
        <w:ind w:right="260"/>
        <w:spacing w:after="0" w:line="261" w:lineRule="auto"/>
        <w:rPr>
          <w:sz w:val="20"/>
          <w:szCs w:val="20"/>
          <w:color w:val="auto"/>
        </w:rPr>
      </w:pPr>
      <w:r>
        <w:rPr>
          <w:rFonts w:ascii="Arial" w:cs="Arial" w:eastAsia="Arial" w:hAnsi="Arial"/>
          <w:sz w:val="18"/>
          <w:szCs w:val="18"/>
          <w:color w:val="auto"/>
        </w:rPr>
        <w:t>approval by the Oil States board of directors, which approval is subject to, among other things, the conditions described below under “—Conditions to the Spin-Off.”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complete the spin-off, Oil States will, following the restructuring transactions described below, distribute to its stockholders all of the shares of our</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common stock. The distribution will occur on the distribution date, which is , 2014. Each holder of Oil States common stock will receive two shares of our common stock for each share of Oil States common stock held by such stockholder at the close of business on , 2014, the record date. After completion of the spin-off, the accommodations business will be an independent publicly traded company.</w:t>
      </w:r>
    </w:p>
    <w:p>
      <w:pPr>
        <w:spacing w:after="0" w:line="19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the Spin-Off</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Civeo’s market recognition with investors because of more focused operations; (4) establishing an acquisition currency for Civeo and (5) enhancing our ability to attract and retain key employees.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7"/>
          <w:szCs w:val="17"/>
          <w:color w:val="auto"/>
        </w:rPr>
        <w:t>. Our accommodations business and the oilfield services business of Oil States have different financial and operating characteristics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separate public companies, Oil States and we will be able to provide incentive compensation including stock related compensation, to key management and employees that is more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05" w:name="page306"/>
    <w:bookmarkEnd w:id="305"/>
    <w:p>
      <w:pPr>
        <w:ind w:right="60" w:firstLine="324"/>
        <w:spacing w:after="0" w:line="289" w:lineRule="auto"/>
        <w:rPr>
          <w:sz w:val="20"/>
          <w:szCs w:val="20"/>
          <w:color w:val="auto"/>
        </w:rPr>
      </w:pPr>
      <w:r>
        <w:rPr>
          <w:rFonts w:ascii="Arial" w:cs="Arial" w:eastAsia="Arial" w:hAnsi="Arial"/>
          <w:sz w:val="16"/>
          <w:szCs w:val="16"/>
          <w:i w:val="1"/>
          <w:iCs w:val="1"/>
          <w:color w:val="auto"/>
        </w:rPr>
        <w:t>Improving access to capital to fund internal and external expansion</w:t>
      </w:r>
      <w:r>
        <w:rPr>
          <w:rFonts w:ascii="Arial" w:cs="Arial" w:eastAsia="Arial" w:hAnsi="Arial"/>
          <w:sz w:val="16"/>
          <w:szCs w:val="16"/>
          <w:color w:val="auto"/>
        </w:rPr>
        <w:t>. As a separate public company, we will no longer need to compete with Oil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businesses for capital resources. 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Enhancing our market recognition with investors because of more focused operations</w:t>
      </w:r>
      <w:r>
        <w:rPr>
          <w:rFonts w:ascii="Arial" w:cs="Arial" w:eastAsia="Arial" w:hAnsi="Arial"/>
          <w:sz w:val="16"/>
          <w:szCs w:val="16"/>
          <w:color w:val="auto"/>
        </w:rPr>
        <w:t>. Oil States’ management and financial advisors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characteristics of the 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Civeo’s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Establishing an acquisition currency for Civeo</w:t>
      </w:r>
      <w:r>
        <w:rPr>
          <w:rFonts w:ascii="Arial" w:cs="Arial" w:eastAsia="Arial" w:hAnsi="Arial"/>
          <w:sz w:val="16"/>
          <w:szCs w:val="16"/>
          <w:color w:val="auto"/>
        </w:rPr>
        <w:t>. As a standalone accommodations company, we will be better positioned to use our equity securities as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in pursuing merger and 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for a period of two years. This limitation is necessary in order to maintain the tax-free treatment of our separation from Oil States.</w:t>
      </w:r>
    </w:p>
    <w:p>
      <w:pPr>
        <w:spacing w:after="0" w:line="15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Enhancing our ability to attract and retain key employees</w:t>
      </w:r>
      <w:r>
        <w:rPr>
          <w:rFonts w:ascii="Arial" w:cs="Arial" w:eastAsia="Arial" w:hAnsi="Arial"/>
          <w:sz w:val="18"/>
          <w:szCs w:val="18"/>
          <w:color w:val="auto"/>
        </w:rPr>
        <w:t>. We believe that separating the oilfield services business from the accommodations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improve both businesses ability to attract key employees with specialized skill sets. As a result of the spin-off, Oil States and Civeo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Civeo will be better able to attract management from the hospitality, real estate and business services sectors as a separate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part of the spin-off, we will consummate certain restructuring transactions as follows:</w:t>
      </w:r>
    </w:p>
    <w:p>
      <w:pPr>
        <w:spacing w:after="0" w:line="225" w:lineRule="exact"/>
        <w:rPr>
          <w:sz w:val="20"/>
          <w:szCs w:val="20"/>
          <w:color w:val="auto"/>
        </w:rPr>
      </w:pPr>
    </w:p>
    <w:p>
      <w:pPr>
        <w:ind w:left="660" w:right="20" w:hanging="328"/>
        <w:spacing w:after="0" w:line="255" w:lineRule="auto"/>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 1.75%, in each case based on a ratio of our total leverage to EBITDA (as defined in the credit facilities). See “Description of Material Indebtedness”;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6" w:name="page307"/>
    <w:bookmarkEnd w:id="306"/>
    <w:p>
      <w:pPr>
        <w:ind w:left="660" w:right="120" w:hanging="328"/>
        <w:spacing w:after="0" w:line="308"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Oil States will contribute and transfer to us the assets and liabilities associated with our business in exchange for approximately 106,109,322 shares of our common stock, based on the number of shares of Oil States common stock expected to be outstanding as of the record date;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We will pay a special dividend in the range of $650.0 million to $850.0 million to Oil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Our special dividend will generally settle the intercompany account balances and debt between us and Oil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Manner of Effecting the Spin-Off</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terms and conditions relating to the spin-off will be set forth in a separation and distribution agreement between us and Oil States. Under the</w:t>
      </w:r>
    </w:p>
    <w:p>
      <w:pPr>
        <w:spacing w:after="0" w:line="4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separation and distribution agreement, the distribution will be effective as of 11:59 p.m., Eastern Time, on , 2014, the distribution date. As a result of the spin-off, on the distribution date, each holder of Oil States common stock will receive two shares of our common stock for each share of Oil States common stock owned. In order to receive shares of our common stock in the spin-off, an Oil States stockholder must be stockholder at the close of business</w:t>
      </w:r>
    </w:p>
    <w:p>
      <w:pPr>
        <w:spacing w:after="0" w:line="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of the NYSE on</w:t>
      </w:r>
      <w:r>
        <w:rPr>
          <w:sz w:val="20"/>
          <w:szCs w:val="20"/>
          <w:color w:val="auto"/>
        </w:rPr>
        <w:tab/>
      </w:r>
      <w:r>
        <w:rPr>
          <w:rFonts w:ascii="Arial" w:cs="Arial" w:eastAsia="Arial" w:hAnsi="Arial"/>
          <w:sz w:val="15"/>
          <w:szCs w:val="15"/>
          <w:color w:val="auto"/>
        </w:rPr>
        <w:t>, 2014, the record date.</w:t>
      </w:r>
    </w:p>
    <w:p>
      <w:pPr>
        <w:spacing w:after="0" w:line="21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Following the spin-off, stockholders whose shares are held in book-entry form may request that their shares of our common stock be transferred to a brokerage or other account at any time.</w:t>
      </w:r>
    </w:p>
    <w:p>
      <w:pPr>
        <w:spacing w:after="0" w:line="169"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Federal Income Tax Consequences of the Spin-Off</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47" w:lineRule="exact"/>
        <w:rPr>
          <w:sz w:val="20"/>
          <w:szCs w:val="20"/>
          <w:color w:val="auto"/>
        </w:rPr>
      </w:pPr>
    </w:p>
    <w:p>
      <w:pPr>
        <w:ind w:left="660" w:hanging="328"/>
        <w:spacing w:after="0"/>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07" w:name="page308"/>
    <w:bookmarkEnd w:id="307"/>
    <w:p>
      <w:pPr>
        <w:ind w:left="660" w:right="220" w:hanging="328"/>
        <w:spacing w:after="0" w:line="264"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non-U.S. holder is a beneficial owner (other than an entity treated as a partnership or other pass-through entity for U.S. federal income tax purposes) of shares of Oil States common stock who is not a U.S. holder.</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47" w:lineRule="exact"/>
        <w:rPr>
          <w:sz w:val="20"/>
          <w:szCs w:val="20"/>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or grantor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holders who acquired our common stock pursuant to the exercise of employee stock options or otherwise as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holders who are subject to alternative minimum tax consequences;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in such entities.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2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Tax-free Status of the Distribution</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Oil States (i) has received a private letter ruling substantially to the effect that, among other things, the distribution will qualify under Section 355 of the Code as a tax-free distribution and (ii) will receive an opinion from its tax counsel regarding certain aspects of the spin-off transaction on which the IRS will not rule. Because the distribution will qualify as a tax-free distribution,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8" w:name="page309"/>
    <w:bookmarkEnd w:id="308"/>
    <w:p>
      <w:pPr>
        <w:ind w:left="660" w:right="280" w:hanging="328"/>
        <w:spacing w:after="0" w:line="277"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Oil States stockholders upon their receipt of shares of our common stock in the distribution;</w:t>
      </w:r>
    </w:p>
    <w:p>
      <w:pPr>
        <w:spacing w:after="0" w:line="170" w:lineRule="exact"/>
        <w:rPr>
          <w:rFonts w:ascii="Arial" w:cs="Arial" w:eastAsia="Arial" w:hAnsi="Arial"/>
          <w:sz w:val="18"/>
          <w:szCs w:val="18"/>
          <w:color w:val="auto"/>
        </w:rPr>
      </w:pPr>
    </w:p>
    <w:p>
      <w:pPr>
        <w:ind w:left="660" w:right="440" w:hanging="328"/>
        <w:spacing w:after="0" w:line="264"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gain or loss will be recognized by Oil States upon the distribution of our common stock.</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private letter ruling relies, and the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though the distribution will otherwise qualify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Civeo Stock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discussion above under “—Tax-Free Status of the Distribution” applies to U.S. holders if the distribution qualifies as tax-free under Section 355 of the Code.</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If the distribution of shares of our common stock were determined not to qualify under Section 355, then each U.S. holder of Oil States receiving shares of our common stock in the distribution generally would be treated as receiving a distribution in an amount equal to the fair market value of such shares of our common stock. This generally would result in the following consequences to the U.S. holder:</w:t>
      </w:r>
    </w:p>
    <w:p>
      <w:pPr>
        <w:spacing w:after="0" w:line="181" w:lineRule="exact"/>
        <w:rPr>
          <w:sz w:val="20"/>
          <w:szCs w:val="20"/>
          <w:color w:val="auto"/>
        </w:rPr>
      </w:pPr>
    </w:p>
    <w:p>
      <w:pPr>
        <w:ind w:left="660" w:hanging="328"/>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first, a taxable dividend to the extent of such U.S. holder’s pro rata share of Oil States’ current and accumulated earnings and profits;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second, any amount that exceeds Oil States’ earnings and profits would be treated as a nontaxable return of capital to the extent of such U.S. holder’s tax basis in its shares of Oil States’ common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third, any remaining amount would be taxed as capital gain.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9" w:name="page310"/>
    <w:bookmarkEnd w:id="309"/>
    <w:p>
      <w:pPr>
        <w:ind w:right="260" w:firstLine="324"/>
        <w:spacing w:after="0" w:line="264" w:lineRule="auto"/>
        <w:rPr>
          <w:sz w:val="20"/>
          <w:szCs w:val="20"/>
          <w:color w:val="auto"/>
        </w:rPr>
      </w:pPr>
      <w:r>
        <w:rPr>
          <w:rFonts w:ascii="Arial" w:cs="Arial" w:eastAsia="Arial" w:hAnsi="Arial"/>
          <w:sz w:val="18"/>
          <w:szCs w:val="18"/>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Company—Tax Sharing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U.S. holder that receives a taxable distribution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Non-U.S.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Civeo Stock</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distribution will qualify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 established securities market for U.S. federal income tax purposes.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do not believe that Oil States is or has been a USRPHC at any time during the five year period ending on the distribution date. Further, we do not expect to be a USRPHC immediately after the distribution. However, because the determination of whether we or Oil States are a USRPHC turns on the relative fair market value of Oil States and our United States real property interests and other assets, and because the USRPHC rules are complex, we can give no assurance that Oil States was not a USRPHC prior to the distribution date or that we will not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16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distribution was determined not to qualify as a tax-free distribution for U.S. federal income tax purposes, then each non-U.S. holder receiving shares of our common stock in the distribution would be subject to U.S. federal income tax at a rate of 30 percent of the gross amount of any such distribution that is treated as a dividend, unless:</w:t>
      </w:r>
    </w:p>
    <w:p>
      <w:pPr>
        <w:spacing w:after="0" w:line="181" w:lineRule="exact"/>
        <w:rPr>
          <w:sz w:val="20"/>
          <w:szCs w:val="20"/>
          <w:color w:val="auto"/>
        </w:rPr>
      </w:pPr>
    </w:p>
    <w:p>
      <w:pPr>
        <w:ind w:right="240" w:firstLine="332"/>
        <w:spacing w:after="0" w:line="277" w:lineRule="auto"/>
        <w:tabs>
          <w:tab w:leader="none" w:pos="75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0" w:name="page311"/>
    <w:bookmarkEnd w:id="310"/>
    <w:p>
      <w:pPr>
        <w:ind w:left="760" w:hanging="428"/>
        <w:spacing w:after="0"/>
        <w:tabs>
          <w:tab w:leader="none" w:pos="7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non-U.S. holder is entitled to a reduced tax rate with respect to dividends pursuant to an applicable income tax treaty.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and generally is not subject to U.S. withholding tax subject to the same exception described above for a nontaxable return of capital.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for Significant Stockholders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In addition, we have agreed to pay 50% of any taxes arising from the spin-off to the extent that the tax is not attributable to the fault of either party. See “Arrangements Between Oil States and Our Company—Tax Sharing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the Spin-Off</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After the spin-off, we will be an independent, publicly owned company. Immediately following the spin-off, we expect to have approximately 23 holders of shares of our common stock and approximately 106,109,322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1" w:name="page312"/>
    <w:bookmarkEnd w:id="311"/>
    <w:p>
      <w:pPr>
        <w:ind w:right="860" w:firstLine="324"/>
        <w:spacing w:after="0" w:line="277" w:lineRule="auto"/>
        <w:rPr>
          <w:sz w:val="20"/>
          <w:szCs w:val="20"/>
          <w:color w:val="auto"/>
        </w:rPr>
      </w:pPr>
      <w:r>
        <w:rPr>
          <w:rFonts w:ascii="Arial" w:cs="Arial" w:eastAsia="Arial" w:hAnsi="Arial"/>
          <w:sz w:val="18"/>
          <w:szCs w:val="18"/>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Trading Prior to the Distribution Date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Following the distribution date, we expect shares of our common stock to be listed on the NYSE under the ticker symbol “CVEO”. We will announce the when-issued ticker symbol when and if it becomes available.</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Treatment of Stock-Based Plans for Current and Former Employees</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connection with the spin-off, Oil States equity and equity-based awards held by current and former Oil States employees and directors will generally remain outstanding with respect to Oil States common stock, and Oil States equity and equity-based awards held by Civeo employees will cease to remain outstanding with respect to Oil States common stock and will be converted into awards with respect to Civeo common stock. Specifically, Oil States and Civeo expect to provide for the following to occur with respect to outstanding Oil States equity and equity-based awards: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Restricted shares of Oil States common stock held by current employees of Civeo will be cancelled upon the spin-off, with the holder thereof entitled to receive a number of time-vested restricted shares of Civeo common stock determined in a manner to preserve the pre spin-off value of the prior Oil States restricted shares based upon the relative stock prices of Civeo and Oil States.</w:t>
      </w:r>
    </w:p>
    <w:p>
      <w:pPr>
        <w:spacing w:after="0" w:line="235" w:lineRule="exact"/>
        <w:rPr>
          <w:rFonts w:ascii="Arial" w:cs="Arial" w:eastAsia="Arial" w:hAnsi="Arial"/>
          <w:sz w:val="18"/>
          <w:szCs w:val="18"/>
          <w:color w:val="auto"/>
        </w:rPr>
      </w:pPr>
    </w:p>
    <w:p>
      <w:pPr>
        <w:ind w:left="660" w:right="100" w:hanging="328"/>
        <w:spacing w:after="0" w:line="276" w:lineRule="auto"/>
        <w:tabs>
          <w:tab w:leader="none" w:pos="6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All outstanding Oil States options and other time-vested equity and equity-based awards (other than restricted shares) held by Civeo employees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or a change of control of Civeo rather than Oil States.</w:t>
      </w:r>
    </w:p>
    <w:p>
      <w:pPr>
        <w:spacing w:after="0" w:line="172" w:lineRule="exact"/>
        <w:rPr>
          <w:rFonts w:ascii="Arial" w:cs="Arial" w:eastAsia="Arial" w:hAnsi="Arial"/>
          <w:sz w:val="17"/>
          <w:szCs w:val="17"/>
          <w:color w:val="auto"/>
        </w:rPr>
      </w:pPr>
    </w:p>
    <w:p>
      <w:pPr>
        <w:ind w:left="660" w:right="100" w:hanging="328"/>
        <w:spacing w:after="0" w:line="302" w:lineRule="auto"/>
        <w:tabs>
          <w:tab w:leader="none" w:pos="6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All outstanding Oil States options, restricted shares and other time-vested equity and equity-based awards held by current or former Oil States employees will be modified upon the completion of the spin-off based upon relative pre- and post-spin-off stock prices of Oil States such that the number of shares and exercise price of such award, as applicable, are adjusted based upon the relative to preserve the value of the award prior to the spin-off. Following the spin-off, such awards will remain subject to the same terms and conditions as prior to the spin-off.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12" w:name="page313"/>
    <w:bookmarkEnd w:id="312"/>
    <w:p>
      <w:pPr>
        <w:ind w:left="660" w:right="40" w:hanging="328"/>
        <w:spacing w:after="0" w:line="255" w:lineRule="auto"/>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Performance-based deferred stock awards held by Civeo employees will be cancelled with the holder thereof entitled to receive an award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Civeo and will not be subject to performance vesting conditions.</w:t>
      </w:r>
    </w:p>
    <w:p>
      <w:pPr>
        <w:spacing w:after="0" w:line="19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Performance-based deferred stock awards held by Oil States employees will be cancelled with the holder thereof entitled to receive an award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Incurrence of Debt</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Upon the closing of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5-year U.S. term loan facility in an amount to be determined up to $775.0 million in favor of Civeo. Amounts outstanding under the credit facilities are expected to bear interest at LIBOR plus a margin of 1.75% to 2.75%, or at a base rate plus a margin of 0.75% to</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1.75%, in each case based on a ratio of our total leverage to EBITDA (as defined in the credit facilities). We anticipate that, upon closing of the spin-off, our U.S. term loan facility will be fully drawn and that we will have no borrowings outstanding under our credit facilities. See “Description of Material Indebtedness” for a more detailed description of these transactions.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Conditions to the Spin-Off</w:t>
            </w:r>
          </w:p>
        </w:tc>
        <w:tc>
          <w:tcPr>
            <w:tcW w:w="5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38"/>
        </w:trPr>
        <w:tc>
          <w:tcPr>
            <w:tcW w:w="6280" w:type="dxa"/>
            <w:vAlign w:val="bottom"/>
            <w:gridSpan w:val="2"/>
          </w:tcPr>
          <w:p>
            <w:pPr>
              <w:ind w:left="340"/>
              <w:spacing w:after="0"/>
              <w:rPr>
                <w:sz w:val="20"/>
                <w:szCs w:val="20"/>
                <w:color w:val="auto"/>
              </w:rPr>
            </w:pPr>
            <w:r>
              <w:rPr>
                <w:rFonts w:ascii="Arial" w:cs="Arial" w:eastAsia="Arial" w:hAnsi="Arial"/>
                <w:sz w:val="18"/>
                <w:szCs w:val="18"/>
                <w:color w:val="auto"/>
                <w:w w:val="95"/>
              </w:rPr>
              <w:t>We expect that the spin-off will be effective as of 11:59 p.m., Eastern Time, on</w:t>
            </w:r>
          </w:p>
        </w:tc>
        <w:tc>
          <w:tcPr>
            <w:tcW w:w="5100" w:type="dxa"/>
            <w:vAlign w:val="bottom"/>
          </w:tcPr>
          <w:p>
            <w:pPr>
              <w:ind w:left="260"/>
              <w:spacing w:after="0"/>
              <w:rPr>
                <w:sz w:val="20"/>
                <w:szCs w:val="20"/>
                <w:color w:val="auto"/>
              </w:rPr>
            </w:pPr>
            <w:r>
              <w:rPr>
                <w:rFonts w:ascii="Arial" w:cs="Arial" w:eastAsia="Arial" w:hAnsi="Arial"/>
                <w:sz w:val="18"/>
                <w:szCs w:val="18"/>
                <w:color w:val="auto"/>
                <w:w w:val="92"/>
              </w:rPr>
              <w:t>, 2014, the distribution date, provided that the following conditions</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shall have been satisfied or waived by Oil States:</w:t>
            </w:r>
          </w:p>
        </w:tc>
        <w:tc>
          <w:tcPr>
            <w:tcW w:w="5100" w:type="dxa"/>
            <w:vAlign w:val="bottom"/>
          </w:tcPr>
          <w:p>
            <w:pPr>
              <w:spacing w:after="0"/>
              <w:rPr>
                <w:sz w:val="20"/>
                <w:szCs w:val="20"/>
                <w:color w:val="auto"/>
              </w:rPr>
            </w:pPr>
          </w:p>
        </w:tc>
      </w:tr>
    </w:tbl>
    <w:p>
      <w:pPr>
        <w:spacing w:after="0" w:line="202" w:lineRule="exact"/>
        <w:rPr>
          <w:sz w:val="20"/>
          <w:szCs w:val="20"/>
          <w:color w:val="auto"/>
        </w:rPr>
      </w:pPr>
    </w:p>
    <w:p>
      <w:pPr>
        <w:ind w:left="660" w:right="180" w:hanging="328"/>
        <w:spacing w:after="0" w:line="264"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181"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Civeo common stock will have been authorized for listing on the NYSE, or another national securities exchange approved by Civeo, subject to official notice of issuance;</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3" w:name="page314"/>
    <w:bookmarkEnd w:id="313"/>
    <w:p>
      <w:pPr>
        <w:ind w:left="660" w:right="20" w:hanging="328"/>
        <w:spacing w:after="0" w:line="277" w:lineRule="auto"/>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order, injunction, decree or regulation issued by any court or agency of competent jurisdiction or other legal restraint or prohibition preventing consummation of the distribution will be in effect;</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distribution will have been obtained and be in full force and effect;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Oil States shall have received the special dividend from Civeo;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majority of the aggregate outstanding principal amount of each series of Oil States 5 1/8% Senior Notes due 2023 and 6 1/8% Senior Notes due 2019 shall have been accepted for payment pursuant to the Oil States tender offers.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8"/>
          <w:szCs w:val="18"/>
          <w:b w:val="1"/>
          <w:bCs w:val="1"/>
          <w:color w:val="auto"/>
        </w:rPr>
        <w:t>TRADING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Our Common Stock</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intend to list our common stock on the NYSE under the ticker symbol “CVEO”. We will announce our when-issued trading symbol when and if it becomes available.</w:t>
      </w:r>
    </w:p>
    <w:p>
      <w:pPr>
        <w:spacing w:after="0" w:line="17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Transferability of Shares of Our Common Stock</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We estimate that our directors and executive officers, who may be considered “affiliates” for purposes of Rule 144, will beneficially own approximately 756,731 shares of our common stock immediately following the distribution. See “Security Ownership of Certain Beneficial Owners and Management” included elsewhere in this information statement for more information. Our affiliates may sell shares of our common stock received in the distribution only:</w:t>
      </w:r>
    </w:p>
    <w:p>
      <w:pPr>
        <w:spacing w:after="0" w:line="192" w:lineRule="exact"/>
        <w:rPr>
          <w:sz w:val="20"/>
          <w:szCs w:val="20"/>
          <w:color w:val="auto"/>
        </w:rPr>
      </w:pPr>
    </w:p>
    <w:p>
      <w:pPr>
        <w:ind w:left="660" w:hanging="328"/>
        <w:spacing w:after="0"/>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5" w:name="page316"/>
    <w:bookmarkEnd w:id="315"/>
    <w:p>
      <w:pPr>
        <w:ind w:firstLine="324"/>
        <w:spacing w:after="0" w:line="264"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181" w:lineRule="exact"/>
        <w:rPr>
          <w:sz w:val="20"/>
          <w:szCs w:val="20"/>
          <w:color w:val="auto"/>
        </w:rPr>
      </w:pPr>
    </w:p>
    <w:p>
      <w:pPr>
        <w:ind w:left="660" w:hanging="328"/>
        <w:spacing w:after="0"/>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1.0% of our common stock then outstanding; or</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NYSE during the four calendar weeks preceding the filing of a notice on Form 144 with respect to the sale.</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Sales may not be made under Rule 144 unless certain information about us is publicly available.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16" w:name="page317"/>
    <w:bookmarkEnd w:id="316"/>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“Description of Material Indebtedness” and “Management’s Discussion and Analysis of Financial Condition and Results of Operations—Tax Matters.”</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35" w:right="319" w:bottom="1440" w:gutter="0" w:footer="0" w:header="0"/>
        </w:sectPr>
      </w:pPr>
    </w:p>
    <w:bookmarkStart w:id="317" w:name="page318"/>
    <w:bookmarkEnd w:id="317"/>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 our historical capitalization as of December 31, 2013, and (ii) our adjusted capitalization assuming the distribution, the incurrence of debt and other matters (as discussed in “The Spin-Off”) were effective as of December 31,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Short-term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to affiliates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to third-parties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 value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Oil States International, Inc. net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Net Investment/Stockholders’ Equity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Actual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As Adjusted</w:t>
            </w:r>
          </w:p>
        </w:tc>
      </w:tr>
      <w:tr>
        <w:trPr>
          <w:trHeight w:val="228"/>
        </w:trPr>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gridSpan w:val="3"/>
          </w:tcPr>
          <w:p>
            <w:pPr>
              <w:spacing w:after="0"/>
              <w:rPr>
                <w:sz w:val="20"/>
                <w:szCs w:val="20"/>
                <w:color w:val="auto"/>
              </w:rPr>
            </w:pPr>
            <w:r>
              <w:rPr>
                <w:rFonts w:ascii="Arial" w:cs="Arial" w:eastAsia="Arial" w:hAnsi="Arial"/>
                <w:sz w:val="18"/>
                <w:szCs w:val="18"/>
                <w:b w:val="1"/>
                <w:bCs w:val="1"/>
                <w:color w:val="auto"/>
              </w:rPr>
              <w:t>in</w:t>
            </w: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60" w:type="dxa"/>
            <w:vAlign w:val="bottom"/>
          </w:tcPr>
          <w:p>
            <w:pPr>
              <w:spacing w:after="0"/>
              <w:rPr>
                <w:sz w:val="19"/>
                <w:szCs w:val="19"/>
                <w:color w:val="auto"/>
              </w:rPr>
            </w:pPr>
          </w:p>
        </w:tc>
      </w:tr>
      <w:tr>
        <w:trPr>
          <w:trHeight w:val="40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60" w:type="dxa"/>
            <w:vAlign w:val="bottom"/>
          </w:tcPr>
          <w:p>
            <w:pPr>
              <w:spacing w:after="0"/>
              <w:rPr>
                <w:sz w:val="24"/>
                <w:szCs w:val="24"/>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60" w:type="dxa"/>
            <w:vAlign w:val="bottom"/>
          </w:tcPr>
          <w:p>
            <w:pPr>
              <w:spacing w:after="0"/>
              <w:rPr>
                <w:sz w:val="24"/>
                <w:szCs w:val="24"/>
                <w:color w:val="auto"/>
              </w:rPr>
            </w:pPr>
          </w:p>
        </w:tc>
      </w:tr>
      <w:tr>
        <w:trPr>
          <w:trHeight w:val="858"/>
        </w:trPr>
        <w:tc>
          <w:tcPr>
            <w:tcW w:w="30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418"/>
        </w:trPr>
        <w:tc>
          <w:tcPr>
            <w:tcW w:w="30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1,230.9</w:t>
            </w:r>
          </w:p>
        </w:tc>
      </w:tr>
      <w:tr>
        <w:trPr>
          <w:trHeight w:val="230"/>
        </w:trPr>
        <w:tc>
          <w:tcPr>
            <w:tcW w:w="3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1,651.0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300" w:type="dxa"/>
            <w:vAlign w:val="bottom"/>
          </w:tcPr>
          <w:p>
            <w:pPr>
              <w:spacing w:after="0"/>
              <w:rPr>
                <w:sz w:val="24"/>
                <w:szCs w:val="24"/>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432"/>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r>
      <w:tr>
        <w:trPr>
          <w:trHeight w:val="426"/>
        </w:trPr>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w:t>
            </w:r>
          </w:p>
        </w:tc>
        <w:tc>
          <w:tcPr>
            <w:tcW w:w="60" w:type="dxa"/>
            <w:vAlign w:val="bottom"/>
          </w:tcPr>
          <w:p>
            <w:pPr>
              <w:spacing w:after="0"/>
              <w:rPr>
                <w:sz w:val="24"/>
                <w:szCs w:val="24"/>
                <w:color w:val="auto"/>
              </w:rPr>
            </w:pPr>
          </w:p>
        </w:tc>
      </w:tr>
      <w:tr>
        <w:trPr>
          <w:trHeight w:val="42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1,927.9</w:t>
            </w:r>
          </w:p>
        </w:tc>
        <w:tc>
          <w:tcPr>
            <w:tcW w:w="120" w:type="dxa"/>
            <w:vAlign w:val="bottom"/>
          </w:tcPr>
          <w:p>
            <w:pPr>
              <w:spacing w:after="0"/>
              <w:rPr>
                <w:sz w:val="24"/>
                <w:szCs w:val="24"/>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1,948.7</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-3077845</wp:posOffset>
            </wp:positionV>
            <wp:extent cx="724662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-2803525</wp:posOffset>
            </wp:positionV>
            <wp:extent cx="724662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-2529205</wp:posOffset>
            </wp:positionV>
            <wp:extent cx="7246620" cy="146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-2245995</wp:posOffset>
            </wp:positionV>
            <wp:extent cx="724662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-1963420</wp:posOffset>
            </wp:positionV>
            <wp:extent cx="724662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-1689100</wp:posOffset>
            </wp:positionV>
            <wp:extent cx="72466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-1414145</wp:posOffset>
            </wp:positionV>
            <wp:extent cx="72466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-1139825</wp:posOffset>
            </wp:positionV>
            <wp:extent cx="724662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-865505</wp:posOffset>
            </wp:positionV>
            <wp:extent cx="72466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-582295</wp:posOffset>
            </wp:positionV>
            <wp:extent cx="72466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-299720</wp:posOffset>
            </wp:positionV>
            <wp:extent cx="72466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260"/>
          </w:cols>
          <w:pgMar w:left="240" w:top="580" w:right="279" w:bottom="1440" w:gutter="0" w:footer="0" w:header="0"/>
          <w:type w:val="continuous"/>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unaudited pro forma combined financial statements of the Accommodations Business of Oil States consist of the unaudited pro forma combined statement of income for the year ended December 31, 2013 and an unaudited pro forma combined balance sheet as of December 31, 2013. The unaudited pro forma combined financial statements should be read in conjunction with “Capitalization,” “Selected Historical Combined Financial Data,” “Management’s Discussion and Analysis of Financial Condition and Results of Operations,” “Other Related Party Transactions” and our historical combined financial statements included elsewhere in this Information Statement.</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6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unaudited pro forma combined statement of income for the year ended December 31, 2013 reflects our results as if the spin-off and related transactions described below had occurred on January 1, 2013. The unaudited pro forma combined balance sheet as of December 31, 2013 reflects our results as if the spin-off and related transactions described below had occurred as of such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25" w:lineRule="exact"/>
        <w:rPr>
          <w:sz w:val="20"/>
          <w:szCs w:val="20"/>
          <w:color w:val="auto"/>
        </w:rPr>
      </w:pPr>
    </w:p>
    <w:p>
      <w:pPr>
        <w:ind w:left="660" w:hanging="328"/>
        <w:spacing w:after="0"/>
        <w:tabs>
          <w:tab w:leader="none" w:pos="6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contribution by Oil States to us, pursuant to the spin-off, of all the assets and liabilities that comprise our business;</w:t>
      </w:r>
    </w:p>
    <w:p>
      <w:pPr>
        <w:spacing w:after="0" w:line="225" w:lineRule="exact"/>
        <w:rPr>
          <w:rFonts w:ascii="Arial" w:cs="Arial" w:eastAsia="Arial" w:hAnsi="Arial"/>
          <w:sz w:val="18"/>
          <w:szCs w:val="18"/>
          <w:color w:val="auto"/>
        </w:rPr>
      </w:pPr>
    </w:p>
    <w:p>
      <w:pPr>
        <w:ind w:left="660" w:right="60" w:hanging="328"/>
        <w:spacing w:after="0" w:line="272" w:lineRule="auto"/>
        <w:tabs>
          <w:tab w:leader="none" w:pos="6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our anticipated post-spin-off capital structure, including (i) the issuance of up to approximately 108.4 million shares of our common stock to holders of Oil States common shares (this number of shares is based upon the number of Oil States common shares outstanding on December 31, 2013 and an assumed distribution ratio of two shares of Civeo common stock for every one share of Oil States common stock held on the record date) and (ii) the incurrence of $775.0 million of indebtedness to fund (1) an estimated transfer to Oil States of $750.0 million through a return of capital and/or a dividend and (2) general corporate purposes, including transaction related expenses. We anticipate that the cash distribution to Oil States will range from $650.0 million to $850.0 million and we have used the mid-point of that range to calculate the pro forma adjustment. The final distribution amount has not yet been determined; and</w:t>
      </w:r>
    </w:p>
    <w:p>
      <w:pPr>
        <w:spacing w:after="0" w:line="177" w:lineRule="exact"/>
        <w:rPr>
          <w:rFonts w:ascii="Arial" w:cs="Arial" w:eastAsia="Arial" w:hAnsi="Arial"/>
          <w:sz w:val="17"/>
          <w:szCs w:val="17"/>
          <w:color w:val="auto"/>
        </w:rPr>
      </w:pPr>
    </w:p>
    <w:p>
      <w:pPr>
        <w:ind w:left="660" w:right="660" w:hanging="328"/>
        <w:spacing w:after="0" w:line="277" w:lineRule="auto"/>
        <w:tabs>
          <w:tab w:leader="none" w:pos="6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settlement of intercompany account balances between us and Oil States including the contribution to us of our existing long term debt to affiliates, which is currently held by Oil States.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In connection with the spin-off, we expect to enter into a transition services agreement, tax sharing agreement and employee matters agreement with Oil States. See “Arrangements Between Oil States and Our Company.” We do not expect that the incremental costs associated with the agreements will be materially higher than the allocations described above, as such, no further pro forma adjustment have been made. However, the unaudited pro forma condensed combined financial statements do not reflect all of the costs of operating as a stand-alone public company which are estimated to be in the range of $17.0 million to $20.0 million, before-tax, annually.</w:t>
      </w:r>
    </w:p>
    <w:p>
      <w:pPr>
        <w:spacing w:after="0" w:line="165" w:lineRule="exact"/>
        <w:rPr>
          <w:sz w:val="20"/>
          <w:szCs w:val="20"/>
          <w:color w:val="auto"/>
        </w:rPr>
      </w:pPr>
    </w:p>
    <w:p>
      <w:pPr>
        <w:ind w:right="40" w:firstLine="366"/>
        <w:spacing w:after="0" w:line="279" w:lineRule="auto"/>
        <w:rPr>
          <w:sz w:val="20"/>
          <w:szCs w:val="20"/>
          <w:color w:val="auto"/>
        </w:rPr>
      </w:pPr>
      <w:r>
        <w:rPr>
          <w:rFonts w:ascii="Arial" w:cs="Arial" w:eastAsia="Arial" w:hAnsi="Arial"/>
          <w:sz w:val="17"/>
          <w:szCs w:val="17"/>
          <w:color w:val="auto"/>
        </w:rPr>
        <w:t>We currently estimate that Oil States will incur $15.0 million to $20.0 million of transaction costs related to the spin-off, excluding refinancing costs. As of December 31, 2013, Oil States had already incurred approximately $5.2 million of these transaction costs. We have not adjusted the accompanying unaudited pro forma combined statement of income for these estimated costs as the costs are not expected to be allocated to us or to have an ongoing impact on our operating results. We expect all of these costs to be paid for and expensed by Oil States.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19" w:name="page320"/>
    <w:bookmarkEnd w:id="319"/>
    <w:p>
      <w:pPr>
        <w:ind w:right="80" w:firstLine="324"/>
        <w:spacing w:after="0" w:line="277" w:lineRule="auto"/>
        <w:rPr>
          <w:sz w:val="20"/>
          <w:szCs w:val="20"/>
          <w:color w:val="auto"/>
        </w:rPr>
      </w:pPr>
      <w:r>
        <w:rPr>
          <w:rFonts w:ascii="Arial" w:cs="Arial" w:eastAsia="Arial" w:hAnsi="Arial"/>
          <w:sz w:val="18"/>
          <w:szCs w:val="18"/>
          <w:color w:val="auto"/>
        </w:rPr>
        <w:t>We anticipate that Civeo will also incur transition costs related to becoming a separate, public company within 18 months of the spin-off. These costs primarily relate to the following:</w:t>
      </w:r>
    </w:p>
    <w:p>
      <w:pPr>
        <w:spacing w:after="0" w:line="170" w:lineRule="exact"/>
        <w:rPr>
          <w:sz w:val="20"/>
          <w:szCs w:val="20"/>
          <w:color w:val="auto"/>
        </w:rPr>
      </w:pPr>
    </w:p>
    <w:p>
      <w:pPr>
        <w:ind w:left="660" w:hanging="328"/>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accounting, tax, legal and other professional costs pertaining to the spin-off and establishing us as a stand-alone public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compensation, such as modifications to certain bonus and equity awards, upon completion of the spin-off;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recruiting and relocation costs associated with hiring key senior management personnel new to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costs related to establishing our new brand in the marketplace;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costs to separate information systems.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Due to the scope and complexity of these activities, the amount of these costs could increase or decrease materially and the timing of incurrence could change.</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Financing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Pro Forma for</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the Financing</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Historical(a)</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6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5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Long-term debt to affiliates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(335.2)</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(f)</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third-parties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1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(g)</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Parent company investment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00" w:type="dxa"/>
            <w:vAlign w:val="bottom"/>
          </w:tcPr>
          <w:p>
            <w:pPr>
              <w:ind w:left="8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(1,646.8)</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(g)</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12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w:t>
            </w:r>
          </w:p>
        </w:tc>
        <w:tc>
          <w:tcPr>
            <w:tcW w:w="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Financing</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 Forma for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Adjustments</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Distribution</w:t>
            </w:r>
          </w:p>
        </w:tc>
        <w:tc>
          <w:tcPr>
            <w:tcW w:w="3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the Financing</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for</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Historical(a)</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4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549.6</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&amp; administrative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 (d)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5.9  (h)</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Net income attributable to Accommodations Business of Oil States</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6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International, Inc.</w:t>
            </w:r>
          </w:p>
        </w:tc>
        <w:tc>
          <w:tcPr>
            <w:tcW w:w="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220" w:type="dxa"/>
            <w:vAlign w:val="bottom"/>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22" w:name="page323"/>
    <w:bookmarkEnd w:id="322"/>
    <w:p>
      <w:pPr>
        <w:ind w:left="1888"/>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29" w:lineRule="exact"/>
        <w:rPr>
          <w:sz w:val="20"/>
          <w:szCs w:val="20"/>
          <w:color w:val="auto"/>
        </w:rPr>
      </w:pPr>
    </w:p>
    <w:p>
      <w:pPr>
        <w:ind w:left="328" w:right="80" w:hanging="328"/>
        <w:spacing w:after="0" w:line="277" w:lineRule="auto"/>
        <w:tabs>
          <w:tab w:leader="none" w:pos="32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Our historical combined financial statements reflect the historical financial position and results of operations of the accommodations business of Oil States.</w:t>
      </w:r>
    </w:p>
    <w:p>
      <w:pPr>
        <w:spacing w:after="0" w:line="170"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352"/>
        </w:numPr>
        <w:rPr>
          <w:rFonts w:ascii="Arial" w:cs="Arial" w:eastAsia="Arial" w:hAnsi="Arial"/>
          <w:sz w:val="17"/>
          <w:szCs w:val="17"/>
          <w:color w:val="auto"/>
        </w:rPr>
      </w:pPr>
      <w:r>
        <w:rPr>
          <w:rFonts w:ascii="Arial" w:cs="Arial" w:eastAsia="Arial" w:hAnsi="Arial"/>
          <w:sz w:val="17"/>
          <w:szCs w:val="17"/>
          <w:color w:val="auto"/>
        </w:rPr>
        <w:t>Reflects incurrence of $775.0 million of indebtedness, which consists of borrowings under our anticipated U.S. term loan. The expected debt balance at the time of the distribution was determined by senior management based on a review of a number of factors including expected credit ratings, forecasted liquidity and capital requirements, expected operating results and general economic conditions.</w:t>
      </w:r>
    </w:p>
    <w:p>
      <w:pPr>
        <w:spacing w:after="0" w:line="180" w:lineRule="exact"/>
        <w:rPr>
          <w:sz w:val="20"/>
          <w:szCs w:val="20"/>
          <w:color w:val="auto"/>
        </w:rPr>
      </w:pPr>
    </w:p>
    <w:tbl>
      <w:tblPr>
        <w:tblLayout w:type="fixed"/>
        <w:tblInd w:w="528"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indebtedness at December 31, 2013</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Less: Cash payments for debt issuance costs (footnote c)</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proceeds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328" w:right="60" w:hanging="328"/>
        <w:spacing w:after="0" w:line="302" w:lineRule="auto"/>
        <w:tabs>
          <w:tab w:leader="none" w:pos="32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adjustment assumes the capitalization of debt issuance costs of $10.0 million which will be amortized on a straight-line basis over the term of the credit facility, which approximates the effective interest method. Included in the historical combined balance sheet are historical deferred debt issuance costs related to existing revolving credit facilities in Australia and Canada as of December 31, 2013 totaling $4.2 million which are assumed to be expensed as we expect to replace these existing facilities in connection with the spin-off. The resulting net adjustment is $5.8 million.</w:t>
      </w:r>
    </w:p>
    <w:p>
      <w:pPr>
        <w:spacing w:after="0" w:line="154" w:lineRule="exact"/>
        <w:rPr>
          <w:rFonts w:ascii="Arial" w:cs="Arial" w:eastAsia="Arial" w:hAnsi="Arial"/>
          <w:sz w:val="16"/>
          <w:szCs w:val="16"/>
          <w:color w:val="auto"/>
        </w:rPr>
      </w:pPr>
    </w:p>
    <w:p>
      <w:pPr>
        <w:ind w:left="328" w:hanging="328"/>
        <w:spacing w:after="0" w:line="302" w:lineRule="auto"/>
        <w:tabs>
          <w:tab w:leader="none" w:pos="32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Represents the incremental interest expense related to the additional debt expected to be incurred upon the spin-off, assuming an annual interest rate of 2.4% on total indebtedness of $775.0 million. The interest rates for pro forma purposes are based on assumptions of the rates to be effective on the completion of the spin-off. A one-eighth percent change in assumed interest rates for our additional debt would have a pro forma impact of $1.0 million annually. The following chart provides the detail for the pro forma adjustment to interest expense for the financing adjustments:</w:t>
      </w:r>
    </w:p>
    <w:p>
      <w:pPr>
        <w:spacing w:after="0" w:line="150" w:lineRule="exact"/>
        <w:rPr>
          <w:sz w:val="20"/>
          <w:szCs w:val="20"/>
          <w:color w:val="auto"/>
        </w:rPr>
      </w:pPr>
    </w:p>
    <w:tbl>
      <w:tblPr>
        <w:tblLayout w:type="fixed"/>
        <w:tblInd w:w="80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expense related to new debt ($775.0 million of indebtedness at an assumed annual interest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2.4%)</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rPr>
              <w:t>Non-cash interest expense related to amortization of pro forma deferred debt issuance costs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(footnote c)</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Eliminate non-cash interest expense related to pre spin-off deferred debt issuance costs</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Total adjustment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8" w:right="40" w:hanging="328"/>
        <w:spacing w:after="0" w:line="264" w:lineRule="auto"/>
        <w:tabs>
          <w:tab w:leader="none" w:pos="32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Reflects the estimated cash distribution to Oil States of $750.0 million. We anticipate that the cash distribution to Oil States will be within a range of $650.0 million to $850.0 million and have used the mid-point of that range for the purposes of the pro forma adjustment. The final distribution amount has not yet been determined.</w:t>
      </w:r>
    </w:p>
    <w:p>
      <w:pPr>
        <w:spacing w:after="0" w:line="181" w:lineRule="exact"/>
        <w:rPr>
          <w:rFonts w:ascii="Arial" w:cs="Arial" w:eastAsia="Arial" w:hAnsi="Arial"/>
          <w:sz w:val="18"/>
          <w:szCs w:val="18"/>
          <w:color w:val="auto"/>
        </w:rPr>
      </w:pPr>
    </w:p>
    <w:p>
      <w:pPr>
        <w:ind w:left="328" w:right="280" w:hanging="328"/>
        <w:spacing w:after="0" w:line="264" w:lineRule="auto"/>
        <w:tabs>
          <w:tab w:leader="none" w:pos="32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Reflects the contribution of debt to affiliates in connection with the spin-off. The associated net interest expense to affiliates of $18.3 million is eliminated in the pro forma combined statements of income as a distribution adjustment. The elimination of interest expense to affiliates does not have an impact on the pro forma consolidated tax provision.</w:t>
      </w:r>
    </w:p>
    <w:p>
      <w:pPr>
        <w:spacing w:after="0" w:line="181" w:lineRule="exact"/>
        <w:rPr>
          <w:rFonts w:ascii="Arial" w:cs="Arial" w:eastAsia="Arial" w:hAnsi="Arial"/>
          <w:sz w:val="18"/>
          <w:szCs w:val="18"/>
          <w:color w:val="auto"/>
        </w:rPr>
      </w:pPr>
    </w:p>
    <w:p>
      <w:pPr>
        <w:ind w:left="328" w:right="60" w:hanging="328"/>
        <w:spacing w:after="0" w:line="257" w:lineRule="auto"/>
        <w:tabs>
          <w:tab w:leader="none" w:pos="32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Adjustment reflects the pro forma recapitalization of our equity. As of the Distribution Date, Oil States’ net investment in our business will be exchanged to reflect the spin-off of our common stock to Oil States’ shareholders and to reflect the common stock of approximately 108.4 million outstanding shares of common stock having a par value of $0.01 per share, based on the number of shares of Oil States common stock outstanding on December 31, 2013 and an assumed distribution ratio of two shares of Civeo common stock for every one share of Oil States common stock held on the record date.</w:t>
      </w:r>
    </w:p>
    <w:p>
      <w:pPr>
        <w:spacing w:after="0" w:line="200" w:lineRule="exact"/>
        <w:rPr>
          <w:sz w:val="20"/>
          <w:szCs w:val="20"/>
          <w:color w:val="auto"/>
        </w:rPr>
      </w:pPr>
    </w:p>
    <w:p>
      <w:pPr>
        <w:spacing w:after="0" w:line="23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0" w:right="259" w:bottom="1440" w:gutter="0" w:footer="0" w:header="0"/>
        </w:sectPr>
      </w:pPr>
    </w:p>
    <w:bookmarkStart w:id="323" w:name="page324"/>
    <w:bookmarkEnd w:id="323"/>
    <w:p>
      <w:pPr>
        <w:ind w:left="528"/>
        <w:spacing w:after="0"/>
        <w:rPr>
          <w:sz w:val="20"/>
          <w:szCs w:val="20"/>
          <w:color w:val="auto"/>
        </w:rPr>
      </w:pPr>
      <w:r>
        <w:rPr>
          <w:rFonts w:ascii="Arial" w:cs="Arial" w:eastAsia="Arial" w:hAnsi="Arial"/>
          <w:sz w:val="18"/>
          <w:szCs w:val="18"/>
          <w:color w:val="auto"/>
        </w:rPr>
        <w:t>Parent company investment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-121920</wp:posOffset>
            </wp:positionV>
            <wp:extent cx="6157595" cy="1371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528"/>
        <w:spacing w:after="0"/>
        <w:rPr>
          <w:sz w:val="20"/>
          <w:szCs w:val="20"/>
          <w:color w:val="auto"/>
        </w:rPr>
      </w:pPr>
      <w:r>
        <w:rPr>
          <w:rFonts w:ascii="Arial" w:cs="Arial" w:eastAsia="Arial" w:hAnsi="Arial"/>
          <w:sz w:val="18"/>
          <w:szCs w:val="18"/>
          <w:color w:val="auto"/>
        </w:rPr>
        <w:t>Write off of historical debt issuance costs (footnote c)</w:t>
      </w:r>
    </w:p>
    <w:p>
      <w:pPr>
        <w:spacing w:after="0" w:line="23" w:lineRule="exact"/>
        <w:rPr>
          <w:sz w:val="20"/>
          <w:szCs w:val="20"/>
          <w:color w:val="auto"/>
        </w:rPr>
      </w:pPr>
    </w:p>
    <w:p>
      <w:pPr>
        <w:ind w:left="528"/>
        <w:spacing w:after="0"/>
        <w:rPr>
          <w:sz w:val="20"/>
          <w:szCs w:val="20"/>
          <w:color w:val="auto"/>
        </w:rPr>
      </w:pPr>
      <w:r>
        <w:rPr>
          <w:rFonts w:ascii="Arial" w:cs="Arial" w:eastAsia="Arial" w:hAnsi="Arial"/>
          <w:sz w:val="16"/>
          <w:szCs w:val="16"/>
          <w:color w:val="auto"/>
        </w:rPr>
        <w:t>Net adjustment to “Parent company investment” associated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-116205</wp:posOffset>
            </wp:positionV>
            <wp:extent cx="6157595" cy="1371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2" w:lineRule="exact"/>
        <w:rPr>
          <w:sz w:val="20"/>
          <w:szCs w:val="20"/>
          <w:color w:val="auto"/>
        </w:rPr>
      </w:pPr>
    </w:p>
    <w:p>
      <w:pPr>
        <w:ind w:left="528"/>
        <w:spacing w:after="0"/>
        <w:rPr>
          <w:sz w:val="20"/>
          <w:szCs w:val="20"/>
          <w:color w:val="auto"/>
        </w:rPr>
      </w:pPr>
      <w:r>
        <w:rPr>
          <w:rFonts w:ascii="Arial" w:cs="Arial" w:eastAsia="Arial" w:hAnsi="Arial"/>
          <w:sz w:val="18"/>
          <w:szCs w:val="18"/>
          <w:color w:val="auto"/>
        </w:rPr>
        <w:t>Contribution by Oil States of affiliated debt (footnote f)</w:t>
      </w:r>
    </w:p>
    <w:p>
      <w:pPr>
        <w:spacing w:after="0" w:line="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Distribution to Oil States (footnote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-130810</wp:posOffset>
            </wp:positionV>
            <wp:extent cx="615759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528"/>
        <w:spacing w:after="0"/>
        <w:rPr>
          <w:sz w:val="20"/>
          <w:szCs w:val="20"/>
          <w:color w:val="auto"/>
        </w:rPr>
      </w:pPr>
      <w:r>
        <w:rPr>
          <w:rFonts w:ascii="Arial" w:cs="Arial" w:eastAsia="Arial" w:hAnsi="Arial"/>
          <w:sz w:val="18"/>
          <w:szCs w:val="18"/>
          <w:color w:val="auto"/>
        </w:rPr>
        <w:t>Adjustment for par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14605</wp:posOffset>
            </wp:positionV>
            <wp:extent cx="6157595"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9" w:lineRule="exact"/>
        <w:rPr>
          <w:sz w:val="20"/>
          <w:szCs w:val="20"/>
          <w:color w:val="auto"/>
        </w:rPr>
      </w:pPr>
    </w:p>
    <w:p>
      <w:pPr>
        <w:ind w:left="528"/>
        <w:spacing w:after="0"/>
        <w:rPr>
          <w:sz w:val="20"/>
          <w:szCs w:val="20"/>
          <w:color w:val="auto"/>
        </w:rPr>
      </w:pPr>
      <w:r>
        <w:rPr>
          <w:rFonts w:ascii="Arial" w:cs="Arial" w:eastAsia="Arial" w:hAnsi="Arial"/>
          <w:sz w:val="18"/>
          <w:szCs w:val="18"/>
          <w:color w:val="auto"/>
        </w:rPr>
        <w:t>Adjustment to additional paid-in capital</w:t>
      </w:r>
    </w:p>
    <w:p>
      <w:pPr>
        <w:spacing w:after="0" w:line="20" w:lineRule="exact"/>
        <w:rPr>
          <w:sz w:val="20"/>
          <w:szCs w:val="20"/>
          <w:color w:val="auto"/>
        </w:rPr>
      </w:pPr>
      <w:r>
        <w:rPr>
          <w:sz w:val="20"/>
          <w:szCs w:val="20"/>
          <w:color w:val="auto"/>
        </w:rPr>
        <w:br w:type="column"/>
      </w:r>
    </w:p>
    <w:p>
      <w:pPr>
        <w:ind w:left="1000" w:hanging="993"/>
        <w:spacing w:after="0"/>
        <w:tabs>
          <w:tab w:leader="none" w:pos="100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1,651.0</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(4.2)</w:t>
      </w:r>
    </w:p>
    <w:p>
      <w:pPr>
        <w:spacing w:after="0" w:line="32"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1,646.8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9779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335.2</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(750.0)</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000" w:hanging="993"/>
        <w:spacing w:after="0"/>
        <w:tabs>
          <w:tab w:leader="none" w:pos="10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1,230.9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9779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868" w:space="720"/>
            <w:col w:w="2480"/>
          </w:cols>
          <w:pgMar w:left="572" w:top="584" w:right="259" w:bottom="1440" w:gutter="0" w:footer="0" w:header="0"/>
        </w:sectPr>
      </w:pPr>
    </w:p>
    <w:p>
      <w:pPr>
        <w:spacing w:after="0" w:line="241" w:lineRule="exact"/>
        <w:rPr>
          <w:sz w:val="20"/>
          <w:szCs w:val="20"/>
          <w:color w:val="auto"/>
        </w:rPr>
      </w:pPr>
    </w:p>
    <w:p>
      <w:pPr>
        <w:ind w:left="328" w:right="20" w:hanging="328"/>
        <w:spacing w:after="0" w:line="302" w:lineRule="auto"/>
        <w:tabs>
          <w:tab w:leader="none" w:pos="32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statutory rates in Canada and Australia are 25% and 30%, respectively. The pro forma adjustments were determined assuming U.S. borrowings and using the statutory rate for the U.S. of 35% in the respective tax periods presented.</w:t>
      </w:r>
    </w:p>
    <w:p>
      <w:pPr>
        <w:spacing w:after="0" w:line="154" w:lineRule="exact"/>
        <w:rPr>
          <w:rFonts w:ascii="Arial" w:cs="Arial" w:eastAsia="Arial" w:hAnsi="Arial"/>
          <w:sz w:val="16"/>
          <w:szCs w:val="16"/>
          <w:color w:val="auto"/>
        </w:rPr>
      </w:pPr>
    </w:p>
    <w:p>
      <w:pPr>
        <w:ind w:left="328" w:hanging="328"/>
        <w:spacing w:after="0" w:line="264" w:lineRule="auto"/>
        <w:tabs>
          <w:tab w:leader="none" w:pos="32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 forma basic earnings per share and pro forma weighted-average basic shares outstanding are based on the weighted average number of Oil States common shares outstanding for the year ended December 31, 2013, adjusted for an assumed distribution ratio of two shares of Civeo common stock for every one share of Oil States common stock held on the record date.</w:t>
      </w:r>
    </w:p>
    <w:p>
      <w:pPr>
        <w:spacing w:after="0" w:line="181" w:lineRule="exact"/>
        <w:rPr>
          <w:rFonts w:ascii="Arial" w:cs="Arial" w:eastAsia="Arial" w:hAnsi="Arial"/>
          <w:sz w:val="18"/>
          <w:szCs w:val="18"/>
          <w:color w:val="auto"/>
        </w:rPr>
      </w:pPr>
    </w:p>
    <w:p>
      <w:pPr>
        <w:ind w:left="328" w:right="40" w:hanging="328"/>
        <w:spacing w:after="0" w:line="264" w:lineRule="auto"/>
        <w:tabs>
          <w:tab w:leader="none" w:pos="32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 forma diluted earnings per share and pro forma weighted-average diluted shares outstanding reflect potential dilution from the issuance of Civeo equity awards to Civeo employees, after giving effect to the distribution. While the actual future impact will depend on various factors, we believe the estimate yields a reasonable approximation of the future diluted impact of the Civeo equity plans.</w:t>
      </w:r>
    </w:p>
    <w:p>
      <w:pPr>
        <w:spacing w:after="0" w:line="200" w:lineRule="exact"/>
        <w:rPr>
          <w:sz w:val="20"/>
          <w:szCs w:val="20"/>
          <w:color w:val="auto"/>
        </w:rPr>
      </w:pPr>
    </w:p>
    <w:p>
      <w:pPr>
        <w:spacing w:after="0" w:line="22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type w:val="continuous"/>
        </w:sectPr>
      </w:pPr>
    </w:p>
    <w:bookmarkStart w:id="324" w:name="page325"/>
    <w:bookmarkEnd w:id="324"/>
    <w:p>
      <w:pPr>
        <w:jc w:val="center"/>
        <w:ind w:right="40"/>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2013 and 2012 and the statement of income data for each of the years ended December 31, 2013, 2012 and 2011 are derived from our audited financial statements included elsewhere in this information statement. The balance sheet data as of December 31, 2011 and statement of income data for the year ended December 31, 2010 are derived from our audited combined financial statements not included in this information statement. The balance sheet data as of December 31, 2010 and 2009 and the statement of income data for the year ended December 31, 2009 are derived from our accounting records.</w:t>
      </w:r>
    </w:p>
    <w:p>
      <w:pPr>
        <w:spacing w:after="0" w:line="17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selected historical combined financial information presented below should be read in conjunction with our combined financial statements and accompanying notes, the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what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1,041,104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1,108,875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864,701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259,456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352,929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242,159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Accommodations Business of Oil</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States International, Inc.</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244,721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168,505</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2,127,050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2,132,925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1,799,894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1,487,462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573,699</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350,530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123,497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126,972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183,822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661"/>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4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300" w:firstLine="243"/>
        <w:spacing w:after="0" w:line="302" w:lineRule="auto"/>
        <w:rPr>
          <w:sz w:val="20"/>
          <w:szCs w:val="20"/>
          <w:color w:val="auto"/>
        </w:rPr>
      </w:pPr>
      <w:r>
        <w:rPr>
          <w:rFonts w:ascii="Arial" w:cs="Arial" w:eastAsia="Arial" w:hAnsi="Arial"/>
          <w:sz w:val="16"/>
          <w:szCs w:val="16"/>
          <w:color w:val="auto"/>
        </w:rPr>
        <w:t>Management’s Discussion and Analysis contains “forward-looking statements”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 analysis together with our Combined Financial Statements and the notes to those statements included elsewhere in this information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Separation and Spin-Off</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Civeo common stock to the Oil States shareholders as of the record date of the spin-off. Upon completion of the spin-off, Oil States and Civeo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accounts within Civeo have been eliminated. Historically, Oil States has provided services to and funded certain expenses for Civeo.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Civeo been an independent, stand-alone company during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2013 averaged $73.58 per barrel compared to $71.80 per barrel in 2012. However, the WCS Basis Differential widened substantially from below $15 per barrel to $19 per barrel as of April 16, 2014, as production increased and demand from U.S. refineries declined due to maintenance requirements. Should the price of WTI decline or the WCS Basis Differential widen further, our oil sands customers’ may delay additional investments or reduce their spending in the oil sands region.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6" w:name="page327"/>
    <w:bookmarkEnd w:id="326"/>
    <w:p>
      <w:pPr>
        <w:ind w:right="20" w:firstLine="324"/>
        <w:spacing w:after="0" w:line="271" w:lineRule="auto"/>
        <w:rPr>
          <w:sz w:val="20"/>
          <w:szCs w:val="20"/>
          <w:color w:val="auto"/>
        </w:rPr>
      </w:pPr>
      <w:r>
        <w:rPr>
          <w:rFonts w:ascii="Arial" w:cs="Arial" w:eastAsia="Arial" w:hAnsi="Arial"/>
          <w:sz w:val="17"/>
          <w:szCs w:val="17"/>
          <w:color w:val="auto"/>
        </w:rPr>
        <w:t>Given the historical volatility of WTI crude prices and the WCS Basis Differential,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179"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Natural gas prices and WTI crude oil pricing, discussed above, have an impact on the demand for our U.S. accommodations. Prices for natural gas in the United States improved during 2013 and early 2014,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 natural gas and lower natural gas prices could have a positive impact on this activity in Canada. Natural gas prices traded at approximately $4.62 per Mcf as of April 16, 2014.</w:t>
      </w:r>
    </w:p>
    <w:p>
      <w:pPr>
        <w:spacing w:after="0" w:line="18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2013 compared to 2012. Met coal prices have decreased materially from over $200/metric ton at the beginning of 2012 to approximately $150/metric ton at the end of 2013.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Queensland hard coking coal and natural gas pricing trends are as follows: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345"/>
        </w:trPr>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1"/>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jc w:val="center"/>
              <w:ind w:right="560"/>
              <w:spacing w:after="0" w:line="191" w:lineRule="exact"/>
              <w:rPr>
                <w:sz w:val="20"/>
                <w:szCs w:val="20"/>
                <w:color w:val="auto"/>
              </w:rPr>
            </w:pPr>
            <w:r>
              <w:rPr>
                <w:rFonts w:ascii="Arial" w:cs="Arial" w:eastAsia="Arial" w:hAnsi="Arial"/>
                <w:sz w:val="18"/>
                <w:szCs w:val="18"/>
                <w:b w:val="1"/>
                <w:bCs w:val="1"/>
                <w:color w:val="auto"/>
                <w:w w:val="97"/>
              </w:rPr>
              <w:t>Hard</w:t>
            </w:r>
          </w:p>
        </w:tc>
        <w:tc>
          <w:tcPr>
            <w:tcW w:w="280" w:type="dxa"/>
            <w:vAlign w:val="bottom"/>
          </w:tcPr>
          <w:p>
            <w:pPr>
              <w:spacing w:after="0"/>
              <w:rPr>
                <w:sz w:val="16"/>
                <w:szCs w:val="16"/>
                <w:color w:val="auto"/>
              </w:rPr>
            </w:pPr>
          </w:p>
        </w:tc>
        <w:tc>
          <w:tcPr>
            <w:tcW w:w="16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6"/>
              </w:rPr>
              <w:t>Henry Hub</w:t>
            </w:r>
          </w:p>
        </w:tc>
        <w:tc>
          <w:tcPr>
            <w:tcW w:w="140" w:type="dxa"/>
            <w:vAlign w:val="bottom"/>
          </w:tcPr>
          <w:p>
            <w:pPr>
              <w:spacing w:after="0"/>
              <w:rPr>
                <w:sz w:val="16"/>
                <w:szCs w:val="16"/>
                <w:color w:val="auto"/>
              </w:rPr>
            </w:pPr>
          </w:p>
        </w:tc>
      </w:tr>
      <w:tr>
        <w:trPr>
          <w:trHeight w:val="216"/>
        </w:trPr>
        <w:tc>
          <w:tcPr>
            <w:tcW w:w="182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WTI Crude</w:t>
            </w: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WCS Crude</w:t>
            </w:r>
          </w:p>
        </w:tc>
        <w:tc>
          <w:tcPr>
            <w:tcW w:w="28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Coking Coal</w:t>
            </w:r>
          </w:p>
        </w:tc>
        <w:tc>
          <w:tcPr>
            <w:tcW w:w="2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Natural Gas</w:t>
            </w:r>
          </w:p>
        </w:tc>
      </w:tr>
      <w:tr>
        <w:trPr>
          <w:trHeight w:val="234"/>
        </w:trPr>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(per bbl)</w:t>
            </w:r>
          </w:p>
        </w:tc>
        <w:tc>
          <w:tcPr>
            <w:tcW w:w="28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(per bbl)</w:t>
            </w:r>
          </w:p>
        </w:tc>
        <w:tc>
          <w:tcPr>
            <w:tcW w:w="280" w:type="dxa"/>
            <w:vAlign w:val="bottom"/>
          </w:tcPr>
          <w:p>
            <w:pPr>
              <w:spacing w:after="0"/>
              <w:rPr>
                <w:sz w:val="20"/>
                <w:szCs w:val="20"/>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(per ton)</w:t>
            </w:r>
          </w:p>
        </w:tc>
        <w:tc>
          <w:tcPr>
            <w:tcW w:w="28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(per mcf)</w:t>
            </w:r>
          </w:p>
        </w:tc>
      </w:tr>
      <w:tr>
        <w:trPr>
          <w:trHeight w:val="210"/>
        </w:trPr>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4"/>
              </w:rPr>
              <w:t>66.34</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3"/>
              </w:rPr>
              <w:t>143.76</w:t>
            </w:r>
          </w:p>
        </w:tc>
        <w:tc>
          <w:tcPr>
            <w:tcW w:w="3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105.83</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83.10</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142.21</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94.05</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77.48</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149.94</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3/31/2013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94.33</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66.86</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167.71</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61.34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156.79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92.17</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76.75</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187.88</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93.38</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73.53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216.49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3/31/2012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102.85</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75.82</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212.20</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81.56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236.69</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r>
      <w:tr>
        <w:trPr>
          <w:trHeight w:val="216"/>
        </w:trPr>
        <w:tc>
          <w:tcPr>
            <w:tcW w:w="1680" w:type="dxa"/>
            <w:vAlign w:val="bottom"/>
          </w:tcPr>
          <w:p>
            <w:pPr>
              <w:jc w:val="center"/>
              <w:spacing w:after="0"/>
              <w:rPr>
                <w:sz w:val="20"/>
                <w:szCs w:val="20"/>
                <w:color w:val="auto"/>
              </w:rPr>
            </w:pPr>
            <w:r>
              <w:rPr>
                <w:rFonts w:ascii="Arial" w:cs="Arial" w:eastAsia="Arial" w:hAnsi="Arial"/>
                <w:sz w:val="18"/>
                <w:szCs w:val="18"/>
                <w:color w:val="auto"/>
                <w:w w:val="89"/>
              </w:rPr>
              <w:t>9/30/2011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89.71</w:t>
            </w:r>
          </w:p>
        </w:tc>
        <w:tc>
          <w:tcPr>
            <w:tcW w:w="280" w:type="dxa"/>
            <w:vAlign w:val="bottom"/>
          </w:tcPr>
          <w:p>
            <w:pPr>
              <w:spacing w:after="0"/>
              <w:rPr>
                <w:sz w:val="18"/>
                <w:szCs w:val="18"/>
                <w:color w:val="auto"/>
              </w:rPr>
            </w:pPr>
          </w:p>
        </w:tc>
        <w:tc>
          <w:tcPr>
            <w:tcW w:w="1880" w:type="dxa"/>
            <w:vAlign w:val="bottom"/>
            <w:gridSpan w:val="2"/>
          </w:tcPr>
          <w:p>
            <w:pPr>
              <w:ind w:left="1180"/>
              <w:spacing w:after="0"/>
              <w:rPr>
                <w:sz w:val="20"/>
                <w:szCs w:val="20"/>
                <w:color w:val="auto"/>
              </w:rPr>
            </w:pPr>
            <w:r>
              <w:rPr>
                <w:rFonts w:ascii="Arial" w:cs="Arial" w:eastAsia="Arial" w:hAnsi="Arial"/>
                <w:sz w:val="18"/>
                <w:szCs w:val="18"/>
                <w:color w:val="auto"/>
              </w:rPr>
              <w:t>75.05</w:t>
            </w:r>
          </w:p>
        </w:tc>
        <w:tc>
          <w:tcPr>
            <w:tcW w:w="280" w:type="dxa"/>
            <w:vAlign w:val="bottom"/>
          </w:tcPr>
          <w:p>
            <w:pPr>
              <w:spacing w:after="0"/>
              <w:rPr>
                <w:sz w:val="18"/>
                <w:szCs w:val="18"/>
                <w:color w:val="auto"/>
              </w:rPr>
            </w:pPr>
          </w:p>
        </w:tc>
        <w:tc>
          <w:tcPr>
            <w:tcW w:w="1880" w:type="dxa"/>
            <w:vAlign w:val="bottom"/>
            <w:gridSpan w:val="2"/>
          </w:tcPr>
          <w:p>
            <w:pPr>
              <w:ind w:left="1100"/>
              <w:spacing w:after="0"/>
              <w:rPr>
                <w:sz w:val="20"/>
                <w:szCs w:val="20"/>
                <w:color w:val="auto"/>
              </w:rPr>
            </w:pPr>
            <w:r>
              <w:rPr>
                <w:rFonts w:ascii="Arial" w:cs="Arial" w:eastAsia="Arial" w:hAnsi="Arial"/>
                <w:sz w:val="18"/>
                <w:szCs w:val="18"/>
                <w:color w:val="auto"/>
              </w:rPr>
              <w:t>296.24</w:t>
            </w:r>
          </w:p>
        </w:tc>
        <w:tc>
          <w:tcPr>
            <w:tcW w:w="280" w:type="dxa"/>
            <w:vAlign w:val="bottom"/>
          </w:tcPr>
          <w:p>
            <w:pPr>
              <w:spacing w:after="0"/>
              <w:rPr>
                <w:sz w:val="18"/>
                <w:szCs w:val="18"/>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r>
      <w:tr>
        <w:trPr>
          <w:trHeight w:val="216"/>
        </w:trPr>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84.72</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315.74</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77" w:lineRule="auto"/>
        <w:tabs>
          <w:tab w:leader="none" w:pos="3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However during 2013, particularly at year end, we saw a strengthening U.S. dollar compared to both the Canadian and Australian dollars. During 2013, the Canadian and Australian dollars weakened 7% and 15%, respectively, relative to the U.S. dollar. A strong U.S. dollar is generally viewed positively for our Australian customers as they typically receive U.S. dollar denominated payment for their commodities with expenses denominated in Australian dollars.</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While global demand for oil and natural gas are significant factors influencing our business generally, certain other factors also influence our business, such as the pace of worldwide economic growth.</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continue to monitor the global economy, the demand for crude oil, met coal and natural gas and the resultant impact on the capital spending plans and operations of our customers in order to plan our business. Our capital expenditures in 2013 totaled $292 million compared to $314 million in 2012.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auto"/>
        </w:rPr>
        <w:t>Consolidated Results of Operations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89"/>
              </w:rPr>
              <w:t>Twelve Months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Variance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420"/>
              <w:spacing w:after="0"/>
              <w:rPr>
                <w:sz w:val="20"/>
                <w:szCs w:val="20"/>
                <w:color w:val="auto"/>
              </w:rPr>
            </w:pPr>
            <w:r>
              <w:rPr>
                <w:rFonts w:ascii="Arial" w:cs="Arial" w:eastAsia="Arial" w:hAnsi="Arial"/>
                <w:sz w:val="18"/>
                <w:szCs w:val="18"/>
                <w:b w:val="1"/>
                <w:bCs w:val="1"/>
                <w:color w:val="auto"/>
                <w:w w:val="98"/>
              </w:rPr>
              <w:t>Variance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2013 vs. 2012</w:t>
            </w:r>
          </w:p>
        </w:tc>
        <w:tc>
          <w:tcPr>
            <w:tcW w:w="200" w:type="dxa"/>
            <w:vAlign w:val="bottom"/>
          </w:tcPr>
          <w:p>
            <w:pPr>
              <w:spacing w:after="0"/>
              <w:rPr>
                <w:sz w:val="20"/>
                <w:szCs w:val="20"/>
                <w:color w:val="auto"/>
              </w:rPr>
            </w:pPr>
          </w:p>
        </w:tc>
        <w:tc>
          <w:tcPr>
            <w:tcW w:w="7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2012 vs.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center"/>
              <w:ind w:lef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717.2</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(6%</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28</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399.0</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(1%</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21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330.3</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1280" w:type="dxa"/>
            <w:vAlign w:val="bottom"/>
            <w:gridSpan w:val="3"/>
            <w:shd w:val="clear" w:color="auto" w:fill="CCEEFF"/>
          </w:tcPr>
          <w:p>
            <w:pPr>
              <w:jc w:val="right"/>
              <w:ind w:right="220"/>
              <w:spacing w:after="0" w:line="210" w:lineRule="exact"/>
              <w:rPr>
                <w:sz w:val="20"/>
                <w:szCs w:val="20"/>
                <w:color w:val="auto"/>
              </w:rPr>
            </w:pPr>
            <w:r>
              <w:rPr>
                <w:rFonts w:ascii="Arial" w:cs="Arial" w:eastAsia="Arial" w:hAnsi="Arial"/>
                <w:sz w:val="14"/>
                <w:szCs w:val="14"/>
                <w:color w:val="auto"/>
              </w:rPr>
              <w:t>(12%</w:t>
            </w:r>
            <w:r>
              <w:rPr>
                <w:rFonts w:ascii="Arial" w:cs="Arial" w:eastAsia="Arial" w:hAnsi="Arial"/>
                <w:sz w:val="24"/>
                <w:szCs w:val="24"/>
                <w:color w:val="auto"/>
                <w:vertAlign w:val="superscript"/>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36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1280" w:type="dxa"/>
            <w:vAlign w:val="bottom"/>
            <w:gridSpan w:val="3"/>
          </w:tcPr>
          <w:p>
            <w:pPr>
              <w:jc w:val="right"/>
              <w:ind w:right="220"/>
              <w:spacing w:after="0" w:line="210" w:lineRule="exact"/>
              <w:rPr>
                <w:sz w:val="20"/>
                <w:szCs w:val="20"/>
                <w:color w:val="auto"/>
              </w:rPr>
            </w:pPr>
            <w:r>
              <w:rPr>
                <w:rFonts w:ascii="Arial" w:cs="Arial" w:eastAsia="Arial" w:hAnsi="Arial"/>
                <w:sz w:val="14"/>
                <w:szCs w:val="14"/>
                <w:color w:val="auto"/>
              </w:rPr>
              <w:t>(26%</w:t>
            </w:r>
            <w:r>
              <w:rPr>
                <w:rFonts w:ascii="Arial" w:cs="Arial" w:eastAsia="Arial" w:hAnsi="Arial"/>
                <w:sz w:val="24"/>
                <w:szCs w:val="24"/>
                <w:color w:val="auto"/>
                <w:vertAlign w:val="superscript"/>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8"/>
                <w:szCs w:val="18"/>
                <w:color w:val="auto"/>
              </w:rPr>
            </w:pPr>
          </w:p>
        </w:tc>
        <w:tc>
          <w:tcPr>
            <w:tcW w:w="76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46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2013 COMPARED TO YEAR ENDED DECEMBER 31, 2012</w:t>
      </w:r>
    </w:p>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reported net income attributable to the Accommodations business for the year ended December 31, 2013 of $181.9 million. This result compares to net income attributable to the Accommodations business of $244.7 million reported for the year ended December 31, 2012, which included a gain of $17.9 million from a favorable contract settlement reported in our U.S. accommodations segment.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decreased $67.8 million, or 6%, in 2013 compared to 2012.</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Canadian segment reported revenues in 2013 that were $6.7 million, or 1%, lower than those in 2012. The decrease in Canadian accommodations revenue primarily resulted from a 9% reduction in Revenue per Available Room (RevPAR) in our lodges. The RevPAR reduction was due to a 3% weakening of the Canadian dollar relative to the U.S. dollar as well as lower contracted rates at our Wapasu Lodge and modestly reduced occupancy at our Beaver River and Athabasca Lodges. Those declines were partially offset by an 8% increase in the average number of available lodge rooms.</w:t>
      </w:r>
    </w:p>
    <w:p>
      <w:pPr>
        <w:spacing w:after="0" w:line="15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Australian segment reported revenues in 2013 that were $20.7 million, or 7%, below 2012. Increased revenue at our Coppabella and Narrabri villages due to room additions as well as contributions from our new Karratha village were offset by lower occupancy at our Middlemount and Calliope villages. Additionally, the exchange rate between the U.S. dollar and Australian dollar resulted in a 7% year over year reduction in revenue. Within Australia, the average number of available rooms increased by 15%, but unfavorable exchange rate movements and reduced occupancy at Calliope and Middlemount contributed to a decrease in RevPAR of 19%.</w:t>
      </w:r>
    </w:p>
    <w:p>
      <w:pPr>
        <w:spacing w:after="0" w:line="188"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Our U.S. segment reported revenues in 2013 that were $40.4 million, or 35%, below 2012. The decrease in U.S. accommodations revenue primarily due to lower utilization of our rooms due to a reduced rig count and weather related issues in the Bakken as well as reduced pricing due to high levels of competition . Additionally, 2012 results included $18.3 million in revenue from a favorable contract settlement reported during the first quarter of 2012.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9" w:name="page330"/>
    <w:bookmarkEnd w:id="329"/>
    <w:p>
      <w:pPr>
        <w:ind w:right="80" w:firstLine="324"/>
        <w:spacing w:after="0" w:line="256"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decreased $2.8 million, or 1%, in 2013 compared to 2012 primarily due to weaker Canadian and</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dollars relative to the U.S. dollar and lower manufacturing costs, partially offset by increased room capacity in Canada and Australia. Our gross margin as a percentage of revenues decreased from 50% in 2012 to 47% in 2013 in part due to the favorable contract settlement reported in our U.S. accommodations segment in 2012. Excluding the favorable contract settlement, our gross margin as a percentage of revenues would have been 49% in 2012. The decrease in gross margin as a percentage of revenues from the adjusted 49% in 2012 to 47% in 2013 was primarily due to lower contracted rates in Canada.</w:t>
      </w:r>
    </w:p>
    <w:p>
      <w:pPr>
        <w:spacing w:after="0" w:line="19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Canadian segment cost of sales increased $12.1 million, or 3%, in 2013 compared to 2012 due primarily to increased room capacity at Henday and Conklin lodges as well as the start-up of Anzac Lodge. Our Canadian segment gross margin as a percentage of revenues fell from 46% in 2012 to 44% in 2013.</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Australian segment cost of sales decreased $8.5 million, or 8%, in 2013 compared to 2012 primarily due to a weaker Australian dollar relative to the U.S. dollar and lower occupancy partially offset by an increased room capacity of 15%. Our Australian accommodations segment gross margin as a percentage of revenues was flat at 62% in 2013 compared to 2012.</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U.S. segment cost of sales decreased $6.4 million, or 11%, in 2013 compared to 2012 primarily due to lower revenues in the segment. Our U.S. accommodations segment gross margin as a percentage of revenues decreased from 47% in 2012, which was heavily influenced by $17.9 million in gross profit due to a favorable contract settlement, to 27% in 2013. Excluding the contract settlement, gross margin in the U.S. would have been 38%. The year over year negative variance is primarily due to lower utilization of our rooms due to a reduced rig count in our regions of operation and weather related issues in the Bakken as well as reduced pricing due to high levels of competition. U.S. accommodations are driven by shorter-term and spot contracts and, therefore, experience more volatility due to commodity price changes.</w:t>
      </w:r>
    </w:p>
    <w:p>
      <w:pPr>
        <w:spacing w:after="0" w:line="189"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$5.4 million, or 8%, in 2013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2012 primarily due to increased bad debt expense, professional fees, rent and employee-related costs, partially offset by the weakening of the Australian and Canadian dollars relative to the U.S. dollar in 2013 compared to 2012.</w:t>
      </w:r>
    </w:p>
    <w:p>
      <w:pPr>
        <w:spacing w:after="0" w:line="176"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increased $28.2 million, or 20%, in 2013 compared to 2012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made in Canadian lodges and Australian villages during 2012 and 2013.</w:t>
      </w:r>
    </w:p>
    <w:p>
      <w:pPr>
        <w:spacing w:after="0" w:line="162"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decreased $93.4 million, or 26%, in 2013 compared to 2012 primarily due to the favorable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reported in our U.S. accommodations segment in 2012, the lower RevPAR in Canada, lower occupancy levels in Australia, increased depreciation expense on accommodations assets and lower utilization for our U.S. accommodations assets, partially offset by an increase in average available rooms in 2013 compared to 2012 and a gain of $4.0 million from a reduction in the fair value of a liability associated with contingent acquisition consideration in our U.S. accommodations segment.</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Interest Expense and Interest Income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Net interest expense, including interest expense and income to/from affiliates, decreased by $2.3 million, or 9%,</w:t>
      </w:r>
      <w:r>
        <w:rPr>
          <w:rFonts w:ascii="Arial" w:cs="Arial" w:eastAsia="Arial" w:hAnsi="Arial"/>
          <w:sz w:val="17"/>
          <w:szCs w:val="17"/>
          <w:b w:val="1"/>
          <w:bCs w:val="1"/>
          <w:color w:val="auto"/>
        </w:rPr>
        <w:t xml:space="preserve"> </w:t>
      </w:r>
      <w:r>
        <w:rPr>
          <w:rFonts w:ascii="Arial" w:cs="Arial" w:eastAsia="Arial" w:hAnsi="Arial"/>
          <w:sz w:val="17"/>
          <w:szCs w:val="17"/>
          <w:color w:val="auto"/>
        </w:rPr>
        <w:t>in 2013 compared to 2012 primarily due to decreased interest expense on the Canadian dollar-denominated long-term debt with affiliates as a result of the weakening of the Canadian dollar to U.S. dollar exchange rate in 2013 compared to 2012. During the second quarter of 2013, $1.2 million of deferred financing costs, representing the remaining unamortized balance of deferred financing costs associated with our Canadian term loan, was expensed due to its repayment in full. Interest income increased as a result of increased cash balances in interest bearing accounts.</w:t>
      </w:r>
    </w:p>
    <w:p>
      <w:pPr>
        <w:spacing w:after="0" w:line="168"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income tax provision in 2013 totaled $56.1 million, or 23% of pretax income, compared to income tax expense of $84.3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26% of pretax income, in 2012. The effective tax rates for the year ended December 31, 2013 and 2012, respectively, are lower than U.S. statutory rates due to a lower proportion of U.S. income which is taxed at higher statutory rates. Statutory corporate, federal tax rates in Canada and Australia were 25% and 30%, respectively, in both 2013 and 2012. The effective tax rate is below the statutory rate due to permanent differences related to the acquisition of our Australian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auto"/>
        </w:rPr>
        <w:t>YEAR ENDED DECEMBER 31, 2012 COMPARED TO YEAR ENDED DECEMBER 31, 2011</w:t>
      </w:r>
    </w:p>
    <w:p>
      <w:pPr>
        <w:spacing w:after="0" w:line="229" w:lineRule="exact"/>
        <w:rPr>
          <w:sz w:val="20"/>
          <w:szCs w:val="20"/>
          <w:color w:val="auto"/>
        </w:rPr>
      </w:pPr>
    </w:p>
    <w:p>
      <w:pPr>
        <w:jc w:val="both"/>
        <w:ind w:right="400" w:firstLine="324"/>
        <w:spacing w:after="0" w:line="342" w:lineRule="auto"/>
        <w:rPr>
          <w:sz w:val="20"/>
          <w:szCs w:val="20"/>
          <w:color w:val="auto"/>
        </w:rPr>
      </w:pPr>
      <w:r>
        <w:rPr>
          <w:rFonts w:ascii="Arial" w:cs="Arial" w:eastAsia="Arial" w:hAnsi="Arial"/>
          <w:sz w:val="16"/>
          <w:szCs w:val="16"/>
          <w:color w:val="auto"/>
        </w:rPr>
        <w:t>We reported net income for the year ended December 31, 2012 of $244.7 million including a pre-tax gain of $17.9 million from a favorable contract settlement reported in our U.S. accommodations segment. These results compare to net income for the year ended December 31, 2011 of $168.5 million.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revenues in 2012 that were $244.2 million, or 28%, above 2011. The increase in revenue primarily resulted from expanded room capacity in Canada and Australia along with $17.9 million in revenue from a favorable contract settlement reported in our U.S. accommodations segment during the first quarter of 2012. Revenues, average available rooms and RevPAR for our lodges and villages increased 35%, 23% and 10%, respectively, in 2012 compared to 2011.</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$244.2 million, or 28%, in 2012 compared to 2011.</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17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increased $96.0 million, or 21%, in 2012 compared to 2011. This cost of sales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increase in available 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17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$9.8 million, or 18%, in 2012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2011 primarily due to increased employee-related costs related to higher total headcount.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31" w:name="page332"/>
    <w:bookmarkEnd w:id="331"/>
    <w:p>
      <w:pPr>
        <w:ind w:right="300" w:firstLine="324"/>
        <w:spacing w:after="0" w:line="31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expense increased $28.3 million, or 26%, in 2012 compared to 2011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made during 2011 and 2012 largely related to investments in our Canadian and Australian lodges and villages.</w:t>
      </w:r>
    </w:p>
    <w:p>
      <w:pPr>
        <w:spacing w:after="0" w:line="138" w:lineRule="exact"/>
        <w:rPr>
          <w:sz w:val="20"/>
          <w:szCs w:val="20"/>
          <w:color w:val="auto"/>
        </w:rPr>
      </w:pPr>
    </w:p>
    <w:p>
      <w:pPr>
        <w:jc w:val="both"/>
        <w:ind w:right="26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$110.7 million, or 46%, in 2012 compared to 2011 primarily as a result of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from our Canadian operations of $64.1 million, or 39%, due to expanded room capacity and higher Australian operating income of $36.0 million, or 57%, along with the favorable contract settlement reported in our U.S. accommodations segment.</w:t>
      </w:r>
    </w:p>
    <w:p>
      <w:pPr>
        <w:spacing w:after="0" w:line="158"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$6.1 million, or 31%, in</w:t>
      </w:r>
      <w:r>
        <w:rPr>
          <w:rFonts w:ascii="Arial" w:cs="Arial" w:eastAsia="Arial" w:hAnsi="Arial"/>
          <w:sz w:val="18"/>
          <w:szCs w:val="18"/>
          <w:b w:val="1"/>
          <w:bCs w:val="1"/>
          <w:color w:val="auto"/>
        </w:rPr>
        <w:t xml:space="preserve"> </w:t>
      </w:r>
      <w:r>
        <w:rPr>
          <w:rFonts w:ascii="Arial" w:cs="Arial" w:eastAsia="Arial" w:hAnsi="Arial"/>
          <w:sz w:val="18"/>
          <w:szCs w:val="18"/>
          <w:color w:val="auto"/>
        </w:rPr>
        <w:t>2012 compared to 2011 primarily due to increased outstanding debt levels with affiliates. Interest income decreased as a result of lower interest rates, partially offset by increased cash balances in interest bearing accounts.</w:t>
      </w:r>
    </w:p>
    <w:p>
      <w:pPr>
        <w:spacing w:after="0" w:line="176" w:lineRule="exact"/>
        <w:rPr>
          <w:sz w:val="20"/>
          <w:szCs w:val="20"/>
          <w:color w:val="auto"/>
        </w:rPr>
      </w:pPr>
    </w:p>
    <w:p>
      <w:pPr>
        <w:ind w:right="260" w:firstLine="324"/>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2012 totaled $84.3 million, or 26% of pretax income, compared to income tax expense of $55.1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25% of pretax income, for 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Cash totaling $337.4 million was provided by operations during the year ended December 31, 2013 compared to cash totaling $432.7 million provided by operations during the year ended December 31, 2012. The decrease in operating cash flow in 2013 compared to 2012 was primarily due to weaker Canadian and Australian dollars relative to the U.S. dollar and lower occupancy levels in the lodges and villages. During the year ended December 31, 2013, changes in working capital used $26.4 million of cash flow compared to $33.0 million generated from working capital for the year ended December 31, 2012. The primary changes in working capital were related to purchases of inventory and a reduction in taxes payable.</w:t>
      </w:r>
    </w:p>
    <w:p>
      <w:pPr>
        <w:spacing w:after="0" w:line="173"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Cash was used in investing activities during the years ended December 31, 2013 and 2012 in the amounts of $284.2 million and $305.7 million, respectively. Capital expenditures totaled $291.7 million and $314.0 million during the years ended December 31, 2013 and 2012, respectively. Capital expenditures in both years consisted principally of construction and installation of assets for our lodges and villages primarily in support of Canadian oil sands projects and Australian mining production and development projects.</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Based on management’s judgment of asset classifications, we believe the following table represents the components of capital expenditures for the years ended December 31, 2013, 2012 and 2011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Land banking</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Mobile/open camp</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32" w:name="page333"/>
    <w:bookmarkEnd w:id="332"/>
    <w:p>
      <w:pPr>
        <w:ind w:right="20" w:firstLine="324"/>
        <w:spacing w:after="0" w:line="290" w:lineRule="auto"/>
        <w:rPr>
          <w:sz w:val="20"/>
          <w:szCs w:val="20"/>
          <w:color w:val="auto"/>
        </w:rPr>
      </w:pPr>
      <w:r>
        <w:rPr>
          <w:rFonts w:ascii="Arial" w:cs="Arial" w:eastAsia="Arial" w:hAnsi="Arial"/>
          <w:sz w:val="16"/>
          <w:szCs w:val="16"/>
          <w:color w:val="auto"/>
        </w:rPr>
        <w:t>Development spending in 2013 was primarily related to the expansion of the Beaver River and Conklin lodges, and completion of the initial rooms at our Anzac lodge in Canada. In 2013, we also completed the initial phase of construction at Boggabri village in Australia. In addition, we commenced construction of our McClelland Lake lodge in the northern Athabasca oil sands region of Canada. Development capital expenditures in 2012 were primarily related to the expansion of the Athabasca, Henday and Conklin lodges in Canada and the commencement of Anzac lodge, also in Canada. In Australia, we continued the expansion of the Coppabella, Dysart, Moranbah and Narrabri villages, completed construction of the initial stage of the Karratha village and commenced construction on the Boggabri village. Development capital expenditures in 2011 were primarily related to the expansion of Wapasu Creek Lodge and initial construction of the Henday Lodge, both located in Canada. Development spending in Australia, included expansion at the Coppabella, Dysart, Moranbah and Middlemount villages and commencement of the initial construction of the Karratha, Narrabri and Calliope villages.</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Open and mobile camp spending in 2013 was primarily related to additions to our Canadian mobile camp assets as well as spending on our Boundary open camp in Estevan, Saskatchewan and open camp locations in Killdeer, North Dakota and Pecos, Texas . Capital spending on mobile camp units and open camps in 2012 was primarily related to additions to our well site and Canadian mobile camp assets as well as our open camp locations in Three Rivers, Texas; Estevan, Saskatchewan; and Red Earth, Alberta. Mobile and open camp spending in 2011 was primarily related to additions to our Canadian mobile camp assets.</w:t>
      </w:r>
    </w:p>
    <w:p>
      <w:pPr>
        <w:spacing w:after="0" w:line="18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primarily utilize our internal manufacturing capabilities to construct our accommodations properties. We capitalize direct construction, engineering and installation costs and related overhead costs for these assets. In addition, we capitalize interest expense depending on the size and duration of a construction project. Interest expense on the combined statements of income is net of capitalized interest of $0.8 million, $3.5 million and $5.1 million, respectively, for the years ended December 31, 2013, 2012 and 2011. Capitalized interest varies year-to-year due to the level of development spending and debt levels outstanding. We currently expect to spend a total of approximately $300 million to $350 million for capital expenditures during 2014 primarily to expand existing and develop new accommodation assets. We expect to fund these capital expenditures with cash available, internally generated funds and borrowings under our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cash of $30.3 million was provided by financing activities during 2013, primarily due to contributions from Oil States and partially offset by the repayment of all amounts outstanding under our Canadian term loan and repayments under our Australian credit facility. Net cash of $1.5 million was provided by financing activities during 2012, primarily as a result of contributions from Oil States , partially offset by repayments on our Canadian term loan and Australian credit facility, payment of financing costs related to the Australian credit facility and the repayment of the remaining outstanding balance of a note with the former owners of Mountain West.</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provide us with additional liquidity following the spin-off, we anticipate that we will enter into a credit facility with availability in Canada, Australia and the U.S and a U.S. term loan facility, as further described below. Borrowings under our credit facility and our term loan facility are expected to fund the anticipated cash distribution of $650.0 million to $850.0 million to Oil States at closing as well as for general corporate purposes. We believe that cash on hand, cash flow from operations and available borrowings under our new credit facility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3" w:name="page334"/>
    <w:bookmarkEnd w:id="333"/>
    <w:p>
      <w:pPr>
        <w:ind w:firstLine="324"/>
        <w:spacing w:after="0" w:line="269" w:lineRule="auto"/>
        <w:rPr>
          <w:sz w:val="20"/>
          <w:szCs w:val="20"/>
          <w:color w:val="auto"/>
        </w:rPr>
      </w:pPr>
      <w:r>
        <w:rPr>
          <w:rFonts w:ascii="Arial" w:cs="Arial" w:eastAsia="Arial" w:hAnsi="Arial"/>
          <w:sz w:val="17"/>
          <w:szCs w:val="17"/>
          <w:b w:val="1"/>
          <w:bCs w:val="1"/>
          <w:color w:val="auto"/>
        </w:rPr>
        <w:t xml:space="preserve">Credit Facilities and Long Term Debt. </w:t>
      </w:r>
      <w:r>
        <w:rPr>
          <w:rFonts w:ascii="Arial" w:cs="Arial" w:eastAsia="Arial" w:hAnsi="Arial"/>
          <w:sz w:val="17"/>
          <w:szCs w:val="17"/>
          <w:color w:val="auto"/>
        </w:rPr>
        <w:t>We have historically relied on Oil States for financial support and cash management. Following the spin-off, our</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structure and sources of liquidity will change. Upon the closing of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an amount to be determined up to $775.0 million in favor of Civeo. U.S. Dollar amounts outstanding under the credit facilities are expected to bear interest at a variable rate equal to LIBOR plus a margin of 1.75% to 2.75%, or a base rate plus 0.75% to 1.75%, based on our total leverage, in each case based on a ratio of our total leverage to EBITDA (as defined in the credit facilities). Canadian Dollar amounts outstanding under the credit facilities are expected to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are expected to bear interest at a variable rate equal to BBSY plus a margin of 1.75% to 2.75%, based on a ratio of our total leverage to EBITDA (as defined in the credit facilities). We expect to pay certain customary fees with respect to the credit facility.</w:t>
      </w:r>
    </w:p>
    <w:p>
      <w:pPr>
        <w:spacing w:after="0" w:line="184"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will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16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Following the spin-off, we intend to commence the payment of cash dividends on our common stock, subject to our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and depending on, among other things, our results of operations, financial condition, level of indebtedness, capital requirements, business prospects and other factors that our board of directors may deem relevant. In addition, our ability to pay dividends on our common stock is limited by covenants in our credit facilities. Future agreements may also limit our ability to pay dividends, and we may incur incremental taxes in the United States if we repatriate foreign earnings to pay such dividends. See “Dividend Policy,” “Description of Material Indebtedness” and “—Tax Matters.”</w:t>
      </w:r>
    </w:p>
    <w:p>
      <w:pPr>
        <w:spacing w:after="0" w:line="154"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summarizes our contractual obligations at December 31, 2013, and the effect such obligations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our liquidity and cash flow over the next five years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1 - 3 years</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0"/>
              </w:rPr>
              <w:t>3 - 5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debt, including capital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10,364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 expected cash payments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445,737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52,108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debt obligations at December 31, 2013 are included in our combined balance sheet, which is a part of our Combined Financial Statements included in this Form 10. We have not entered into any material leases subsequent to December 31,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4" w:name="page335"/>
    <w:bookmarkEnd w:id="334"/>
    <w:p>
      <w:pPr>
        <w:ind w:right="100" w:firstLine="324"/>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2013, we are unable to make reasonably reliable estimates of the period of cash settlement with the respective taxing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we had no off-balance sheet arrangements as defined in Item 303(a)(4)(ii)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primary deferred tax assets at December 31, 2013, are related to deductible goodwill and other intangibles, and our asset retirement obligation.</w:t>
      </w:r>
    </w:p>
    <w:p>
      <w:pPr>
        <w:spacing w:after="0" w:line="24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Contingencies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Tangible and Intangible Assets, including Goodwill</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goodwill totaled $261.0 million, or 12%, of our total assets, as of December 31, 2013. Our other intangible assets totaled $75.7 million, or 4%, of our total assets, as of December 31, 2013.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35" w:name="page336"/>
    <w:bookmarkEnd w:id="335"/>
    <w:p>
      <w:pPr>
        <w:ind w:right="60" w:firstLine="324"/>
        <w:spacing w:after="0" w:line="285" w:lineRule="auto"/>
        <w:rPr>
          <w:sz w:val="20"/>
          <w:szCs w:val="20"/>
          <w:color w:val="auto"/>
        </w:rPr>
      </w:pPr>
      <w:r>
        <w:rPr>
          <w:rFonts w:ascii="Arial" w:cs="Arial" w:eastAsia="Arial" w:hAnsi="Arial"/>
          <w:sz w:val="16"/>
          <w:szCs w:val="16"/>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2013,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2013, our quantitative assessment indicated that the fair value of each of our reporting units is greater than its carrying amount.</w:t>
      </w: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and Cost Recognition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the rate or committed room numbers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6" w:name="page337"/>
    <w:bookmarkEnd w:id="336"/>
    <w:p>
      <w:pPr>
        <w:ind w:right="18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Estimation of Useful Lives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6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7" w:name="page338"/>
    <w:bookmarkEnd w:id="337"/>
    <w:p>
      <w:pPr>
        <w:ind w:firstLine="324"/>
        <w:spacing w:after="0" w:line="273" w:lineRule="auto"/>
        <w:rPr>
          <w:sz w:val="20"/>
          <w:szCs w:val="20"/>
          <w:color w:val="auto"/>
        </w:rPr>
      </w:pPr>
      <w:r>
        <w:rPr>
          <w:rFonts w:ascii="Arial" w:cs="Arial" w:eastAsia="Arial" w:hAnsi="Arial"/>
          <w:sz w:val="17"/>
          <w:szCs w:val="17"/>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7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38" w:name="page339"/>
    <w:bookmarkEnd w:id="338"/>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2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one of the largest integrated providers of long-term and temporary remote site accommodations, logistics and facility management services to the natural resource industry. We operate in some of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118745</wp:posOffset>
            </wp:positionV>
            <wp:extent cx="2564130" cy="24009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41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sufficient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lodging,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maintaining employee welfare and satisfaction while focusing their investment on their core resource production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2013, we generated $1.0 billion in revenue and $259.5 million in operating income.</w:t>
      </w:r>
    </w:p>
    <w:p>
      <w:pPr>
        <w:spacing w:after="0" w:line="17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have long-standing relationships with many of our customers, many of whom are large investment grade energy and mining companies. This customer profile provides us with a stable and recurring revenue base.</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(1) the development or construction phase and (2) the operations and production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operating and production activities, sustaining and maintenance capital spending,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that we think will generate strong returns on our deployed capital.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39" w:name="page340"/>
    <w:bookmarkEnd w:id="339"/>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2013, we generated $1.0 billion in revenues and $259.5 million in operating income. For the year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more than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Twelve Months Ended December 31,</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4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8"/>
              </w:rPr>
              <w:t>(In millions, except</w:t>
            </w:r>
          </w:p>
        </w:tc>
        <w:tc>
          <w:tcPr>
            <w:tcW w:w="17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5"/>
              </w:rPr>
              <w:t>for average available</w:t>
            </w:r>
          </w:p>
        </w:tc>
        <w:tc>
          <w:tcPr>
            <w:tcW w:w="260" w:type="dxa"/>
            <w:vAlign w:val="bottom"/>
          </w:tcPr>
          <w:p>
            <w:pPr>
              <w:spacing w:after="0"/>
              <w:rPr>
                <w:sz w:val="16"/>
                <w:szCs w:val="16"/>
                <w:color w:val="auto"/>
              </w:rPr>
            </w:pPr>
          </w:p>
        </w:tc>
        <w:tc>
          <w:tcPr>
            <w:tcW w:w="14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77"/>
              </w:rPr>
              <w:t>lodges/villages rooms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and RevPAR)</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Lodge/Village Revenue (1)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550.2</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Lodge/Village Revenue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804.2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823.9</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Mobile and Open Camp Revenue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Mobile and Open Camp Revenue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236.9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285.0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1,041.1</w:t>
            </w: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Available Lodge/Village Rooms (2)</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10,660</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Lodge/Village Rooms</w:t>
            </w:r>
          </w:p>
        </w:tc>
        <w:tc>
          <w:tcPr>
            <w:tcW w:w="900" w:type="dxa"/>
            <w:vAlign w:val="bottom"/>
          </w:tcPr>
          <w:p>
            <w:pPr>
              <w:spacing w:after="0"/>
              <w:rPr>
                <w:sz w:val="18"/>
                <w:szCs w:val="18"/>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20,466</w:t>
            </w: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18,421</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RevPAR for Lodges and Villages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RevPAR for Lodges and Villages</w:t>
            </w:r>
          </w:p>
        </w:tc>
        <w:tc>
          <w:tcPr>
            <w:tcW w:w="90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Occupancy in Lodges and Villages (3)</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9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640"/>
              <w:spacing w:after="0"/>
              <w:rPr>
                <w:sz w:val="20"/>
                <w:szCs w:val="20"/>
                <w:color w:val="auto"/>
              </w:rPr>
            </w:pPr>
            <w:r>
              <w:rPr>
                <w:rFonts w:ascii="Arial" w:cs="Arial" w:eastAsia="Arial" w:hAnsi="Arial"/>
                <w:sz w:val="18"/>
                <w:szCs w:val="18"/>
                <w:color w:val="auto"/>
              </w:rPr>
              <w:t>Total Occupancy in Lodges and Villages</w:t>
            </w:r>
          </w:p>
        </w:tc>
        <w:tc>
          <w:tcPr>
            <w:tcW w:w="90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Exchange Rate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Canadian dollar to US dollar</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0.9711</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1.0006</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Australian dollar to US dollar</w:t>
            </w:r>
          </w:p>
        </w:tc>
        <w:tc>
          <w:tcPr>
            <w:tcW w:w="900" w:type="dxa"/>
            <w:vAlign w:val="bottom"/>
          </w:tcPr>
          <w:p>
            <w:pPr>
              <w:spacing w:after="0"/>
              <w:rPr>
                <w:sz w:val="20"/>
                <w:szCs w:val="20"/>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0.9650</w:t>
            </w:r>
          </w:p>
        </w:tc>
        <w:tc>
          <w:tcPr>
            <w:tcW w:w="1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1.0359</w:t>
            </w:r>
          </w:p>
        </w:tc>
        <w:tc>
          <w:tcPr>
            <w:tcW w:w="4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Includes revenue related to rooms as well as the fees associated with catering, laundry and other services including facilities management.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40" w:name="page341"/>
    <w:bookmarkEnd w:id="340"/>
    <w:p>
      <w:pPr>
        <w:ind w:right="160" w:firstLine="324"/>
        <w:spacing w:after="0" w:line="277" w:lineRule="auto"/>
        <w:rPr>
          <w:sz w:val="20"/>
          <w:szCs w:val="20"/>
          <w:color w:val="auto"/>
        </w:rPr>
      </w:pPr>
      <w:r>
        <w:rPr>
          <w:rFonts w:ascii="Arial" w:cs="Arial" w:eastAsia="Arial" w:hAnsi="Arial"/>
          <w:sz w:val="18"/>
          <w:szCs w:val="18"/>
          <w:color w:val="auto"/>
        </w:rPr>
        <w:t>We have grown our average available room count by 196% since 2010 through our acquisition of The MAC as well as a disciplined capital expenditure program. Over the same period, we have more than doubled our revenue related to major villages and lodges.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Own, Operate model with solutions that span the lifecycle of the customers’ projects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we believe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 a competitive advantage in securing new contracts. Through a predecessor,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came with the establishment of our PTI Lodge in 1998 and through our predecessor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a more stable revenue base</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generally have long-term development horizons that we believe provide us with a long term opportunity for occupancy in our lodges and villages. Many of our guests are working on resource assets that have expected 30-40 year production lives, although production levels, and thus our occupancy, may fluctuate during these periods as commodity prices vary. Many of our accommodations are strategically located near concentrations of large resource projects, allowing multiple customers to access our sites and share accommodations costs that would otherwise be borne by each project individually.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1" w:name="page342"/>
    <w:bookmarkEnd w:id="341"/>
    <w:p>
      <w:pPr>
        <w:ind w:right="20"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for our industry, longer-term visibility and stability to our operations. We seek a customer base that typically contracts for accommodations services under two to five year, take-or-pay contracts, providing more stable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enhancing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banking focus with a pipeline of approved developments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 first-mover advantage as competitors may be less willing to speculatively build large-scale accommodation facilities without firm customer commitments.</w:t>
      </w:r>
    </w:p>
    <w:p>
      <w:pPr>
        <w:spacing w:after="0" w:line="1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currently operate in a total of twenty-eight locations, which includes seven lodges, ten villages and eleven open camps across Australia, Canada and the U.S., several of which have the capacity for further expansion if market and customer demands grow and if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pipeline of five undeveloped sites that have received the necessary permitting and regulatory approvals. We believe this will allow us to respond promptly to future room demand in emerging regions.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and have significant requirements for equipment and labor. Service providers, particularly outsourced accommodations providers, in this sector must have significant operational and financial scale and resources to adequately serve these sizable developments. With cash flow from existing facilities coupled with our solid financial structure, we are capable and willing to invest further to support customer growth plans. As a result of our significant investments made over the last four years, we have more than doubled our accommodations revenues to $1.0 billion in 2013. We are one of the largest global providers of accommodations services. We have spent $1.2 billion for capital expenditures in North America since Oil States’ IPO in 2001 and $375.8 million in Australia since our acquisition of The MAC in 2010. Our largest lodge, Wapasu Creek Lodge, has over 5,100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auto"/>
        </w:rPr>
        <w:t>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have considerable growth opportunities in our existing markets through our portfolio of permitted, undeveloped locations. We also have permitted expansion capability in some of our current operating lodges and villages. The permits associated with land banked undeveloped locations and existing locations allow for the development of up to approximately16,000 additional lodge and village rooms over time, which represents a potential increase of more than 75% over the 20,857 rooms in operation as of December 31, 2013. For the three years ended December 31, 2013, we have invested $28.2 million on land banking. However, we are under no obligation to develop these sites and cannot provide any assurance that these locations will be developed. See “Risk Factors – Our land banking strategy may not be successful.” With our integrated business model, this pipeline of permitted developments provides us with the ability to respond quickly to customer project approvals and be a first-mover in regions with emerging accommodation demand.</w:t>
      </w:r>
    </w:p>
    <w:p>
      <w:pPr>
        <w:spacing w:after="0" w:line="16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some of our base markets as well as properties that extend the reach of our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contract profile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78% through the addition of 4,052 rooms while adding four villages to that portfolio.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we believe that there continues to be strong, stable demand in certain non-energy markets, typically characterized by long-tenured projects, with some in remote locations.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are assessing the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History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78"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auto"/>
        </w:rPr>
        <w:t>Our Industry</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infrastructure is often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17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7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ten years, customers have moved away from the insourcing business model recognizing that accommodations are non-core investments for their business.</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1" w:right="27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year ended December 31, 2013, we generated approximately 68% of our revenue and 74% of our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Athabasca oil sands are located in northern Alberta, an area that is very remote with a limited local labor supply. Of Canada’s 33.5 million residents, nearly half of the population lives in ten cities, only 10% of the population lives in Alberta and less than 1% live within 100 km of the oil sands.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Activity in the Athabasca oil sands region generated over three-fourths of our Canadian revenue in 2013.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and pipeline expansion activity.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methods are used on reserves that are too deep for traditional mining methods.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technology typically injects steam to the deep oil sands in place to separate the bitumen from the sand and pumps it to the surface where it undergoes the same upgrading treatment as the mined bitumen. Reserves requiring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techniques of extraction represent 80% of the established recoverable reserves in Alberta.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generally require less capital and personnel and produce lower volumes of bitumen per development, with higher ongoing operating expense per barrel of bitumen produced.</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February 2014, Oil States announced that our Canadian segment had begun construction on McClelland Lake Lodge in the northern Athabasca oil sands. The lodge will have an initial capacity of 1,561 rooms and the potential to reach 1,997 rooms. We plan to open the lodge in the summer of 2014 and reach our full initial capacity in the fourth quarter of 2014. McClelland Lake Lodge will initially support a new oil sands mining project in the region under a three-year contract for the majority of the rentable rooms.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169545</wp:posOffset>
            </wp:positionV>
            <wp:extent cx="3464560" cy="24701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ind w:left="320"/>
              <w:spacing w:after="0"/>
              <w:rPr>
                <w:sz w:val="20"/>
                <w:szCs w:val="20"/>
                <w:color w:val="auto"/>
              </w:rPr>
            </w:pPr>
            <w:r>
              <w:rPr>
                <w:rFonts w:ascii="Arial" w:cs="Arial" w:eastAsia="Arial" w:hAnsi="Arial"/>
                <w:sz w:val="18"/>
                <w:szCs w:val="18"/>
                <w:i w:val="1"/>
                <w:iCs w:val="1"/>
                <w:color w:val="auto"/>
              </w:rPr>
              <w:t>Rooms in our Canadian Lodges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Extraction</w:t>
            </w: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Lodges</w:t>
            </w:r>
          </w:p>
        </w:tc>
        <w:tc>
          <w:tcPr>
            <w:tcW w:w="100" w:type="dxa"/>
            <w:vAlign w:val="bottom"/>
          </w:tcPr>
          <w:p>
            <w:pPr>
              <w:spacing w:after="0"/>
              <w:rPr>
                <w:sz w:val="18"/>
                <w:szCs w:val="18"/>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Region</w:t>
            </w:r>
          </w:p>
        </w:tc>
        <w:tc>
          <w:tcPr>
            <w:tcW w:w="200" w:type="dxa"/>
            <w:vAlign w:val="bottom"/>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Technique</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5,174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Henday</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mining/in situ</w:t>
            </w:r>
          </w:p>
        </w:tc>
        <w:tc>
          <w:tcPr>
            <w:tcW w:w="1240" w:type="dxa"/>
            <w:vAlign w:val="bottom"/>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1,698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Athabasca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1,877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Beaver River</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N.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mining</w:t>
            </w:r>
          </w:p>
        </w:tc>
        <w:tc>
          <w:tcPr>
            <w:tcW w:w="124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876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Conklin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Anzac</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 Athabasca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in situ</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Lakeside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 Athabasca</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Our oil sands lodges support construction and operating personnel for maintenance and expansionary projects as well as ongoing operations associated with surface mining and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oil sands projects generally under medium-term contracts (two to three years). All of our lodge properties are located on land with leases obtained from the province of Alberta with initial terms of ten years. Our leases have expiration dates that range from 2015 to 2026. Currently, only 33% of our Canadian lodge rooms are on land with leases expiring prior to December 31, 2017. Thus far, we have successfully renewed or extended all expiring land leases and expect we will be able to in the future.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2013, we added 512 rooms (net of retirements) to our major oil sands lodges. Our Wapasu Creek Lodge is equivalent in size to the largest hotels in North America.</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Over 75% of our Canadian revenue in 2013 was generated by our seven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47" w:name="page348"/>
    <w:bookmarkEnd w:id="347"/>
    <w:p>
      <w:pPr>
        <w:ind w:left="340"/>
        <w:spacing w:after="0"/>
        <w:rPr>
          <w:sz w:val="20"/>
          <w:szCs w:val="20"/>
          <w:color w:val="auto"/>
        </w:rPr>
      </w:pPr>
      <w:r>
        <w:rPr>
          <w:rFonts w:ascii="Arial" w:cs="Arial" w:eastAsia="Arial" w:hAnsi="Arial"/>
          <w:sz w:val="18"/>
          <w:szCs w:val="18"/>
          <w:i w:val="1"/>
          <w:iCs w:val="1"/>
          <w:color w:val="auto"/>
        </w:rPr>
        <w:t>Open Camps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except for Waskada and Redvers, which are on leased land. We are currently working to renew these leases, which expire in 2014.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18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Rooms in our Canadian Open Camps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Open Camps</w:t>
            </w:r>
          </w:p>
        </w:tc>
        <w:tc>
          <w:tcPr>
            <w:tcW w:w="100" w:type="dxa"/>
            <w:vAlign w:val="bottom"/>
          </w:tcPr>
          <w:p>
            <w:pPr>
              <w:spacing w:after="0"/>
              <w:rPr>
                <w:sz w:val="20"/>
                <w:szCs w:val="20"/>
                <w:color w:val="auto"/>
              </w:rPr>
            </w:pPr>
          </w:p>
        </w:tc>
        <w:tc>
          <w:tcPr>
            <w:tcW w:w="258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Province</w:t>
            </w: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4"/>
              </w:rPr>
              <w:t>As of December 31,</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Mariana Lake</w:t>
            </w:r>
          </w:p>
        </w:tc>
        <w:tc>
          <w:tcPr>
            <w:tcW w:w="100" w:type="dxa"/>
            <w:vAlign w:val="bottom"/>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Boundary</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Saskatchewan</w:t>
            </w:r>
          </w:p>
        </w:tc>
        <w:tc>
          <w:tcPr>
            <w:tcW w:w="15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Manitoba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Red Earth</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Alberta</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Redvers</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Saskatchewan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Geetla</w:t>
            </w:r>
          </w:p>
        </w:tc>
        <w:tc>
          <w:tcPr>
            <w:tcW w:w="1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British Columbia</w:t>
            </w:r>
          </w:p>
        </w:tc>
        <w:tc>
          <w:tcPr>
            <w:tcW w:w="1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During the year ended December 31, 2013, we generated 25% of our revenue and 29% of our operating income from our Australian operations. As of December 31, 2013, we had 9,262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2013, we added 644 rooms to our Australian villages. In the third quarter of 2013, we opened our new Boggabri Village, consisting of 508 rooms, to serve the Gunnedah Basin.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five villages in the Bowen Basin of central Queensland generated 83% of our Australian revenue in 2013.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Australia is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Beyond the Bowen Basin, we serve several emerging markets with our five additional villages. At the end of 2013, we had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 related to gold mining, iron ore port expansions and LNG facilities operations on the Northwest Shelf through our Kambalda and Karratha villages.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3464560" cy="24701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6456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i w:val="1"/>
                <w:iCs w:val="1"/>
                <w:color w:val="auto"/>
                <w:w w:val="91"/>
              </w:rPr>
              <w:t>Rooms in our Australian Villages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Resource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88"/>
              </w:rPr>
              <w:t>Villages</w:t>
            </w:r>
          </w:p>
        </w:tc>
        <w:tc>
          <w:tcPr>
            <w:tcW w:w="100" w:type="dxa"/>
            <w:vAlign w:val="bottom"/>
          </w:tcPr>
          <w:p>
            <w:pPr>
              <w:spacing w:after="0"/>
              <w:rPr>
                <w:sz w:val="18"/>
                <w:szCs w:val="18"/>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Basin</w:t>
            </w:r>
          </w:p>
        </w:tc>
        <w:tc>
          <w:tcPr>
            <w:tcW w:w="2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Commodity</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8"/>
                <w:szCs w:val="18"/>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Coppabella</w:t>
            </w: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 coal</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Dysart</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Bowen</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240" w:type="dxa"/>
            <w:vAlign w:val="bottom"/>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1,912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Middlemount</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Bowen</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Gunnedah</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Narrabri</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Gunnedah</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502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Nebo</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Bowen</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Calliope</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LNG</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Kambalda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Karratha</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Pilbara</w:t>
            </w:r>
          </w:p>
        </w:tc>
        <w:tc>
          <w:tcPr>
            <w:tcW w:w="2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LNG, iron ore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208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Rooms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Australian accommodations segment operated ten villages with 9,262 rooms as of December 31,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2011, we opened Narrabri village, the first village of its kind in New South Wales, to service met coal mines and coal seam gas in the Gunnedah Basin. Our newest village, Boggabri, opened in the third quarter of 2013. Boggabri Village, whose first stage of 508 rooms opened in 2013,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the year ended December 31, 2013, our U.S. business generated 7% of our revenue at an operating loss. Our U.S. business is focused primarily on the Rocky Mountain corridor, the Bakken Shale region, the Eagle Ford Shale and Permian Basin regions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Market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498850" cy="24701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8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1" w:name="page352"/>
    <w:bookmarkEnd w:id="351"/>
    <w:tbl>
      <w:tblPr>
        <w:tblLayout w:type="fixed"/>
        <w:tblInd w:w="340" w:type="dxa"/>
        <w:tblCellMar>
          <w:top w:w="0" w:type="dxa"/>
          <w:left w:w="0" w:type="dxa"/>
          <w:bottom w:w="0" w:type="dxa"/>
          <w:right w:w="0" w:type="dxa"/>
        </w:tblCellMar>
      </w:tblPr>
      <w:tr>
        <w:trPr>
          <w:trHeight w:val="230"/>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Open Camps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4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United States Open Camp Rooms</w:t>
            </w:r>
          </w:p>
        </w:tc>
        <w:tc>
          <w:tcPr>
            <w:tcW w:w="100" w:type="dxa"/>
            <w:vAlign w:val="bottom"/>
          </w:tcPr>
          <w:p>
            <w:pPr>
              <w:spacing w:after="0"/>
              <w:rPr>
                <w:sz w:val="24"/>
                <w:szCs w:val="2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State</w:t>
            </w: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0"/>
              </w:rPr>
              <w:t>As of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2013</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Rivers Lodge</w:t>
            </w: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274</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Stanley House</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ND</w:t>
            </w:r>
          </w:p>
        </w:tc>
        <w:tc>
          <w:tcPr>
            <w:tcW w:w="1260" w:type="dxa"/>
            <w:vAlign w:val="bottom"/>
          </w:tcPr>
          <w:p>
            <w:pPr>
              <w:ind w:left="980"/>
              <w:spacing w:after="0"/>
              <w:rPr>
                <w:sz w:val="20"/>
                <w:szCs w:val="20"/>
                <w:color w:val="auto"/>
              </w:rPr>
            </w:pPr>
            <w:r>
              <w:rPr>
                <w:rFonts w:ascii="Arial" w:cs="Arial" w:eastAsia="Arial" w:hAnsi="Arial"/>
                <w:sz w:val="18"/>
                <w:szCs w:val="18"/>
                <w:color w:val="auto"/>
                <w:w w:val="79"/>
              </w:rPr>
              <w:t>199</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199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West Permian Lodge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TX</w:t>
            </w:r>
          </w:p>
        </w:tc>
        <w:tc>
          <w:tcPr>
            <w:tcW w:w="1260" w:type="dxa"/>
            <w:vAlign w:val="bottom"/>
            <w:tcBorders>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166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Killdeer Lodge</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ND</w:t>
            </w:r>
          </w:p>
        </w:tc>
        <w:tc>
          <w:tcPr>
            <w:tcW w:w="1260" w:type="dxa"/>
            <w:vAlign w:val="bottom"/>
          </w:tcPr>
          <w:p>
            <w:pPr>
              <w:ind w:left="980"/>
              <w:spacing w:after="0"/>
              <w:rPr>
                <w:sz w:val="20"/>
                <w:szCs w:val="20"/>
                <w:color w:val="auto"/>
              </w:rPr>
            </w:pPr>
            <w:r>
              <w:rPr>
                <w:rFonts w:ascii="Arial" w:cs="Arial" w:eastAsia="Arial" w:hAnsi="Arial"/>
                <w:sz w:val="18"/>
                <w:szCs w:val="18"/>
                <w:color w:val="auto"/>
                <w:w w:val="79"/>
              </w:rPr>
              <w:t>126</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United States Open Camp Rooms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tcBorders>
              <w:top w:val="single" w:sz="8" w:color="auto"/>
              <w:right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79"/>
              </w:rPr>
              <w:t>765</w:t>
            </w:r>
          </w:p>
        </w:tc>
        <w:tc>
          <w:tcPr>
            <w:tcW w:w="20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four open camps in the U.S. comprised of 765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182"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Community Relations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u w:val="single" w:color="auto"/>
          <w:color w:val="auto"/>
        </w:rPr>
        <w:t>Customers and Competitors</w:t>
      </w:r>
    </w:p>
    <w:p>
      <w:pPr>
        <w:spacing w:after="0" w:line="22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2013 were Imperial Oil Limited (a company controlled by ExxonMobil Corporation) and Fluor Canada Ltd and BM Alliance Coal Operations Pty Ltd (an alliance between BHP Billiton and Mitsubishi) in Australia.</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187" w:lineRule="exact"/>
        <w:rPr>
          <w:sz w:val="20"/>
          <w:szCs w:val="20"/>
          <w:color w:val="auto"/>
        </w:rPr>
      </w:pPr>
    </w:p>
    <w:p>
      <w:pPr>
        <w:ind w:right="1100" w:firstLine="324"/>
        <w:spacing w:after="0" w:line="342"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Corporation, Sodexo and Compass Group PLC for facility management services.</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70"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Lodge and Village Contracts</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Revenues from our lodges and villages represented over 75% of our consolidated revenues in 2013. Our customers typically contract for accommodations services under take-or-pay contracts with terms that most often range from two to five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2013, we had 69% of our rooms committed for 2014 and 42% of our rooms committed for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2013, we had 17,618 rooms under contract, or 84% of our available rooms. The table below details the expiration of those contracts: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Contracted Room</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Expiration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2015</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6,773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2017</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70"/>
              <w:spacing w:after="0"/>
              <w:rPr>
                <w:sz w:val="20"/>
                <w:szCs w:val="20"/>
                <w:color w:val="auto"/>
              </w:rPr>
            </w:pPr>
            <w:r>
              <w:rPr>
                <w:rFonts w:ascii="Arial" w:cs="Arial" w:eastAsia="Arial" w:hAnsi="Arial"/>
                <w:sz w:val="18"/>
                <w:szCs w:val="18"/>
                <w:color w:val="auto"/>
              </w:rPr>
              <w:t>87</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53" w:name="page354"/>
    <w:bookmarkEnd w:id="353"/>
    <w:p>
      <w:pPr>
        <w:ind w:left="340"/>
        <w:spacing w:after="0"/>
        <w:rPr>
          <w:sz w:val="20"/>
          <w:szCs w:val="20"/>
          <w:color w:val="auto"/>
        </w:rPr>
      </w:pPr>
      <w:r>
        <w:rPr>
          <w:rFonts w:ascii="Arial" w:cs="Arial" w:eastAsia="Arial" w:hAnsi="Arial"/>
          <w:sz w:val="16"/>
          <w:szCs w:val="16"/>
          <w:color w:val="auto"/>
        </w:rPr>
        <w:t>The contracts expire throughout the year and for many of the near term expirations, we are in the process of negotiating extensions or new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can renew existing contracts or obtain new business on the same or better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 of Operations</w:t>
      </w:r>
    </w:p>
    <w:p>
      <w:pPr>
        <w:spacing w:after="0" w:line="22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December 31, 2013, we had 4,068 full-time employees on a consolidated basis, 69% of whom are in Canada, 15% of whom are in Australia and 16% of whom are in the U.S. We were party to collective bargaining agreements covering 1,823 employees located in Canada and 543 employees located in Australia as of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54" w:name="page355"/>
    <w:bookmarkEnd w:id="354"/>
    <w:p>
      <w:pPr>
        <w:ind w:firstLine="324"/>
        <w:spacing w:after="0" w:line="264" w:lineRule="auto"/>
        <w:rPr>
          <w:sz w:val="20"/>
          <w:szCs w:val="20"/>
          <w:color w:val="auto"/>
        </w:rPr>
      </w:pPr>
      <w:r>
        <w:rPr>
          <w:rFonts w:ascii="Arial" w:cs="Arial" w:eastAsia="Arial" w:hAnsi="Arial"/>
          <w:sz w:val="18"/>
          <w:szCs w:val="18"/>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16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17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55" w:name="page356"/>
    <w:bookmarkEnd w:id="355"/>
    <w:p>
      <w:pPr>
        <w:ind w:left="340"/>
        <w:spacing w:after="0"/>
        <w:rPr>
          <w:sz w:val="20"/>
          <w:szCs w:val="20"/>
          <w:color w:val="auto"/>
        </w:rPr>
      </w:pPr>
      <w:r>
        <w:rPr>
          <w:rFonts w:ascii="Arial" w:cs="Arial" w:eastAsia="Arial" w:hAnsi="Arial"/>
          <w:sz w:val="16"/>
          <w:szCs w:val="16"/>
          <w:color w:val="auto"/>
        </w:rPr>
        <w:t>Our Australian accommodations segment is regulated by general statutory environmental controls at both the state and federal level which may result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land use approval and compliance risk. These controls include: land use and urban design controls;  the regulation of hard and liquid waste,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for tradewaste and/or wastewater permits or licenses; the regulation of water, noise, heat, and atmospheric gases emissions; the regulation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production, transport and storage of dangerous and hazardous materials (including asbestos); and the regulation of pollution and site contamination. Some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specified activities, for example, sewage treatment works, may require regulation at a state level by way of environmental protection licenses which also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impose monitoring and reporting obligations on the holder. There is an increasing emphasis from state and federal regulators on sustainability and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in business operations. Federal requirements are now in place for the mandatory disclosure of energy performance under building rating schemes.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schemes require the tracking of specific environmental performance factors. Carbon reporting requirements currently exist for corporations which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reporting threshold for greenhouse gases or energy use or production for a reporting (financial) year under national legislation. In addition, the Australian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Commonwealth Government’s carbon pricing mechanism (“CPM”) commenced on July 1, 2012. Under the CPM, entities that are responsible for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meet specified emissions thresholds will be required to purchase and surrender permits representing their carbon emissions. The CPM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operate as a carbon trading scheme, commencing with a three year fixed price period, followed by a flexible price cap-and-trade emissions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scheme. Although our Australian accommodations facilities are currently below the emissions thresholds specified by the CPM and are, thus, not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CPM, this could change in the future and the resultant change could have an adverse effect on our Australian operations and financial results.</w:t>
      </w:r>
    </w:p>
    <w:p>
      <w:pPr>
        <w:spacing w:after="0" w:line="22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6" w:name="page357"/>
    <w:bookmarkEnd w:id="356"/>
    <w:p>
      <w:pPr>
        <w:ind w:right="6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7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Properties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information about our principal properties and facilities. Except as indicated below, we own all of the properties or facilities listed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Footage/Acreage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Houston, Texas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8,900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Johnstown, Colorado</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153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 and yard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Killdeer, North Dakota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42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Open camp</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Pecos, Texas</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35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Dickinson, North Dakota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26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Mobile asset facility and yard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Vernal, Utah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21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Mobile asset facility and yard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Carrizo Springs, Texas (leased land)</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Open camp (closed)</w:t>
            </w:r>
          </w:p>
        </w:tc>
        <w:tc>
          <w:tcPr>
            <w:tcW w:w="4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357" w:name="page358"/>
    <w:bookmarkEnd w:id="3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Footage/Acreage</w:t>
            </w:r>
          </w:p>
        </w:tc>
        <w:tc>
          <w:tcPr>
            <w:tcW w:w="100" w:type="dxa"/>
            <w:vAlign w:val="bottom"/>
          </w:tcPr>
          <w:p>
            <w:pPr>
              <w:spacing w:after="0"/>
              <w:rPr>
                <w:sz w:val="20"/>
                <w:szCs w:val="20"/>
                <w:color w:val="auto"/>
              </w:rPr>
            </w:pPr>
          </w:p>
        </w:tc>
        <w:tc>
          <w:tcPr>
            <w:tcW w:w="48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Casper, Wyoming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14 acres</w:t>
            </w:r>
          </w:p>
        </w:tc>
        <w:tc>
          <w:tcPr>
            <w:tcW w:w="1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Belle Chasse, Louisiana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10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Three Rivers, Texas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Big Piney, Wyoming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7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Mobile asset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Stanley, North Dakota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Open camp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Englewood, Colorado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5,480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Windsor, Colorado (lease)</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4,933</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2"/>
              </w:rPr>
              <w:t>Canada:</w:t>
            </w:r>
          </w:p>
        </w:tc>
        <w:tc>
          <w:tcPr>
            <w:tcW w:w="42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240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Wapasu Creek and Henday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Pebble Beach open camp (closed)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135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Conklin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128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Beaver River and Athabasca Lodges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45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Christina Lake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Acheson, Alberta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40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33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Grimshaw, Alberta (lease)</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20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Fort McMurray, Alberta (leased land)</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18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Anzac Lodge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Nisku, Alberta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86,376</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 and warehouse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71,654</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Manufacturing facility and yard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28,253</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16,130</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Australia:</w:t>
            </w:r>
          </w:p>
        </w:tc>
        <w:tc>
          <w:tcPr>
            <w:tcW w:w="4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Coppabella,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198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Coppabella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Calliope,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124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Calliope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Narrabri, New South Wales,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82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Narrabri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Boggabri, New South Wales,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52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Boggabri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Dysart,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50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Dysart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Middlemount,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37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Middlemount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Karratha, Western Australia, Australia (own and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34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Karratha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Kambalda, Western Australia,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27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Kambalda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Nebo, Queensland, Australia</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26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Nebo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Moranbah, Queensland, Australia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17 acres</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Moranbah Village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Ormeau, Queensland, Australia (lease)</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3 acres</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Manufacturing facility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Sydney, New South Wales, Australia (lease)</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17,276</w:t>
            </w: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180"/>
              <w:spacing w:after="0"/>
              <w:rPr>
                <w:sz w:val="20"/>
                <w:szCs w:val="20"/>
                <w:color w:val="auto"/>
              </w:rPr>
            </w:pPr>
            <w:r>
              <w:rPr>
                <w:rFonts w:ascii="Arial" w:cs="Arial" w:eastAsia="Arial" w:hAnsi="Arial"/>
                <w:sz w:val="18"/>
                <w:szCs w:val="18"/>
                <w:color w:val="auto"/>
              </w:rPr>
              <w:t>Brisbane, Queensland, Australia (lease)</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8"/>
              </w:rPr>
              <w:t>7,115</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Leased land for our lodge properties in Canada refers to land leased from the Alberta government. We also lease land for our Karratha village from the provincial government in Australia. Generally, our leases have an initial term of ten years and will expire between 2015 and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party to various pending or threatened claims, lawsuits and administrative proceedings seeking damages or other remedies concerning our commercial operations, products, employees and other matters as a result of our products or operations.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and Directors</w:t>
      </w:r>
    </w:p>
    <w:p>
      <w:pPr>
        <w:spacing w:after="0" w:line="229" w:lineRule="exact"/>
        <w:rPr>
          <w:sz w:val="20"/>
          <w:szCs w:val="20"/>
          <w:color w:val="auto"/>
        </w:rPr>
      </w:pPr>
    </w:p>
    <w:p>
      <w:pPr>
        <w:ind w:right="660" w:firstLine="324"/>
        <w:spacing w:after="0" w:line="324" w:lineRule="auto"/>
        <w:rPr>
          <w:sz w:val="20"/>
          <w:szCs w:val="20"/>
          <w:color w:val="auto"/>
        </w:rPr>
      </w:pPr>
      <w:r>
        <w:rPr>
          <w:rFonts w:ascii="Arial" w:cs="Arial" w:eastAsia="Arial" w:hAnsi="Arial"/>
          <w:sz w:val="18"/>
          <w:szCs w:val="18"/>
          <w:color w:val="auto"/>
        </w:rPr>
        <w:t>The following table sets forth information as of April 22, 2014, regarding the individuals who are expected to serve as our executive officers and directors following the spin-off. After the spin-off, none of our executive officers will continue to be employees of Oil States.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Position(s)</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Frank C. Steininger</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Senior Vice President, North America</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Peter McCann</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Senior Vice President, Australia</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Constance B. Moore</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Gary L. Rosenthal</w:t>
            </w:r>
          </w:p>
        </w:tc>
        <w:tc>
          <w:tcPr>
            <w:tcW w:w="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Charles Szalkowski</w:t>
            </w:r>
          </w:p>
        </w:tc>
        <w:tc>
          <w:tcPr>
            <w:tcW w:w="80" w:type="dxa"/>
            <w:vAlign w:val="bottom"/>
          </w:tcPr>
          <w:p>
            <w:pPr>
              <w:spacing w:after="0"/>
              <w:rPr>
                <w:sz w:val="20"/>
                <w:szCs w:val="20"/>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63</w:t>
            </w:r>
          </w:p>
        </w:tc>
      </w:tr>
    </w:tbl>
    <w:p>
      <w:pPr>
        <w:spacing w:after="0" w:line="200" w:lineRule="exact"/>
        <w:rPr>
          <w:sz w:val="20"/>
          <w:szCs w:val="20"/>
          <w:color w:val="auto"/>
        </w:rPr>
      </w:pPr>
    </w:p>
    <w:p>
      <w:pPr>
        <w:spacing w:after="0" w:line="20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i w:val="1"/>
          <w:iCs w:val="1"/>
          <w:color w:val="auto"/>
        </w:rPr>
        <w:t xml:space="preserve">Bradley J. Dodson </w:t>
      </w:r>
      <w:r>
        <w:rPr>
          <w:rFonts w:ascii="Arial" w:cs="Arial" w:eastAsia="Arial" w:hAnsi="Arial"/>
          <w:sz w:val="16"/>
          <w:szCs w:val="16"/>
          <w:color w:val="auto"/>
        </w:rPr>
        <w:t>is currently Executive Vice President, Accommodations of Oil States and President and Chief Executive Officer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Civeo; positions held since December 2013. Mr. Dodson has held several executive positions with Oil States since joining in March 2001, including serving as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6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i w:val="1"/>
          <w:iCs w:val="1"/>
          <w:color w:val="auto"/>
        </w:rPr>
        <w:t xml:space="preserve">Frank C. Steininger, </w:t>
      </w:r>
      <w:r>
        <w:rPr>
          <w:rFonts w:ascii="Arial" w:cs="Arial" w:eastAsia="Arial" w:hAnsi="Arial"/>
          <w:sz w:val="17"/>
          <w:szCs w:val="17"/>
          <w:color w:val="auto"/>
        </w:rPr>
        <w:t>upon the spin-off, will serve as Senior Vice President, Chief Financial Officer and Treasurer of Civeo. From August 1980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Ron R. Green, </w:t>
      </w:r>
      <w:r>
        <w:rPr>
          <w:rFonts w:ascii="Arial" w:cs="Arial" w:eastAsia="Arial" w:hAnsi="Arial"/>
          <w:sz w:val="18"/>
          <w:szCs w:val="18"/>
          <w:color w:val="auto"/>
        </w:rPr>
        <w:t>upon the spin-off, will serve as Senior Vice President, North America of Civeo. Mr. Green is the Senior Vice President, Accommodations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Oil States and President and Chief Executive Officer—PTI Group Inc. (“PTI”), a wholly owned subsidiary of Civeo. He has held this position since April 2006. From December 2005 to March 2006 he was Senior Vice President and Chief Operating Officer of PTI. From November 2004 to November 2005, Mr. Green served as Vice President, Premium Camp Services for PTI. Prior to joining PTI, Mr. Green served as Vice President and General Manager of ESS Remote Site Services, a division of Compass Group PLC from October 1995 to August 2003. From 1975 to 1995, Mr. Green held various senior executive positions in the accommodations industry.</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Peter McCann, </w:t>
      </w:r>
      <w:r>
        <w:rPr>
          <w:rFonts w:ascii="Arial" w:cs="Arial" w:eastAsia="Arial" w:hAnsi="Arial"/>
          <w:sz w:val="18"/>
          <w:szCs w:val="18"/>
          <w:color w:val="auto"/>
        </w:rPr>
        <w:t>upon the spin-off, will serve as Senior Vice President, Australia. Mr. McCann has been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since June 2012. From January 2010 through June 2012, Mr. McCann was the Executive General Manager, Finance for The MAC. From 2004 to 2010, Mr. McCann served as Chief Financial Officer of Royal Wolf Trading. Mr. McCann holds a Bachelor of Commerce degree in accountancy from the University of New South Wales.</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Martin A. Lambert</w:t>
      </w:r>
      <w:r>
        <w:rPr>
          <w:rFonts w:ascii="Arial" w:cs="Arial" w:eastAsia="Arial" w:hAnsi="Arial"/>
          <w:sz w:val="16"/>
          <w:szCs w:val="16"/>
          <w:color w:val="auto"/>
        </w:rPr>
        <w:t>, prior to the spin-off, will be appointed as a Director of Civeo. Mr. Lambert has served as a director of Oil States since February 2001.</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Considering his new appointment, we expect that Mr. Lambert will resign from the board of directors of Oil States upon completion of the spin-off. Mr. Lambert’s principal occupation since November 1, 2008 has been as Chief Executive Officer of Swan Hills Synfuels LP, an energy conversion company.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is a director of Zedi, Inc. (CN: ZED), a public company involved in Canadian, U.S. and other international oilfield services. He presently serves on the compensation committee and is Chairman of the Governance and Nominating Committee of Zedi, Inc. Mr. Lambert received his LLB degree from the University of Alberta in 1979.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9" w:name="page360"/>
    <w:bookmarkEnd w:id="359"/>
    <w:p>
      <w:pPr>
        <w:ind w:firstLine="324"/>
        <w:spacing w:after="0" w:line="270" w:lineRule="auto"/>
        <w:rPr>
          <w:sz w:val="20"/>
          <w:szCs w:val="20"/>
          <w:color w:val="auto"/>
        </w:rPr>
      </w:pPr>
      <w:r>
        <w:rPr>
          <w:rFonts w:ascii="Arial" w:cs="Arial" w:eastAsia="Arial" w:hAnsi="Arial"/>
          <w:sz w:val="17"/>
          <w:szCs w:val="17"/>
          <w:i w:val="1"/>
          <w:iCs w:val="1"/>
          <w:color w:val="auto"/>
        </w:rPr>
        <w:t>Constance B. Moore</w:t>
      </w:r>
      <w:r>
        <w:rPr>
          <w:rFonts w:ascii="Arial" w:cs="Arial" w:eastAsia="Arial" w:hAnsi="Arial"/>
          <w:sz w:val="17"/>
          <w:szCs w:val="17"/>
          <w:color w:val="auto"/>
        </w:rPr>
        <w:t>, promptly following the spin-off, will be appointed as a Director of Civeo. Ms. Moore has been a director of BRE Properties, Inc.</w:t>
      </w:r>
      <w:r>
        <w:rPr>
          <w:rFonts w:ascii="Arial" w:cs="Arial" w:eastAsia="Arial" w:hAnsi="Arial"/>
          <w:sz w:val="17"/>
          <w:szCs w:val="17"/>
          <w:i w:val="1"/>
          <w:iCs w:val="1"/>
          <w:color w:val="auto"/>
        </w:rPr>
        <w:t xml:space="preserve"> </w:t>
      </w:r>
      <w:r>
        <w:rPr>
          <w:rFonts w:ascii="Arial" w:cs="Arial" w:eastAsia="Arial" w:hAnsi="Arial"/>
          <w:sz w:val="17"/>
          <w:szCs w:val="17"/>
          <w:color w:val="auto"/>
        </w:rPr>
        <w:t>(BRE) (NYSE: BRE) from September, 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a member of the Urban Land Institute; serves on the board of the Tower Foundation at San Jose State University; and is a Trustee for the City of Hope.</w:t>
      </w:r>
    </w:p>
    <w:p>
      <w:pPr>
        <w:spacing w:after="0" w:line="182"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i w:val="1"/>
          <w:iCs w:val="1"/>
          <w:color w:val="auto"/>
        </w:rPr>
        <w:t>Richard A. Navarre</w:t>
      </w:r>
      <w:r>
        <w:rPr>
          <w:rFonts w:ascii="Arial" w:cs="Arial" w:eastAsia="Arial" w:hAnsi="Arial"/>
          <w:sz w:val="16"/>
          <w:szCs w:val="16"/>
          <w:color w:val="auto"/>
        </w:rPr>
        <w:t>, promptly following the spin-off, will be appointed as a Director of Civeo. Mr. Navarre currently provides advisory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energy industry and private equity firms. Mr. Navarre served as the President and Chief Commercial Officer of Peabody 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 Mr. Navarre is currently an independent director and member of the audit committee for Natural Resource Partners LP (NYSE: NRP), an advisory Board member for Secure Energy, LLC and was a past Chairman of the Board for United Coal Company, LLC. He is a member of the Board of Directors of the Foreign Policy Association, a member of the Hall of Fame of the College of Business at Southern Illinois University-Carbondale, a member of the Board of Advisors of the College of Business and Administration, a member of the Cardinal Glennon – Bob Costas Benefit Committee, and an emeritus member of Southern Illinois University-Carbondale. Mr. Navarre is a Certified Public Accountant and received his B.S. in Accounting from Southern Illinois University-Carbondale.</w:t>
      </w:r>
    </w:p>
    <w:p>
      <w:pPr>
        <w:spacing w:after="0" w:line="16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Gary L. Rosenthal</w:t>
      </w:r>
      <w:r>
        <w:rPr>
          <w:rFonts w:ascii="Arial" w:cs="Arial" w:eastAsia="Arial" w:hAnsi="Arial"/>
          <w:sz w:val="18"/>
          <w:szCs w:val="18"/>
          <w:color w:val="auto"/>
        </w:rPr>
        <w:t>, prior to the spin-off, will be appointed as a Director of Civeo. Mr. Rosenthal has served as a director of Oil States since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2001. Mr. Rosenthal has been a partner in The Sterling Group, L.P., a private equity firm since January 2005. Mr. Rosenthal served as Chairman of the Board of Hydrochem Holdings, Inc. from May 2003 until December 2004. From August 1998 to April 2001, he served as Chief Executive Officer of AXIA Incorporated, a diversified manufacturing company. He holds J.D. and A.B. degrees from Harvard University.</w:t>
      </w:r>
    </w:p>
    <w:p>
      <w:pPr>
        <w:spacing w:after="0" w:line="18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Douglas E. Swanson</w:t>
      </w:r>
      <w:r>
        <w:rPr>
          <w:rFonts w:ascii="Arial" w:cs="Arial" w:eastAsia="Arial" w:hAnsi="Arial"/>
          <w:sz w:val="18"/>
          <w:szCs w:val="18"/>
          <w:color w:val="auto"/>
        </w:rPr>
        <w:t>, prior to the spin-off, will be appointed as a Director of Civeo. Mr. Swanson has served as a director of Oil States since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2001 and served as Oil States’ Chief Executive Officer from February 2001 until he retired in April 2007. Mr. Swanson will not run for re-election as a director of Oil States, and his term will end on May 15, 2014. From January 1992 to August 1999, 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Charles Szalkowski</w:t>
      </w:r>
      <w:r>
        <w:rPr>
          <w:rFonts w:ascii="Arial" w:cs="Arial" w:eastAsia="Arial" w:hAnsi="Arial"/>
          <w:sz w:val="18"/>
          <w:szCs w:val="18"/>
          <w:color w:val="auto"/>
        </w:rPr>
        <w:t>, promptly following the spin-off, will be appointed as a Director of Civeo. Mr. Szalkowski worked with the law firm of Baker Botts</w:t>
      </w:r>
      <w:r>
        <w:rPr>
          <w:rFonts w:ascii="Arial" w:cs="Arial" w:eastAsia="Arial" w:hAnsi="Arial"/>
          <w:sz w:val="18"/>
          <w:szCs w:val="18"/>
          <w:i w:val="1"/>
          <w:iCs w:val="1"/>
          <w:color w:val="auto"/>
        </w:rPr>
        <w:t xml:space="preserve"> </w:t>
      </w:r>
      <w:r>
        <w:rPr>
          <w:rFonts w:ascii="Arial" w:cs="Arial" w:eastAsia="Arial" w:hAnsi="Arial"/>
          <w:sz w:val="18"/>
          <w:szCs w:val="18"/>
          <w:color w:val="auto"/>
        </w:rPr>
        <w:t>L.L.P. from 1975 until he retired as a partner in December 2012. Since his retirement, Mr. Szalkowski has pursued his personal interests. Mr. Szalkowski is a member of the Board of Trustees and Chairman of the Audit Committee of Rice University. He was previously on the Board of Directors of Accelerate Learning Inc. (formerly Stemscopes Inc.) and a Board member of the Compensation Committee of Rice University. Mr. Szalkowski became a Certified Public Accountant in 1975 and received his J.D. and M.B.A. degrees from Harvard University in 1975 and B.S. in Accounting and B.A. in economics and political science from Rice University in 1971.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u w:val="single" w:color="auto"/>
          <w:color w:val="auto"/>
        </w:rPr>
        <w:t>Qualifications of Directors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identifying our directors to be appointed prior to or promptly following the spin-off, the following were considered:</w:t>
      </w:r>
    </w:p>
    <w:p>
      <w:pPr>
        <w:spacing w:after="0" w:line="225" w:lineRule="exact"/>
        <w:rPr>
          <w:sz w:val="20"/>
          <w:szCs w:val="20"/>
          <w:color w:val="auto"/>
        </w:rPr>
      </w:pPr>
    </w:p>
    <w:p>
      <w:pPr>
        <w:ind w:left="660" w:hanging="328"/>
        <w:spacing w:after="0"/>
        <w:tabs>
          <w:tab w:leader="none" w:pos="6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person’s skills and business, government or other professional experience and acumen, bearing in mind the composition of the board of directors;</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Oil States, as sole stockholder of Civeo prior to the spin-off, believes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notes the breadth and variety of business experience of each of the individuals who are expected to serve as our directors following the spin-off.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Accommodations,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Past or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Real Estate and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Present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Leadership</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Hospitality</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CEO</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Experience</w:t>
            </w:r>
          </w:p>
        </w:tc>
        <w:tc>
          <w:tcPr>
            <w:tcW w:w="100" w:type="dxa"/>
            <w:vAlign w:val="bottom"/>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Martin A. Lambert</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Richard A. Navarre</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Gary L. Rosenthal</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Douglas E. Swanson</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Structure</w:t>
      </w:r>
    </w:p>
    <w:p>
      <w:pPr>
        <w:spacing w:after="0" w:line="229"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We currently expect that, upon the completion of the spin-off, our board of directors will consist of seven members, a majority of whom we expect to satisfy the independence standards established by the Sarbanes-Oxley Act of 2002 and the applicable rules of the SEC and the NYSE. We currently expect that, subsequent to the spin-off, we will increase the size of the board by two to nine members and appoint two independent directors.</w:t>
      </w:r>
    </w:p>
    <w:p>
      <w:pPr>
        <w:spacing w:after="0" w:line="14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Upon completion of the spin-off, our board of directors will be divided into three classes, each of roughly equal size. The directors designated as Class I directors will have terms expiring at the first annual meeting of stockholders following the spin-off; the directors designated as Class II directors will have terms expiring at the second annual meeting of stockholders; the directors designated as Class III directors will have terms expiring at the third annual meeting of stockholders after that. Commencing with the first annual meeting of stockholders held following the spin-off, directors for each class will be elected at the annual meeting of stockholders held in the year in which the term for that class expires and thereafter will serve for a term of three years. We have not yet set the date of the first annual meeting of stockholders to be held following the spin-off.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Committees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board of directors will establish several standing committees in connection with the discharge of its responsibilities. Upon completion of the spin-off, our board of directors will have the following committees: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Upon completion of the spin-off, our board of directors will have an audit committee, composed of at least one director and a majority of independent directors. We expect the initial members of the audit committee will be Messrs. Navarre and Szalkowski and Ms. Moore, each of whom the board of directors is expected to determine is independent.</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each of Messrs. Navarre and Szalkowski and Ms. Moore is financially literate and has accounting or related financial management expertise, each as required by the applicable NYSE listing standards. The board of directors is also expected to determine that each of Messrs. Navarre and Ms. Moore will qualify as audit committee financial experts under the applicable rules of the Exchange Act. A more detailed discussion of the Audit Committee’s mission, composition and responsibilities is contained in the Audit Committee charter, which will be available on our website: www.civeo.com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Upon completion of the spin-off, our board of directors will have a compensation committee, composed of at least one director and a majority of independent directors. We expect that the initial member of the compensation committee will be Mr. Lambert, whom the board of directors is expected to determine is independent.</w:t>
      </w:r>
    </w:p>
    <w:p>
      <w:pPr>
        <w:spacing w:after="0" w:line="20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Compensation Committee will administer the 2014 Equity Participation Plan of Civeo Corporation (the EPP), and in this capacity make a recommendation to the full board of directors concerning aggregate amount of all option grants or stock awards to employees as well as specific awards to executive officers under the EPP. In addition, the Compensation Committee will be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will be available on our website: www.civeo.com.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Upon completion of the spin-off, our board of directors will have a nominating and governance committee, composed of at least one director and a majority of independent directors. We expect that the initial members of the Nominating &amp; Corporate Governance Committee will be Messrs. Rosenthal and Swanson, each of whom the board of directors is expected to determine is independent.</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 A more detailed discussion of the Nominating and Governance Committees mission, composition and responsibilities is contained in the Nominating and Governance Committee charter, which will be available on our website: www.civeo.com.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Independence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18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u w:val="single" w:color="auto"/>
          <w:color w:val="auto"/>
        </w:rPr>
        <w:t>Corporate Governance Guidelines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Code of Business Conduct &amp; Ethics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connection with the spin-off, we will adopt a Corporate Code of Business Conduct and Ethics, which will require that all directors, officers and employees of Civeo act ethically at all times.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Code of Ethics for Senior Officers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connection with the spin-off, we will adopt a Financial Code of Ethics for Senior Officers that will apply to the chief executive officer, chief financial officer, principal accounting officer and other senior officers (“Senior Officers”).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170" w:lineRule="exact"/>
        <w:rPr>
          <w:sz w:val="20"/>
          <w:szCs w:val="20"/>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Resignation Policy</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spin-off, we will adopt a director resignation policy. The director resignation policy will provide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63" w:name="page364"/>
    <w:bookmarkEnd w:id="363"/>
    <w:p>
      <w:pPr>
        <w:ind w:firstLine="324"/>
        <w:spacing w:after="0" w:line="293" w:lineRule="auto"/>
        <w:rPr>
          <w:sz w:val="20"/>
          <w:szCs w:val="20"/>
          <w:color w:val="auto"/>
        </w:rPr>
      </w:pPr>
      <w:r>
        <w:rPr>
          <w:rFonts w:ascii="Arial" w:cs="Arial" w:eastAsia="Arial" w:hAnsi="Arial"/>
          <w:sz w:val="16"/>
          <w:szCs w:val="16"/>
          <w:color w:val="auto"/>
        </w:rPr>
        <w:t>The director resignation policy will also provide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directors and each applicable committee under these circumstances, taking into account all relevant factors and may accept or reject a proffered resignation.</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364" w:name="page365"/>
    <w:bookmarkEnd w:id="364"/>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For purposes of the following Compensation Discussion and Analysis, four of the persons who we expect will be our named executive officers as of the distribution date are identified below (collectively, our “Named Executive Officers”). The information provided reflects compensation earned at Oil States or its subsidiaries and the design and objectives of the executive compensation programs in place prior to the separation. In addition, summary information concerning Civeo’s executive compensation approach developed to date in connection with planning for the separation is also included below.</w:t>
      </w:r>
    </w:p>
    <w:p>
      <w:pPr>
        <w:spacing w:after="0" w:line="15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Compensation decisions for our Named Executive Officers prior to the spin-off will be made by Oil States. To the extent such persons are senior officers of Oil States, the decisions will be made by the Oil States Compensation Committee (the “Oil States Compensation Committee”) of the board of directors of Oil States, which is composed entirely of independent directors. Executive compensation decisions following the spin-off will be made by the Compensation Committee of Civeo.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has three main parts:</w:t>
      </w:r>
    </w:p>
    <w:p>
      <w:pPr>
        <w:spacing w:after="0" w:line="225" w:lineRule="exact"/>
        <w:rPr>
          <w:sz w:val="20"/>
          <w:szCs w:val="20"/>
          <w:color w:val="auto"/>
        </w:rPr>
      </w:pPr>
    </w:p>
    <w:p>
      <w:pPr>
        <w:ind w:left="660" w:right="720" w:hanging="328"/>
        <w:spacing w:after="0" w:line="277" w:lineRule="auto"/>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Oil States 2013 Executive Compensation</w:t>
      </w:r>
      <w:r>
        <w:rPr>
          <w:rFonts w:ascii="Arial" w:cs="Arial" w:eastAsia="Arial" w:hAnsi="Arial"/>
          <w:sz w:val="18"/>
          <w:szCs w:val="18"/>
          <w:color w:val="auto"/>
        </w:rPr>
        <w:t>— This section describes and analyzes the executive compensation programs at Oil States in 2013 (beginning on page 99 of this information statement).</w:t>
      </w:r>
    </w:p>
    <w:p>
      <w:pPr>
        <w:spacing w:after="0" w:line="170"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Effects of Spin-off on Outstanding Executive and Other Compensation Awards</w:t>
      </w:r>
      <w:r>
        <w:rPr>
          <w:rFonts w:ascii="Arial" w:cs="Arial" w:eastAsia="Arial" w:hAnsi="Arial"/>
          <w:sz w:val="16"/>
          <w:szCs w:val="16"/>
          <w:color w:val="auto"/>
        </w:rPr>
        <w:t>— This section discusses the effect of the spin-off on outstanding Oil States compensation awards and Civeo compensation held by our Named Executive Officers (beginning on page 112 of this information statement).</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Civeo Compensation Programs</w:t>
      </w:r>
      <w:r>
        <w:rPr>
          <w:rFonts w:ascii="Arial" w:cs="Arial" w:eastAsia="Arial" w:hAnsi="Arial"/>
          <w:sz w:val="18"/>
          <w:szCs w:val="18"/>
          <w:color w:val="auto"/>
        </w:rPr>
        <w:t>— This section discusses the anticipated executive compensation programs at Civeo (beginning on page 113 of this information statement).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Our Named Executive Officers are as follows:</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58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34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2013 Oil States Job Title</w:t>
            </w:r>
          </w:p>
        </w:tc>
        <w:tc>
          <w:tcPr>
            <w:tcW w:w="100" w:type="dxa"/>
            <w:vAlign w:val="bottom"/>
          </w:tcPr>
          <w:p>
            <w:pPr>
              <w:spacing w:after="0"/>
              <w:rPr>
                <w:sz w:val="24"/>
                <w:szCs w:val="24"/>
                <w:color w:val="auto"/>
              </w:rPr>
            </w:pPr>
          </w:p>
        </w:tc>
        <w:tc>
          <w:tcPr>
            <w:tcW w:w="35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2014 Civeo Job Title</w:t>
            </w:r>
          </w:p>
        </w:tc>
      </w:tr>
      <w:tr>
        <w:trPr>
          <w:trHeight w:val="195"/>
        </w:trPr>
        <w:tc>
          <w:tcPr>
            <w:tcW w:w="160" w:type="dxa"/>
            <w:vAlign w:val="bottom"/>
          </w:tcPr>
          <w:p>
            <w:pPr>
              <w:spacing w:after="0"/>
              <w:rPr>
                <w:sz w:val="16"/>
                <w:szCs w:val="16"/>
                <w:color w:val="auto"/>
              </w:rPr>
            </w:pPr>
          </w:p>
        </w:tc>
        <w:tc>
          <w:tcPr>
            <w:tcW w:w="3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Bradley J. Dodson</w:t>
            </w:r>
          </w:p>
        </w:tc>
        <w:tc>
          <w:tcPr>
            <w:tcW w:w="1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16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Accommodations</w:t>
            </w:r>
          </w:p>
        </w:tc>
        <w:tc>
          <w:tcPr>
            <w:tcW w:w="10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r>
      <w:tr>
        <w:trPr>
          <w:trHeight w:val="202"/>
        </w:trPr>
        <w:tc>
          <w:tcPr>
            <w:tcW w:w="16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5"/>
                <w:szCs w:val="15"/>
                <w:color w:val="auto"/>
              </w:rPr>
              <w:t>Frank C. Steininger</w:t>
            </w:r>
            <w:r>
              <w:rPr>
                <w:rFonts w:ascii="Arial" w:cs="Arial" w:eastAsia="Arial" w:hAnsi="Arial"/>
                <w:sz w:val="23"/>
                <w:szCs w:val="23"/>
                <w:color w:val="auto"/>
                <w:vertAlign w:val="superscript"/>
              </w:rPr>
              <w:t>1</w:t>
            </w:r>
          </w:p>
        </w:tc>
        <w:tc>
          <w:tcPr>
            <w:tcW w:w="35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N/A</w:t>
            </w:r>
          </w:p>
        </w:tc>
        <w:tc>
          <w:tcPr>
            <w:tcW w:w="36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Senior Vice President, Chief Financial Officer</w:t>
            </w:r>
          </w:p>
        </w:tc>
      </w:tr>
      <w:tr>
        <w:trPr>
          <w:trHeight w:val="230"/>
        </w:trPr>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and Treasurer</w:t>
            </w:r>
          </w:p>
        </w:tc>
      </w:tr>
      <w:tr>
        <w:trPr>
          <w:trHeight w:val="178"/>
        </w:trPr>
        <w:tc>
          <w:tcPr>
            <w:tcW w:w="160" w:type="dxa"/>
            <w:vAlign w:val="bottom"/>
          </w:tcPr>
          <w:p>
            <w:pPr>
              <w:spacing w:after="0"/>
              <w:rPr>
                <w:sz w:val="15"/>
                <w:szCs w:val="15"/>
                <w:color w:val="auto"/>
              </w:rPr>
            </w:pPr>
          </w:p>
        </w:tc>
        <w:tc>
          <w:tcPr>
            <w:tcW w:w="358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Ron R. Green</w:t>
            </w:r>
          </w:p>
        </w:tc>
        <w:tc>
          <w:tcPr>
            <w:tcW w:w="3580" w:type="dxa"/>
            <w:vAlign w:val="bottom"/>
            <w:gridSpan w:val="2"/>
            <w:shd w:val="clear" w:color="auto" w:fill="CCEEFF"/>
          </w:tcPr>
          <w:p>
            <w:pPr>
              <w:ind w:left="120"/>
              <w:spacing w:after="0" w:line="178" w:lineRule="exact"/>
              <w:rPr>
                <w:sz w:val="20"/>
                <w:szCs w:val="20"/>
                <w:color w:val="auto"/>
              </w:rPr>
            </w:pPr>
            <w:r>
              <w:rPr>
                <w:rFonts w:ascii="Arial" w:cs="Arial" w:eastAsia="Arial" w:hAnsi="Arial"/>
                <w:sz w:val="18"/>
                <w:szCs w:val="18"/>
                <w:color w:val="auto"/>
              </w:rPr>
              <w:t>Senior Vice President,</w:t>
            </w:r>
          </w:p>
        </w:tc>
        <w:tc>
          <w:tcPr>
            <w:tcW w:w="366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8"/>
                <w:szCs w:val="18"/>
                <w:color w:val="auto"/>
              </w:rPr>
              <w:t>Senior Vice President, North America</w:t>
            </w:r>
          </w:p>
        </w:tc>
      </w:tr>
      <w:tr>
        <w:trPr>
          <w:trHeight w:val="254"/>
        </w:trPr>
        <w:tc>
          <w:tcPr>
            <w:tcW w:w="160" w:type="dxa"/>
            <w:vAlign w:val="bottom"/>
          </w:tcPr>
          <w:p>
            <w:pPr>
              <w:spacing w:after="0"/>
              <w:rPr>
                <w:sz w:val="22"/>
                <w:szCs w:val="22"/>
                <w:color w:val="auto"/>
              </w:rPr>
            </w:pPr>
          </w:p>
        </w:tc>
        <w:tc>
          <w:tcPr>
            <w:tcW w:w="3580" w:type="dxa"/>
            <w:vAlign w:val="bottom"/>
            <w:shd w:val="clear" w:color="auto" w:fill="CCEEFF"/>
          </w:tcPr>
          <w:p>
            <w:pPr>
              <w:spacing w:after="0"/>
              <w:rPr>
                <w:sz w:val="22"/>
                <w:szCs w:val="22"/>
                <w:color w:val="auto"/>
              </w:rPr>
            </w:pPr>
          </w:p>
        </w:tc>
        <w:tc>
          <w:tcPr>
            <w:tcW w:w="358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Accommodations and President</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3560" w:type="dxa"/>
            <w:vAlign w:val="bottom"/>
            <w:shd w:val="clear" w:color="auto" w:fill="CCEEFF"/>
          </w:tcPr>
          <w:p>
            <w:pPr>
              <w:spacing w:after="0"/>
              <w:rPr>
                <w:sz w:val="22"/>
                <w:szCs w:val="22"/>
                <w:color w:val="auto"/>
              </w:rPr>
            </w:pPr>
          </w:p>
        </w:tc>
      </w:tr>
      <w:tr>
        <w:trPr>
          <w:trHeight w:val="390"/>
        </w:trPr>
        <w:tc>
          <w:tcPr>
            <w:tcW w:w="16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Peter L. McCann</w:t>
            </w:r>
          </w:p>
        </w:tc>
        <w:tc>
          <w:tcPr>
            <w:tcW w:w="3580" w:type="dxa"/>
            <w:vAlign w:val="bottom"/>
            <w:gridSpan w:val="2"/>
          </w:tcPr>
          <w:p>
            <w:pPr>
              <w:ind w:left="120"/>
              <w:spacing w:after="0"/>
              <w:rPr>
                <w:sz w:val="20"/>
                <w:szCs w:val="20"/>
                <w:color w:val="auto"/>
              </w:rPr>
            </w:pPr>
            <w:r>
              <w:rPr>
                <w:rFonts w:ascii="Arial" w:cs="Arial" w:eastAsia="Arial" w:hAnsi="Arial"/>
                <w:sz w:val="18"/>
                <w:szCs w:val="18"/>
                <w:color w:val="auto"/>
              </w:rPr>
              <w:t>Managing Director of The MAC</w:t>
            </w:r>
            <w:r>
              <w:rPr>
                <w:rFonts w:ascii="Arial" w:cs="Arial" w:eastAsia="Arial" w:hAnsi="Arial"/>
                <w:sz w:val="30"/>
                <w:szCs w:val="30"/>
                <w:color w:val="auto"/>
                <w:vertAlign w:val="superscript"/>
              </w:rPr>
              <w:t>3</w:t>
            </w: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Senior Vice President, Australia</w:t>
            </w:r>
          </w:p>
        </w:tc>
      </w:tr>
    </w:tbl>
    <w:p>
      <w:pPr>
        <w:spacing w:after="0" w:line="2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with respect to only four individuals has been presented in this Compensation Discussion and Analysis because these four individuals are the only persons whom we have currently identified as likely to be executive officers of Civeo.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2013 Executive Compensation</w:t>
      </w:r>
    </w:p>
    <w:p>
      <w:pPr>
        <w:spacing w:after="0" w:line="229"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Oil States Compensation Committee provides overall guidance to Oil States’ executive compensation program and administers incentive compensation plans.</w:t>
      </w:r>
    </w:p>
    <w:p>
      <w:pPr>
        <w:spacing w:after="0" w:line="200" w:lineRule="exact"/>
        <w:rPr>
          <w:sz w:val="20"/>
          <w:szCs w:val="20"/>
          <w:color w:val="auto"/>
        </w:rPr>
      </w:pPr>
    </w:p>
    <w:p>
      <w:pPr>
        <w:spacing w:after="0" w:line="327" w:lineRule="exact"/>
        <w:rPr>
          <w:sz w:val="20"/>
          <w:szCs w:val="20"/>
          <w:color w:val="auto"/>
        </w:rPr>
      </w:pPr>
    </w:p>
    <w:p>
      <w:pPr>
        <w:ind w:left="120" w:right="160" w:hanging="121"/>
        <w:spacing w:after="0" w:line="233" w:lineRule="auto"/>
        <w:rPr>
          <w:sz w:val="20"/>
          <w:szCs w:val="20"/>
          <w:color w:val="auto"/>
        </w:rPr>
      </w:pPr>
      <w:r>
        <w:rPr>
          <w:rFonts w:ascii="Arial" w:cs="Arial" w:eastAsia="Arial" w:hAnsi="Arial"/>
          <w:sz w:val="30"/>
          <w:szCs w:val="30"/>
          <w:color w:val="auto"/>
          <w:vertAlign w:val="subscript"/>
        </w:rPr>
        <w:t>1</w:t>
      </w:r>
      <w:r>
        <w:rPr>
          <w:rFonts w:ascii="Arial" w:cs="Arial" w:eastAsia="Arial" w:hAnsi="Arial"/>
          <w:sz w:val="18"/>
          <w:szCs w:val="18"/>
          <w:color w:val="auto"/>
        </w:rPr>
        <w:t xml:space="preserve"> Prior to March 4, 2014, Mr. Steininger was an employee of PricewaterhouseCoopers LLP. Therefore, he held no position at and received no compensation from Oil States during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0890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120" w:hanging="112"/>
        <w:spacing w:after="0" w:line="194" w:lineRule="auto"/>
        <w:tabs>
          <w:tab w:leader="none" w:pos="120" w:val="left"/>
        </w:tabs>
        <w:numPr>
          <w:ilvl w:val="0"/>
          <w:numId w:val="363"/>
        </w:numPr>
        <w:rPr>
          <w:rFonts w:ascii="Arial" w:cs="Arial" w:eastAsia="Arial" w:hAnsi="Arial"/>
          <w:sz w:val="26"/>
          <w:szCs w:val="26"/>
          <w:color w:val="auto"/>
          <w:vertAlign w:val="superscript"/>
        </w:rPr>
      </w:pPr>
      <w:r>
        <w:rPr>
          <w:rFonts w:ascii="Arial" w:cs="Arial" w:eastAsia="Arial" w:hAnsi="Arial"/>
          <w:sz w:val="16"/>
          <w:szCs w:val="16"/>
          <w:color w:val="auto"/>
        </w:rPr>
        <w:t>Mr. Green is currently an officer of PTI Group Inc., an indirect subsidiary of Oil States. He is the Senior Vice President, Accommodations with Oil States.</w:t>
      </w:r>
    </w:p>
    <w:p>
      <w:pPr>
        <w:spacing w:after="0" w:line="2"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Mr. McCann is currently an officer of The MAC Services Group, Pty Limited., an indirect subsidiary of Oil States.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5" w:name="page366"/>
    <w:bookmarkEnd w:id="365"/>
    <w:p>
      <w:pPr>
        <w:ind w:right="20" w:firstLine="324"/>
        <w:spacing w:after="0" w:line="259" w:lineRule="auto"/>
        <w:rPr>
          <w:sz w:val="20"/>
          <w:szCs w:val="20"/>
          <w:color w:val="auto"/>
        </w:rPr>
      </w:pPr>
      <w:r>
        <w:rPr>
          <w:rFonts w:ascii="Arial" w:cs="Arial" w:eastAsia="Arial" w:hAnsi="Arial"/>
          <w:sz w:val="18"/>
          <w:szCs w:val="18"/>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Oil States Compensation Committee believes this approach closely links the compensation of Oil States’ executives to the execution of Oil States’ strategy and the accomplishment of Oil States goals that coincide with stockholder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Objectives:</w:t>
      </w:r>
    </w:p>
    <w:p>
      <w:pPr>
        <w:spacing w:after="0" w:line="225" w:lineRule="exact"/>
        <w:rPr>
          <w:sz w:val="20"/>
          <w:szCs w:val="20"/>
          <w:color w:val="auto"/>
        </w:rPr>
      </w:pPr>
    </w:p>
    <w:p>
      <w:pPr>
        <w:ind w:left="660" w:hanging="328"/>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Attract, motivate, reward and retain key employees and executive talent required to achieve corporate strategic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Reinforce the relationship between strong individual performance of executives and business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Design a compensation program that neither promotes overly conservative actions or excessive risk taking.</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Benchmarking Relative to Market</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Oil States Compensation Committee establishes executive compensation primarily based on a review of the executive’s performance and compensation history and takes into account corporate performance. In the exercise of its duties, the Oil States Compensation Committee periodically benchmarks Oil States’ executive compensation against that of comparable companies; however, the Oil States Compensation Committee does not set percentile goals against benchmark data for purposes of determining executive compensation levels. The Oil States Compensation Committee considers the market to consist of both the oilfield services industry and geographic markets in which Oil States competes for executive talent. Benchmark data is periodically obtained for a selected peer group approved by the Oil States Compensation Committee (the “peer group”) as well as for industry companies of comparable size and business complexity. Oil States currently uses the following peer group companies:</w:t>
      </w:r>
    </w:p>
    <w:p>
      <w:pPr>
        <w:spacing w:after="0" w:line="167" w:lineRule="exact"/>
        <w:rPr>
          <w:sz w:val="20"/>
          <w:szCs w:val="20"/>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Carbo Ceramics,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Core Laboratories N.V.;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Dresser-Rand Group,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Dril-Quip,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Exterran Holdings,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6" w:name="page367"/>
    <w:bookmarkEnd w:id="366"/>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FMC Technologies,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Helix Energy Solutions Group,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Helmerich &amp; Payne,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Key Energy Services,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McDermott International,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Oceaneering International,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RPC,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Superior Energy Services, Inc.;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Tidewater, Inc.</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selecting benchmark companies, the Oil States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2013. They deleted Complete Production Services, Inc. because it was acquired, and they added Cameron International Corporation because it is similar to Oil States’ offshore products segment and because they compete for the same executive talent.</w:t>
      </w:r>
    </w:p>
    <w:p>
      <w:pPr>
        <w:spacing w:after="0" w:line="19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Oil States Compensation Committee reviews the compensation programs for comparable positions at similar corporations with which Oil States competes for executive talent, and also considers relative internal equity within its executive pay structure. This approach allows the Oil States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evaluating the peer group and other comparison data for compensation purposes, the Oil States Compensation Committee neither bases its decisions on quantitative relative weights of various factors, nor follows mathematical formulas. Rather, the Oil States Compensation Committee exercises its discretion and makes its judgment after considering the factors it deems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Practices as They Relate to Risk Management</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company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1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Oil States’ compensation arrangements contain certain design elements that are intended to minimize the incentive for taking unwarranted risk to achieve short-term, unsustainable results. Those elements include a maximum amount that can be earned under the annual incentive cash compensation and performance based equity award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7" w:name="page368"/>
    <w:bookmarkEnd w:id="367"/>
    <w:p>
      <w:pPr>
        <w:ind w:right="80" w:firstLine="324"/>
        <w:spacing w:after="0" w:line="277" w:lineRule="auto"/>
        <w:rPr>
          <w:sz w:val="20"/>
          <w:szCs w:val="20"/>
          <w:color w:val="auto"/>
        </w:rPr>
      </w:pPr>
      <w:r>
        <w:rPr>
          <w:rFonts w:ascii="Arial" w:cs="Arial" w:eastAsia="Arial" w:hAnsi="Arial"/>
          <w:sz w:val="18"/>
          <w:szCs w:val="18"/>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left="660" w:hanging="328"/>
        <w:spacing w:after="0" w:line="268" w:lineRule="auto"/>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—Base salary is the guaranteed element of an executive’s direct compensation and is intended to provide a foundation for a 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compensation opportunity for the executive. The Oil States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Oil States Compensation Committee considers all these factors together plus overall industry conditions and retention risks and makes a subjective determination on base salary adjustments. Effective February 25, 2013, the Oil States Compensation Committee approved certain changes to the base salary rates of the Named Executive Officers (other than Mr. Steininger). Specifically, Mr. Dodson’s base salary was increased 3.8% to $415,000; Mr. Green’s base salary was increased 4.6% to C$460,000; and Mr. McCann’s base salary was increased 4.5% to A$405,000. Base salaries were increased in 2013 based on a number of factors including inflationary trends, the growth of Oil States, retention risks, individual performance and in recognition of the strong performance of Oil States’ stock which was in excess of one year, three year and ten year comparative performance of the industry peer group. Mr. Dodson received a raise of 12.1% to $465,000 effective December 9, 2013 in connection with his promotion to Executive Vice President, Accommodations.</w:t>
      </w:r>
    </w:p>
    <w:p>
      <w:pPr>
        <w:spacing w:after="0" w:line="18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Cindy B. Taylor, President and Chief Executive Officer of Oil States, provides the Oil States Compensation Committee with input regarding the performance of other Oil States executives and makes compensation recommendations with respect to these individuals. While considering her recommendations, the Oil States Compensation Committee makes an independent judgment with respect to compensation levels for each of Mrs. Taylor’s direct reports.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Annual Cash Incentive Compensation</w:t>
      </w:r>
      <w:r>
        <w:rPr>
          <w:rFonts w:ascii="Arial" w:cs="Arial" w:eastAsia="Arial" w:hAnsi="Arial"/>
          <w:sz w:val="18"/>
          <w:szCs w:val="18"/>
          <w:color w:val="auto"/>
        </w:rPr>
        <w:t>—Oil States’ Annual Incentive Compensation Plan (“AICP”) is performance based and provides executives with</w:t>
      </w:r>
      <w:r>
        <w:rPr>
          <w:rFonts w:ascii="Arial" w:cs="Arial" w:eastAsia="Arial" w:hAnsi="Arial"/>
          <w:sz w:val="18"/>
          <w:szCs w:val="18"/>
          <w:i w:val="1"/>
          <w:iCs w:val="1"/>
          <w:color w:val="auto"/>
        </w:rPr>
        <w:t xml:space="preserve"> </w:t>
      </w:r>
      <w:r>
        <w:rPr>
          <w:rFonts w:ascii="Arial" w:cs="Arial" w:eastAsia="Arial" w:hAnsi="Arial"/>
          <w:sz w:val="18"/>
          <w:szCs w:val="18"/>
          <w:color w:val="auto"/>
        </w:rPr>
        <w:t>direct financial incentives in the form of 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87" w:lineRule="exact"/>
        <w:rPr>
          <w:sz w:val="20"/>
          <w:szCs w:val="20"/>
          <w:color w:val="auto"/>
        </w:rPr>
      </w:pPr>
    </w:p>
    <w:p>
      <w:pPr>
        <w:ind w:left="660" w:hanging="328"/>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create stockholder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provide focus on the attainment of annual goals that lead to long-term success of Oil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provide annual performance-based cash incentive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motivate achievement of critical annual operating performance metrics;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motivate employees to continually improve Oil States-wide and business unit performance.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8" w:name="page369"/>
    <w:bookmarkEnd w:id="368"/>
    <w:p>
      <w:pPr>
        <w:ind w:right="40" w:firstLine="324"/>
        <w:spacing w:after="0" w:line="268" w:lineRule="auto"/>
        <w:rPr>
          <w:sz w:val="20"/>
          <w:szCs w:val="20"/>
          <w:color w:val="auto"/>
        </w:rPr>
      </w:pPr>
      <w:r>
        <w:rPr>
          <w:rFonts w:ascii="Arial" w:cs="Arial" w:eastAsia="Arial" w:hAnsi="Arial"/>
          <w:sz w:val="17"/>
          <w:szCs w:val="17"/>
          <w:color w:val="auto"/>
        </w:rPr>
        <w:t>The AICP is flexible and provides the Oil States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of directors of Oil States believes will drive financial performance. Under the AICP, an incentive target percentage is established for each executive officer based upon, among other factors, the Oil States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 The 2013 award opportunities, expressed as a percentage of eligible AICP earnings (i.e. annual base salary), for the Named Executive Officers are outlined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w w:val="96"/>
              </w:rPr>
              <w:t>Threshold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ind w:left="480"/>
              <w:spacing w:after="0"/>
              <w:rPr>
                <w:sz w:val="20"/>
                <w:szCs w:val="20"/>
                <w:color w:val="auto"/>
              </w:rPr>
            </w:pPr>
            <w:r>
              <w:rPr>
                <w:rFonts w:ascii="Arial" w:cs="Arial" w:eastAsia="Arial" w:hAnsi="Arial"/>
                <w:sz w:val="18"/>
                <w:szCs w:val="18"/>
                <w:b w:val="1"/>
                <w:bCs w:val="1"/>
                <w:color w:val="auto"/>
              </w:rPr>
              <w:t>Target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Overachievement</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line="216" w:lineRule="exact"/>
              <w:rPr>
                <w:sz w:val="20"/>
                <w:szCs w:val="20"/>
                <w:color w:val="auto"/>
              </w:rPr>
            </w:pPr>
            <w:r>
              <w:rPr>
                <w:rFonts w:ascii="Arial" w:cs="Arial" w:eastAsia="Arial" w:hAnsi="Arial"/>
                <w:sz w:val="16"/>
                <w:szCs w:val="16"/>
                <w:color w:val="auto"/>
              </w:rPr>
              <w:t>Frank C. Steininger</w:t>
            </w:r>
            <w:r>
              <w:rPr>
                <w:rFonts w:ascii="Arial" w:cs="Arial" w:eastAsia="Arial" w:hAnsi="Arial"/>
                <w:sz w:val="25"/>
                <w:szCs w:val="25"/>
                <w:color w:val="auto"/>
                <w:vertAlign w:val="superscript"/>
              </w:rPr>
              <w:t>4</w:t>
            </w:r>
          </w:p>
        </w:tc>
        <w:tc>
          <w:tcPr>
            <w:tcW w:w="1600" w:type="dxa"/>
            <w:vAlign w:val="bottom"/>
            <w:gridSpan w:val="3"/>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R. Green</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0%</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0%</w:t>
            </w:r>
          </w:p>
        </w:tc>
        <w:tc>
          <w:tcPr>
            <w:tcW w:w="10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shown in the table above, the maximum AICP overachievement percentage is limited to twice the target level percentage which helps mitigate the potential for excessive risk taking. In addition, targets and goals are adjusted to incorporate material acquisitions which also limits excessive risk taking.</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At the beginning of each year, the Oil States Compensation Committee is responsible for establishing the AICP performance objectives based on recommendations by the Chief Executive Officer. The Oil States Compensation Committee sets performance goals that are measurable, achievable and quantifiable. At the end of each year, the Oil States Compensation Committee reviews the performance results of Oil States and the incentive awards to be paid to each executive officer and to all participants in the AICP, as a group. In its discretion, the Oil States Compensation Committee will interpret the AICP and has authority to make adjustments in individual, business unit or Oil States-wide results in its discretion. The Oil States Compensation Committee did not make any discretionary changes to the 2013 incentive payments to the Named Executive Officers.</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Performance measures are selected and weighted by management and the Oil States Compensation Committee annually to give emphasis to performance criteria for which participants have influence. The Oil States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of directors of Oil States.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10890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0" w:hanging="152"/>
        <w:spacing w:after="0"/>
        <w:tabs>
          <w:tab w:leader="none" w:pos="160" w:val="left"/>
        </w:tabs>
        <w:numPr>
          <w:ilvl w:val="0"/>
          <w:numId w:val="369"/>
        </w:numPr>
        <w:rPr>
          <w:rFonts w:ascii="Arial" w:cs="Arial" w:eastAsia="Arial" w:hAnsi="Arial"/>
          <w:sz w:val="36"/>
          <w:szCs w:val="36"/>
          <w:color w:val="auto"/>
          <w:vertAlign w:val="superscript"/>
        </w:rPr>
      </w:pPr>
      <w:r>
        <w:rPr>
          <w:rFonts w:ascii="Arial" w:cs="Arial" w:eastAsia="Arial" w:hAnsi="Arial"/>
          <w:sz w:val="22"/>
          <w:szCs w:val="22"/>
          <w:color w:val="auto"/>
        </w:rPr>
        <w:t>See Named Executive Officers table above for more information about Mr. Steininger.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9" w:name="page370"/>
    <w:bookmarkEnd w:id="369"/>
    <w:p>
      <w:pPr>
        <w:ind w:right="120" w:firstLine="324"/>
        <w:spacing w:after="0" w:line="255" w:lineRule="auto"/>
        <w:rPr>
          <w:sz w:val="20"/>
          <w:szCs w:val="20"/>
          <w:color w:val="auto"/>
        </w:rPr>
      </w:pPr>
      <w:r>
        <w:rPr>
          <w:rFonts w:ascii="Arial" w:cs="Arial" w:eastAsia="Arial" w:hAnsi="Arial"/>
          <w:sz w:val="18"/>
          <w:szCs w:val="18"/>
          <w:color w:val="auto"/>
        </w:rPr>
        <w:t>For the Named Executive Officers, only EBITDA and ROI performance measures are used to determine AICP bonuses. For 2013, Mr. Dodson had 90% of his incentive compensation based on Oil States’ EBITDA and 10% of his incentive compensation based on Oil States’ ROI. Mr. Green’s incentive compensation was based 10% on Oil States’ EBITDA with the remainder tied to worldwide Accommodations’ EBITDA. Mr. McCann’s incentive compensation was based 100% on our Australian Accommodations’ EBITDA. Oil States’ EBITDA and pretax ROI targets, established in February 2013 based on Oil States’ annual operating plan, were $870 million and 15.4%, respectively. The EBITDA target for 2013 represented a 7.1% increase over 2012 actual results and the ROI target decreased from 16.5% in 2012 to 15.4% in 2013. Mr. Steininger held no position at and received no compensation from Oil States in 2013.</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end of each year, the Oil States Compensation Committee reviews the performance results of Oil States and the total incentive awards to be paid to each executive officer based on such officer’s success in achieving the AICP performance objectives.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 consolidated basis, Oil States achieved 167% of its targets for 2013. As a result, all executive officers received incentive plan payments for 2013 performance, reflecting, in large part, Oil States’ and most of its businesses’ strong overall performance versus budget and the profitable sale of the tubular services segment. These incentive plan payments under the AICP varied based upon the level of Oil States and business unit achievement of the related goals and objectives. Seven of ten AICP target groupings of Oil States, for AICP calculation purposes, including the consolidated group, exceeded their 2013 target EBITDA objectives. Mr. Dodson received a bonus above target in 2013. Messrs. Green and McCann received bonuses above the threshold level but below the target level in 2013. Each of the Named Executive Officers for the fiscal year ended December 31, 2013, received the following payments in February 2014 under the AICP for fiscal 2013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of Eligible</w:t>
            </w:r>
          </w:p>
        </w:tc>
      </w:tr>
      <w:tr>
        <w:trPr>
          <w:trHeight w:val="234"/>
        </w:trPr>
        <w:tc>
          <w:tcPr>
            <w:tcW w:w="48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AICP Award ($)</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AICP Earnings</w:t>
            </w:r>
          </w:p>
        </w:tc>
        <w:tc>
          <w:tcPr>
            <w:tcW w:w="160" w:type="dxa"/>
            <w:vAlign w:val="bottom"/>
          </w:tcPr>
          <w:p>
            <w:pPr>
              <w:spacing w:after="0"/>
              <w:rPr>
                <w:sz w:val="20"/>
                <w:szCs w:val="20"/>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447,047</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840" w:type="dxa"/>
            <w:vAlign w:val="bottom"/>
          </w:tcPr>
          <w:p>
            <w:pPr>
              <w:spacing w:after="0" w:line="216" w:lineRule="exact"/>
              <w:rPr>
                <w:sz w:val="20"/>
                <w:szCs w:val="20"/>
                <w:color w:val="auto"/>
              </w:rPr>
            </w:pPr>
            <w:r>
              <w:rPr>
                <w:rFonts w:ascii="Arial" w:cs="Arial" w:eastAsia="Arial" w:hAnsi="Arial"/>
                <w:sz w:val="16"/>
                <w:szCs w:val="16"/>
                <w:color w:val="auto"/>
              </w:rPr>
              <w:t>Frank C. Steininger</w:t>
            </w:r>
            <w:r>
              <w:rPr>
                <w:rFonts w:ascii="Arial" w:cs="Arial" w:eastAsia="Arial" w:hAnsi="Arial"/>
                <w:sz w:val="25"/>
                <w:szCs w:val="25"/>
                <w:color w:val="auto"/>
                <w:vertAlign w:val="superscript"/>
              </w:rPr>
              <w:t>(1)</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269,685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Peter L. McCann</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193,291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(1)  As described above, Mr. Steininger was not employed by Oil States during 2013 and, accordingly, did not participate in the AICP for fiscal 2013.</w:t>
      </w:r>
    </w:p>
    <w:p>
      <w:pPr>
        <w:spacing w:after="0" w:line="23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Long-term Incentives</w:t>
      </w:r>
      <w:r>
        <w:rPr>
          <w:rFonts w:ascii="Arial" w:cs="Arial" w:eastAsia="Arial" w:hAnsi="Arial"/>
          <w:sz w:val="18"/>
          <w:szCs w:val="18"/>
          <w:color w:val="auto"/>
        </w:rPr>
        <w:t>—Oil States makes certain stock-based awards under its 2001 Equity Participation Plan, which has been approved by Oil States’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better align the interests of executive officers with those of stockholders and to provide retention incentives. Specifically, the plan’s purposes are to:</w:t>
      </w:r>
    </w:p>
    <w:p>
      <w:pPr>
        <w:spacing w:after="0" w:line="181" w:lineRule="exact"/>
        <w:rPr>
          <w:sz w:val="20"/>
          <w:szCs w:val="20"/>
          <w:color w:val="auto"/>
        </w:rPr>
      </w:pPr>
    </w:p>
    <w:p>
      <w:pPr>
        <w:ind w:left="660" w:hanging="328"/>
        <w:spacing w:after="0" w:line="277" w:lineRule="auto"/>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provide an additional incentive for executives to further the growth, development and financial success of Oil States by personally benefiting through ownership of Oil States’ stock and/or rights; and</w:t>
      </w:r>
    </w:p>
    <w:p>
      <w:pPr>
        <w:spacing w:after="0" w:line="170" w:lineRule="exact"/>
        <w:rPr>
          <w:rFonts w:ascii="Arial" w:cs="Arial" w:eastAsia="Arial" w:hAnsi="Arial"/>
          <w:sz w:val="18"/>
          <w:szCs w:val="18"/>
          <w:color w:val="auto"/>
        </w:rPr>
      </w:pPr>
    </w:p>
    <w:p>
      <w:pPr>
        <w:ind w:left="660" w:right="540" w:hanging="328"/>
        <w:spacing w:after="0" w:line="342" w:lineRule="auto"/>
        <w:tabs>
          <w:tab w:leader="none" w:pos="66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States’ 2001 Equity Participation Plan provides for the grant of any combination of:</w:t>
      </w:r>
    </w:p>
    <w:p>
      <w:pPr>
        <w:spacing w:after="0" w:line="225" w:lineRule="exact"/>
        <w:rPr>
          <w:sz w:val="20"/>
          <w:szCs w:val="20"/>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deferred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stock payments or phantom stock awards.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0" w:name="page371"/>
    <w:bookmarkEnd w:id="370"/>
    <w:p>
      <w:pPr>
        <w:ind w:right="20" w:firstLine="324"/>
        <w:spacing w:after="0" w:line="270" w:lineRule="auto"/>
        <w:rPr>
          <w:sz w:val="20"/>
          <w:szCs w:val="20"/>
          <w:color w:val="auto"/>
        </w:rPr>
      </w:pPr>
      <w:r>
        <w:rPr>
          <w:rFonts w:ascii="Arial" w:cs="Arial" w:eastAsia="Arial" w:hAnsi="Arial"/>
          <w:sz w:val="17"/>
          <w:szCs w:val="17"/>
          <w:color w:val="auto"/>
        </w:rPr>
        <w:t>Under Oil States’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Oil States Compensation Committee has approved awards with shorter vesting periods. The Oil States Compensation Committee has never granted options with an exercise price that is less than the NYSE Closing Price on the grant date.</w:t>
      </w:r>
    </w:p>
    <w:p>
      <w:pPr>
        <w:spacing w:after="0" w:line="182"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Oil States’ 2001 Equity Participation Plan prohibits repricing or replacing underwater stock options or canceling or effecting a cash buyout of stock options without the approval of Oil States’ stockholders. Effective February 19, 2013, Oil States amended its 2001 Equity Participation Plan as follows:</w:t>
      </w:r>
    </w:p>
    <w:p>
      <w:pPr>
        <w:spacing w:after="0" w:line="124" w:lineRule="exact"/>
        <w:rPr>
          <w:sz w:val="20"/>
          <w:szCs w:val="20"/>
          <w:color w:val="auto"/>
        </w:rPr>
      </w:pPr>
    </w:p>
    <w:p>
      <w:pPr>
        <w:ind w:left="660" w:hanging="328"/>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maximum value of performance awards to any participant in a calendar year is limited to $4,000,000;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Options forfeited or cancelled are not available to be “recycled” and awarded again;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An option agreement may not be cancelled or amended in exchange for cash or another equity award;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Loans from Oil States to plan participants are not permitted;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Dividend equivalents are not permitted to be credited to option awards and, for other awards, are not payable until the underlying deferred stock or performance award vests; and</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Oil States Compensation Committee may delegate to the Chief Executive Officer the right to grant awards under the 2001 Equity Participation Plan to any person who is not subject to Section 16 of the Exchange Act subject to conditions and restrictions that the Oil States Compensation Committee determines.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Oil States believes these changes to its 2001 Equity Participation Plan are consistent with “best practices” for equity plans for publicly traded companies. In determining appropriate awards, the Oil States Compensation Committee annually reviews each executive’s past performance and experience, his or her position and ability to contribute to the future success and growth of Oil States, time in the current job, base compensation and competitive market data. The Oil States Compensation Committee also takes into account the risk of losing the executive to other employment opportunities and the value and potential for appreciation in Oil States’ stock. The Oil States Compensation Committee also takes into consideration that, unlike some benchmark companies, Oil States has no defined benefit retirement plan nor any supplemental executive retirement benefits or similar arrangements. The Oil States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Oil States Compensation Committee considers the foregoing factors and any other relevant factors and makes a subjective determination with respect to awarding equity based compensation to its executive officers.</w:t>
      </w:r>
    </w:p>
    <w:p>
      <w:pPr>
        <w:spacing w:after="0" w:line="18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Oil States Compensation Committee determines the award level for executives, if any, on an annual basis usually at its February meeting each year.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1" w:name="page372"/>
    <w:bookmarkEnd w:id="371"/>
    <w:p>
      <w:pPr>
        <w:ind w:right="40" w:firstLine="324"/>
        <w:spacing w:after="0" w:line="271" w:lineRule="auto"/>
        <w:rPr>
          <w:sz w:val="20"/>
          <w:szCs w:val="20"/>
          <w:color w:val="auto"/>
        </w:rPr>
      </w:pPr>
      <w:r>
        <w:rPr>
          <w:rFonts w:ascii="Arial" w:cs="Arial" w:eastAsia="Arial" w:hAnsi="Arial"/>
          <w:sz w:val="17"/>
          <w:szCs w:val="17"/>
          <w:color w:val="auto"/>
        </w:rPr>
        <w:t>For 2013, Oil States incorporated a combination of nonqualified stock options, restricted stock awards, deferred stock awards, performance based awards and phantom stock awards as the primary executive long-term incentive and retention tool for the Named Executive Officers. Restricted stock and deferred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Oil States Compensation Committee weighs the cost of these grants with their potential benefit as an incentive, retention and compensation tool.</w:t>
      </w:r>
    </w:p>
    <w:p>
      <w:pPr>
        <w:spacing w:after="0" w:line="1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administering the long-term incentive equity plan, the Oil States Compensation Committee is sensitive to the potential for dilution of future earnings per share. For this reason and because of other compensation design considerations, the Oil States Compensation Committee focuses the long-term incentive plan on employees who will have the greatest impact on the strategic direction and long-term results of Oil States by virtue of their senior roles and responsibilities.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Performance Based Awards. </w:t>
      </w:r>
      <w:r>
        <w:rPr>
          <w:rFonts w:ascii="Arial" w:cs="Arial" w:eastAsia="Arial" w:hAnsi="Arial"/>
          <w:sz w:val="18"/>
          <w:szCs w:val="18"/>
          <w:color w:val="auto"/>
        </w:rPr>
        <w:t>The performance based awards represent the right to receive shares of Oil States’ common stock,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achieving performance objectives. Because of tax considerations in Canada and Australia, Mr. Dodson is the only named executive officer to have received a performance based award in the past.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6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17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i w:val="1"/>
          <w:iCs w:val="1"/>
          <w:color w:val="auto"/>
        </w:rPr>
        <w:t>Phantom Stock Awards</w:t>
      </w:r>
      <w:r>
        <w:rPr>
          <w:rFonts w:ascii="Arial" w:cs="Arial" w:eastAsia="Arial" w:hAnsi="Arial"/>
          <w:sz w:val="18"/>
          <w:szCs w:val="18"/>
          <w:color w:val="auto"/>
        </w:rPr>
        <w:t>. Oil States began awarding cash-settled phantom stock awards in 2012 under its phantom stock plan to certain executives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because these awards were more tax efficient for Oil States and the executive. Phantom stock awards made on February 19, 2013 totaled 30,314 shares and will vest 33.3% per year on the first, second and third anniversary of the award date. Each phantom stock award entitles the holder to the cash equivalent amount equal to a share of Oil States stock on the vesting date.</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Restricted Stock, Deferred Stock and Option Awards</w:t>
      </w:r>
      <w:r>
        <w:rPr>
          <w:rFonts w:ascii="Arial" w:cs="Arial" w:eastAsia="Arial" w:hAnsi="Arial"/>
          <w:sz w:val="17"/>
          <w:szCs w:val="17"/>
          <w:color w:val="auto"/>
        </w:rPr>
        <w:t>. Restricted stock awards in the amount of 5,500 restricted shares were made to Mr. Dodson on</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19, 2013 at the then fair market value of $80.25 per restricted share. Stock option awards with respect to 4,000 shares of Oil States common stock were made to Mr. Dodson on February 19, 2013 that had an exercise price of $80.25 per share based on the NYSE Closing Price and that had a Black Scholes fair market value on the date of grant of $28.31 per option award. These awards will vest in four equal installments on each anniversary of the grant date (so that the 2013 awards will be 100% vested on February 19, 2017), provided the named executive officer remains an employee continuously from the date of grant through the applicable vesting date. Vesting of the awards may be accelerated upon the occurrence of certain events, as described in detail below under “—Potential Payments Upon Termination or Change in Control.” While a Named Executive Officer holds nonvested restricted shares, he or she is entitled to all the rights of ownership with respect to the shares, including the right to vote the shares and receive dividends thereon (except that any dividends or other distributions paid in any form other than cash shall be subject to forfeiture restrictions applicable to the underlying award). Deferred stock award recipients are not entitled to vote and do not accrue dividends or awards until they vest.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2" w:name="page373"/>
    <w:bookmarkEnd w:id="372"/>
    <w:p>
      <w:pPr>
        <w:ind w:right="160" w:firstLine="324"/>
        <w:spacing w:after="0" w:line="342" w:lineRule="auto"/>
        <w:rPr>
          <w:sz w:val="20"/>
          <w:szCs w:val="20"/>
          <w:color w:val="auto"/>
        </w:rPr>
      </w:pPr>
      <w:r>
        <w:rPr>
          <w:rFonts w:ascii="Arial" w:cs="Arial" w:eastAsia="Arial" w:hAnsi="Arial"/>
          <w:sz w:val="16"/>
          <w:szCs w:val="16"/>
          <w:color w:val="auto"/>
        </w:rPr>
        <w:t>Mr. Green received a grant of 15,000 shares of phantom stock in February 2013 which vests in three equal installments on each anniversary of the grant date. Mr. McCann received a deferred stock award of 6,000 shares in February 2013 which vests in four equal installments on each anniversary date.</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Stock option grants, restricted and deferred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February meeting of the board of directors of Oil States. Executive officers and directors are prohibited from trading options or any derivative type of contract related to Oil States’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Employee benefits are designed to be broad based, competitive and to attract and retain employees. From time to time the Oil States Compensation Committee reviews plan updates and recommends that Oil States implement certain changes to existing plans or adopt new benefit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including Mr. Green. See “Canadian Retirement Savings Plan” below. In Australia, employers must contribute 9.25% of base salary, up to a capped limit of A$192,160, into an employee’s superannuation fund or savings account as part of the Government’s compulsory Superannuation Guarantee. The capped limit is indexed each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Oil States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3" w:name="page374"/>
    <w:bookmarkEnd w:id="373"/>
    <w:p>
      <w:pPr>
        <w:ind w:firstLine="324"/>
        <w:spacing w:after="0" w:line="290" w:lineRule="auto"/>
        <w:rPr>
          <w:sz w:val="20"/>
          <w:szCs w:val="20"/>
          <w:color w:val="auto"/>
        </w:rPr>
      </w:pPr>
      <w:r>
        <w:rPr>
          <w:rFonts w:ascii="Arial" w:cs="Arial" w:eastAsia="Arial" w:hAnsi="Arial"/>
          <w:sz w:val="16"/>
          <w:szCs w:val="16"/>
          <w:color w:val="auto"/>
        </w:rPr>
        <w:t>Participants in the Deferred Compensation Plan are able to invest contributions made to the Deferred Compensation Plan in investment funds selected by Oil States Retirement Plan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Oil States Retirement Plan Committee is composed of employees. The Oil States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18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described under the “Retirement Plans,” Oil States offers a defined contribution retirement plan to its Canadian employees. In Canada, Oil States contributes, on a matched basis, an amount up to 5% of each Canadian based, salaried employee’s (including Mr. Green) earnings (base salary plus annual incentive compensation) to the legislated maximum for a Deferred Profit Sharing Plan (DPSP—Maximum for 2013—$12,135). DPSP is a form of defined contribution retirement savings plan governed by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Contributions to the “Retirement Savings Plan” for Mr. Green (as with all of the Canadian based salaried employees) is subject to the annual maximum registered savings limit of C$23,820 in 2013 as set out in the Canadian Tax Act.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i w:val="1"/>
          <w:iCs w:val="1"/>
          <w:color w:val="auto"/>
        </w:rPr>
        <w:t>Other Perquisites and Personal Benefits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Consultant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2013, the Oil States Compensation Committee engaged Frederic W. Cook &amp; Co., Inc. (the “Consultant”) to provide independent advice on executive compensation matters. In 2013, the Consultant confirmed to the chair of the Oil States Compensation Committee certain industry compensation data provided by management and provided feedback regarding proposed compensation terms to the Committee. The Oil States Compensation Committee Chairman pre-approved the scope of the work to be performed by and the fee arrangement with the Consultant, which was based on agreed upon rates per hour. The Consultant’s engagement was limited to executive compensation projects for the Oil States Compensation Committee, and no other services were provided to Oil States or management. Fees paid to the Consultant in 2013 did not exceed $120,000.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Executive Compensation Policies</w:t>
      </w:r>
    </w:p>
    <w:p>
      <w:pPr>
        <w:spacing w:after="0" w:line="225" w:lineRule="exact"/>
        <w:rPr>
          <w:sz w:val="20"/>
          <w:szCs w:val="20"/>
          <w:color w:val="auto"/>
        </w:rPr>
      </w:pPr>
    </w:p>
    <w:p>
      <w:pPr>
        <w:ind w:left="660" w:right="500" w:hanging="328"/>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Repricing Stock Options</w:t>
      </w:r>
      <w:r>
        <w:rPr>
          <w:rFonts w:ascii="Arial" w:cs="Arial" w:eastAsia="Arial" w:hAnsi="Arial"/>
          <w:sz w:val="18"/>
          <w:szCs w:val="18"/>
          <w:color w:val="auto"/>
        </w:rPr>
        <w:t>—Oil States’ practice is to price awards at the market price on the date of award. Oil States’ Equity Participation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any repricing of options without shareholders’ approval.</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Securities Trading Policy</w:t>
      </w:r>
      <w:r>
        <w:rPr>
          <w:rFonts w:ascii="Arial" w:cs="Arial" w:eastAsia="Arial" w:hAnsi="Arial"/>
          <w:sz w:val="18"/>
          <w:szCs w:val="18"/>
          <w:color w:val="auto"/>
        </w:rPr>
        <w:t>—Oil States prohibits directors, officers and certain other managers from trading Oil States’ securities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or “tipping” others who may so trade on such information. In addition, the policy prohibits trading in Oil States’ securities without obtaining prior approval from Oil States’ Compliance Officer. Executive officers and directors are prohibited from trading options on any derivative type of contract related to Oil States’ stock.</w:t>
      </w:r>
    </w:p>
    <w:p>
      <w:pPr>
        <w:spacing w:after="0" w:line="186"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—To date, Oil States has not adopted a formal clawback policy to recoup incentive based compensation upon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restatement, misconduct or other specified events. However, the performance based awards granted to Oil States’ named executive officers as part of its 2013 long-term incentive compensation program do include language providing that the award may be cancelled and the officer may be required to repay Oil States for any realized gains to the extent required by applicable law. The Oil States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189"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Executive Stock Ownership Guidelines and Holding Period</w:t>
      </w:r>
      <w:r>
        <w:rPr>
          <w:rFonts w:ascii="Arial" w:cs="Arial" w:eastAsia="Arial" w:hAnsi="Arial"/>
          <w:sz w:val="18"/>
          <w:szCs w:val="18"/>
          <w:color w:val="auto"/>
        </w:rPr>
        <w:t>—Effective February 16, 2007, Executive Stock Ownership Guidelines were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Oil States Compensation Committee to further align the interests of executives with the interests of stockholders and further promote Oil States’ commitment to sound corporate governance.</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5" w:name="page376"/>
    <w:bookmarkEnd w:id="375"/>
    <w:p>
      <w:pPr>
        <w:ind w:right="80" w:firstLine="324"/>
        <w:spacing w:after="0" w:line="255" w:lineRule="auto"/>
        <w:rPr>
          <w:sz w:val="20"/>
          <w:szCs w:val="20"/>
          <w:color w:val="auto"/>
        </w:rPr>
      </w:pPr>
      <w:r>
        <w:rPr>
          <w:rFonts w:ascii="Arial" w:cs="Arial" w:eastAsia="Arial" w:hAnsi="Arial"/>
          <w:sz w:val="18"/>
          <w:szCs w:val="18"/>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Oil States Compensation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780" w:type="dxa"/>
            <w:vAlign w:val="bottom"/>
            <w:gridSpan w:val="3"/>
          </w:tcPr>
          <w:p>
            <w:pPr>
              <w:ind w:left="580"/>
              <w:spacing w:after="0"/>
              <w:rPr>
                <w:sz w:val="20"/>
                <w:szCs w:val="20"/>
                <w:color w:val="auto"/>
              </w:rPr>
            </w:pPr>
            <w:r>
              <w:rPr>
                <w:rFonts w:ascii="Arial" w:cs="Arial" w:eastAsia="Arial" w:hAnsi="Arial"/>
                <w:sz w:val="18"/>
                <w:szCs w:val="18"/>
                <w:b w:val="1"/>
                <w:bCs w:val="1"/>
                <w:color w:val="auto"/>
              </w:rPr>
              <w:t>Stock Ownership Level</w:t>
            </w:r>
          </w:p>
        </w:tc>
      </w:tr>
      <w:tr>
        <w:trPr>
          <w:trHeight w:val="432"/>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4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Multiple of Salary</w:t>
            </w: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3X</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Executive Officers (Section 16)</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2X</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 Vice Presidents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1X</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that counts toward satisfaction of the Executive Stock Ownership Guidelines includes:</w:t>
      </w:r>
    </w:p>
    <w:p>
      <w:pPr>
        <w:spacing w:after="0" w:line="225" w:lineRule="exact"/>
        <w:rPr>
          <w:sz w:val="20"/>
          <w:szCs w:val="20"/>
          <w:color w:val="auto"/>
        </w:rPr>
      </w:pPr>
    </w:p>
    <w:p>
      <w:pPr>
        <w:ind w:left="660" w:right="620" w:hanging="328"/>
        <w:spacing w:after="0" w:line="277" w:lineRule="auto"/>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Oil States shares owned outright (i.e. open market purchases) by the executive or his or her immediate family members residing in the same household;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Vested Oil States restricted stock awards that are issued as part of the executive’s long-term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Oil States shares acquired upon option exercise that the executive continues to hold;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Oil States shares held in Oil States’ Deferred Compensation Plan;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Oil States shares beneficially owned through a trust.</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Mr. Green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Oil States maintains Executive Agreements with Messrs. Dodson and Green. The Executive Agreements are not considered employment agreements and the executives are employed “at will” by Oil States. These agreements provide protection in the event of a qualified termination, which is defined as an</w:t>
      </w:r>
    </w:p>
    <w:p>
      <w:pPr>
        <w:ind w:right="120" w:firstLine="8"/>
        <w:spacing w:after="0" w:line="281" w:lineRule="auto"/>
        <w:tabs>
          <w:tab w:leader="none" w:pos="21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The triggering events were selected due to the executive not having complete control of their circumstances.</w:t>
      </w:r>
    </w:p>
    <w:p>
      <w:pPr>
        <w:spacing w:after="0" w:line="2" w:lineRule="exact"/>
        <w:rPr>
          <w:rFonts w:ascii="Arial" w:cs="Arial" w:eastAsia="Arial" w:hAnsi="Arial"/>
          <w:sz w:val="16"/>
          <w:szCs w:val="16"/>
          <w:color w:val="auto"/>
        </w:rPr>
      </w:pP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Executives are exercising control over their circumstances when they resign voluntarily without Good Reason or are terminated for Cause. As a result, these events do not trigger any payments.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a qualified termination occurs other than during the 24-month period following a corporate Change of Control, the Executive Agreements provide</w:t>
      </w:r>
    </w:p>
    <w:p>
      <w:pPr>
        <w:spacing w:after="0" w:line="35" w:lineRule="exact"/>
        <w:rPr>
          <w:sz w:val="20"/>
          <w:szCs w:val="20"/>
          <w:color w:val="auto"/>
        </w:rPr>
      </w:pPr>
    </w:p>
    <w:p>
      <w:pPr>
        <w:ind w:right="220" w:firstLine="8"/>
        <w:spacing w:after="0" w:line="255" w:lineRule="auto"/>
        <w:tabs>
          <w:tab w:leader="none" w:pos="21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for payments based on the executive officer’s base salary and target annual bonus amount, (ii) that all restrictions on restricted stock and phantom stock units will lapse and (iii) for continued health benefits for 24 months. Any vested, non-qualified stock options would expire after 3 months of the date of termination if not exercised prior to their expiration.</w:t>
      </w:r>
    </w:p>
    <w:p>
      <w:pPr>
        <w:spacing w:after="0" w:line="190"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a lump sum payment to the executive officer based on the executive officer’s base salary and target annual incentive amount. In addition, with respect to such a qualified termination, the agreements provide that all restricted stock, performance shares,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 (ii) the date the executive begins receiving comparable benefits from a subsequent employer, (B) vesting of all contributions to our 401(k) plan and Deferred Compensation Plan to the extent not already vested and</w:t>
      </w:r>
    </w:p>
    <w:p>
      <w:pPr>
        <w:spacing w:after="0" w:line="6" w:lineRule="exact"/>
        <w:rPr>
          <w:sz w:val="20"/>
          <w:szCs w:val="20"/>
          <w:color w:val="auto"/>
        </w:rPr>
      </w:pPr>
    </w:p>
    <w:p>
      <w:pPr>
        <w:ind w:firstLine="8"/>
        <w:spacing w:after="0" w:line="252" w:lineRule="auto"/>
        <w:tabs>
          <w:tab w:leader="none" w:pos="28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outplacement services equal to a maximum of 15% of the executive’s salary at the time of termination until the earliest to occur of (i) December 31 of the second calendar year following the year of termination and (ii) the date the executive accepts subsequent employment. The executive agreement entered into with Mr. Dodson during 2009 entitles him to be made whole for any excise taxes incurred with respect to severance payments that are in excess of the limits set forth under the Internal Revenue Code. The executive agreement entered into with Mr. Green does not contain excise tax gross up protection. See “Potential Payments Under Termination or Change of Control” in this Proxy Statement for additional disclosures of severance and Change of Control payments for Named Executive Officers.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76" w:name="page377"/>
    <w:bookmarkEnd w:id="376"/>
    <w:p>
      <w:pPr>
        <w:jc w:val="both"/>
        <w:ind w:right="80" w:firstLine="324"/>
        <w:spacing w:after="0" w:line="259" w:lineRule="auto"/>
        <w:rPr>
          <w:sz w:val="20"/>
          <w:szCs w:val="20"/>
          <w:color w:val="auto"/>
        </w:rPr>
      </w:pPr>
      <w:r>
        <w:rPr>
          <w:rFonts w:ascii="Arial" w:cs="Arial" w:eastAsia="Arial" w:hAnsi="Arial"/>
          <w:sz w:val="18"/>
          <w:szCs w:val="18"/>
          <w:color w:val="auto"/>
        </w:rPr>
        <w:t>The Executive Agreements have a term of three years and are extended automatically for one additional day on a daily basis for a period of three years, unless notice of non-extension is given by the board of directors of Oil States, in which case the agreement will terminate on the third anniversary of the date notice is given. To receive benefits under the Executive Agreement, the executive officer will be required to execute a release of all claims against Oil States. Certain terms of the Executive Agreements are summarized below.</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Under the terms of each of their Executive Agreements, Messrs. Dodson and Green will be entitled to receive a lump sum payment equal to two times his base salary and target annual incentive amount if a qualified termination occurs during the 24-month period following a corporate Change of Control. If a qualified termination occurs other than during the 24-month period following a Change of Control, Messrs. Dodson and Green will be entitled to receive a lump sum payment equal to one year of his base salary and target annual incentive amount as well as other benefits described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Separation of Civeo is not a change of control event and therefore will not entitle executive officers of Oil States to any change of control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Assignment Agreement</w:t>
      </w:r>
    </w:p>
    <w:p>
      <w:pPr>
        <w:spacing w:after="0" w:line="225"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On May 3, 2011, Oil States entered into an assignment letter with Mr. Green setting forth certain terms and conditions governing his temporary assignment in Sydney, Australia in connection with the integration of an acquisition and the expansion of the Oil States’ accommodations business in Australia. Mr. Green’s assignment ended in June 2012. During the term, the assignment letter provided that Mr. Green’s base salary may be paid in either Canadian or Australian currency, and that Mr. Green would be provided health, welfare, retirement plan, and workers compensation benefits that are comparable to the benefits he received prior to his temporary assignment. The assignment letter also provided Mr. Green with the following payments and allowances in addition to his base salary: (i) a monthly cost of living adjustment if the cost-of-living in Australia is determined to be higher than in Canada, including $810 per month to compensate him for additional food costs; (ii) payment for furnished rental housing in Australia within established guidelines;</w:t>
      </w:r>
    </w:p>
    <w:p>
      <w:pPr>
        <w:spacing w:after="0" w:line="3" w:lineRule="exact"/>
        <w:rPr>
          <w:sz w:val="20"/>
          <w:szCs w:val="20"/>
          <w:color w:val="auto"/>
        </w:rPr>
      </w:pPr>
    </w:p>
    <w:p>
      <w:pPr>
        <w:ind w:firstLine="8"/>
        <w:spacing w:after="0" w:line="281" w:lineRule="auto"/>
        <w:tabs>
          <w:tab w:leader="none" w:pos="31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payment of reasonable expenses associated with maintaining Mr. Green’s residence in Canada, including association fees, property management, security, lawn care, routine house-keeping services and similar items; (iv) payment for the reasonable cost of utilities in Australia, including gas, water and electric;</w:t>
      </w:r>
    </w:p>
    <w:p>
      <w:pPr>
        <w:spacing w:after="0" w:line="1" w:lineRule="exact"/>
        <w:rPr>
          <w:rFonts w:ascii="Arial" w:cs="Arial" w:eastAsia="Arial" w:hAnsi="Arial"/>
          <w:sz w:val="16"/>
          <w:szCs w:val="16"/>
          <w:color w:val="auto"/>
        </w:rPr>
      </w:pPr>
    </w:p>
    <w:p>
      <w:pPr>
        <w:ind w:right="80" w:firstLine="8"/>
        <w:spacing w:after="0" w:line="281" w:lineRule="auto"/>
        <w:tabs>
          <w:tab w:leader="none" w:pos="25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tax equalization benefits to ensure Mr. Green does not pay more in taxes than he would if not on assignment, including the cost of an external tax consultant to assist in the preparation and processing of tax returns in both countries; (vi) payment of costs associated with obtaining necessary passports, visas and work permits; (vii) reimbursement of up to $5,000 to cover incidental relocation expenses; (viii) payment of costs for air shipment of personal effects and belongings; (ix) payment for business class airfare for Mr. Green to travel to Australia and for related meals, incidentals and excess baggage fees;</w:t>
      </w:r>
    </w:p>
    <w:p>
      <w:pPr>
        <w:spacing w:after="0" w:line="2" w:lineRule="exact"/>
        <w:rPr>
          <w:rFonts w:ascii="Arial" w:cs="Arial" w:eastAsia="Arial" w:hAnsi="Arial"/>
          <w:sz w:val="16"/>
          <w:szCs w:val="16"/>
          <w:color w:val="auto"/>
        </w:rPr>
      </w:pPr>
    </w:p>
    <w:p>
      <w:pPr>
        <w:ind w:right="120" w:firstLine="8"/>
        <w:spacing w:after="0" w:line="252" w:lineRule="auto"/>
        <w:tabs>
          <w:tab w:leader="none" w:pos="25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payment of temporary living expenses in Australia for up to 30 days, including meals and incidental expenses; (xi) use of an Oil States vehicle and payment of expenses associated with fuel and operating costs; (xii) provision of business class airfare to Canada and related travel expenses in the event of a death or serious illness in Mr. Green’s immediate family; and (xiii) repatriation benefits, including business-class airfare to Canada, reimbursement of relocation expenses up to $5,000 and a completion bonus. Severance benefits for Mr. Green are addressed in his Executive Agreement; however, upon termination of Mr. Green’s assignment in June 2012, all allowances and benefits provided for in the assignment letter ceased, and Oil States paid for the cost of airfare and reasonable expenses for him to return to Canada. During 2013, Mr. Green was paid a completion bonus of C$255,940 as a result of his foreign assignment.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i w:val="1"/>
          <w:iCs w:val="1"/>
          <w:color w:val="auto"/>
        </w:rPr>
        <w:t>Agreement with Our Chief Financial Officer</w:t>
      </w:r>
    </w:p>
    <w:p>
      <w:pPr>
        <w:spacing w:after="0" w:line="225" w:lineRule="exact"/>
        <w:rPr>
          <w:sz w:val="20"/>
          <w:szCs w:val="20"/>
          <w:color w:val="auto"/>
        </w:rPr>
      </w:pPr>
    </w:p>
    <w:p>
      <w:pPr>
        <w:ind w:right="120" w:firstLine="324"/>
        <w:spacing w:after="0" w:line="295" w:lineRule="auto"/>
        <w:rPr>
          <w:sz w:val="20"/>
          <w:szCs w:val="20"/>
          <w:color w:val="auto"/>
        </w:rPr>
      </w:pPr>
      <w:r>
        <w:rPr>
          <w:rFonts w:ascii="Arial" w:cs="Arial" w:eastAsia="Arial" w:hAnsi="Arial"/>
          <w:sz w:val="16"/>
          <w:szCs w:val="16"/>
          <w:color w:val="auto"/>
        </w:rPr>
        <w:t>Mr. Steininger has agreed to consult for the Company beginning in March 2014 pending the completion of the spin-off transaction. Following the completion of the spin-off transaction, Mr. Steininger is expected to be named the Senior Vice President, Chief Financial Officer and Treasurer of Civeo. His consulting agreement provides for a weekly fee of $7,692, paid bi-weekly, and contains a provision for the payment of one year of compensation should the spin-off not occur. In addition, pursuant to Mr. Steininger’s consulting agreement he is eligible to receive upon the completion of the spin-off, a grant of</w:t>
      </w:r>
    </w:p>
    <w:p>
      <w:pPr>
        <w:spacing w:after="0"/>
        <w:rPr>
          <w:sz w:val="20"/>
          <w:szCs w:val="20"/>
          <w:color w:val="auto"/>
        </w:rPr>
      </w:pPr>
      <w:r>
        <w:rPr>
          <w:rFonts w:ascii="Arial" w:cs="Arial" w:eastAsia="Arial" w:hAnsi="Arial"/>
          <w:sz w:val="18"/>
          <w:szCs w:val="18"/>
          <w:color w:val="auto"/>
        </w:rPr>
        <w:t>equity or equity-based awards with respect to Civeo common stock with grant date value of approximately $800,000.</w:t>
      </w:r>
    </w:p>
    <w:p>
      <w:pPr>
        <w:spacing w:after="0" w:line="23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After the completion of the spin-off transaction, Mr. Steininger is expected to enter into an executive agreement, to participate in the Civeo equity participation plan and be eligible for benefits available to other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Spin-off on Outstanding Executive and Other Compensation Awards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terms of the Employee Matters Agreement, Oil States and Civeo expect for the following to occur with respect to outstanding Oil States compensation awards:</w:t>
      </w:r>
    </w:p>
    <w:p>
      <w:pPr>
        <w:spacing w:after="0" w:line="170" w:lineRule="exact"/>
        <w:rPr>
          <w:sz w:val="20"/>
          <w:szCs w:val="20"/>
          <w:color w:val="auto"/>
        </w:rPr>
      </w:pPr>
    </w:p>
    <w:p>
      <w:pPr>
        <w:ind w:left="660" w:hanging="328"/>
        <w:spacing w:after="0"/>
        <w:tabs>
          <w:tab w:leader="none" w:pos="660"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Not a Change of Control</w:t>
      </w:r>
      <w:r>
        <w:rPr>
          <w:rFonts w:ascii="Arial" w:cs="Arial" w:eastAsia="Arial" w:hAnsi="Arial"/>
          <w:sz w:val="16"/>
          <w:szCs w:val="16"/>
          <w:color w:val="auto"/>
        </w:rPr>
        <w:t>. The spin-off will not constitute a change of control or similar event under the Oil States or Civeo compensation programs.</w:t>
      </w:r>
    </w:p>
    <w:p>
      <w:pPr>
        <w:spacing w:after="0" w:line="302" w:lineRule="exact"/>
        <w:rPr>
          <w:rFonts w:ascii="Arial" w:cs="Arial" w:eastAsia="Arial" w:hAnsi="Arial"/>
          <w:sz w:val="16"/>
          <w:szCs w:val="16"/>
          <w:color w:val="auto"/>
        </w:rPr>
      </w:pPr>
    </w:p>
    <w:p>
      <w:pPr>
        <w:ind w:left="660" w:right="80" w:hanging="328"/>
        <w:spacing w:after="0" w:line="257"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Restricted Shares Held by Civeo Employees</w:t>
      </w:r>
      <w:r>
        <w:rPr>
          <w:rFonts w:ascii="Arial" w:cs="Arial" w:eastAsia="Arial" w:hAnsi="Arial"/>
          <w:sz w:val="18"/>
          <w:szCs w:val="18"/>
          <w:color w:val="auto"/>
        </w:rPr>
        <w:t>. All outstanding Oil States restricted shares held by current employees of Civeo will be cancelled upon the spin-off, with the holder thereof entitled to receive a number of time-vested restricted shares of Civeo common determined in a manner to preserve the pre spin-off value of the prior Oil States restricted shares based upon the relative stock prices of Civeo and Oil States. Following the spin-off, such awards will be subject to similar terms and conditions as the prior award, except that they will vest based upon continued service with or a change of control of Civeo rather than Oil States.</w:t>
      </w:r>
    </w:p>
    <w:p>
      <w:pPr>
        <w:spacing w:after="0" w:line="188"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Other Time-Vested Equity Awards held by Civeo Employees</w:t>
      </w:r>
      <w:r>
        <w:rPr>
          <w:rFonts w:ascii="Arial" w:cs="Arial" w:eastAsia="Arial" w:hAnsi="Arial"/>
          <w:sz w:val="17"/>
          <w:szCs w:val="17"/>
          <w:color w:val="auto"/>
        </w:rPr>
        <w:t>. All outstanding Oil States and other time-vested equity and equity-based awards held (other than restricted shares) by Civeo employees (including those held by Civeo’s named executive officers) will be converted upon the completion of the spin-off into the same type of award with respect to Civeo common stock, with the number of shares and exercise price of such award, as applicable, adjusted based upon the relative stock prices of Civeo and Oil States to preserve the value of the award prior to the spin-off. Following the spin-off, such awards will be subject to the same terms and conditions as prior to the spin-off, except that they will vest based upon continued service with or a change of control of Civeo rather than Oil States.</w:t>
      </w:r>
    </w:p>
    <w:p>
      <w:pPr>
        <w:spacing w:after="0" w:line="178" w:lineRule="exact"/>
        <w:rPr>
          <w:rFonts w:ascii="Arial" w:cs="Arial" w:eastAsia="Arial" w:hAnsi="Arial"/>
          <w:sz w:val="17"/>
          <w:szCs w:val="17"/>
          <w:color w:val="auto"/>
        </w:rPr>
      </w:pPr>
    </w:p>
    <w:p>
      <w:pPr>
        <w:ind w:left="660" w:right="80" w:hanging="328"/>
        <w:spacing w:after="0" w:line="257"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Time-Vested Equity Awards held by Oil States Employees</w:t>
      </w:r>
      <w:r>
        <w:rPr>
          <w:rFonts w:ascii="Arial" w:cs="Arial" w:eastAsia="Arial" w:hAnsi="Arial"/>
          <w:sz w:val="18"/>
          <w:szCs w:val="18"/>
          <w:color w:val="auto"/>
        </w:rPr>
        <w:t>. All outstanding Oil States options, restricted shares and other time-vested equity and equity-based awards held by current and former Oil States employees and directors will be modified upon the completion of the spin-off based upon the relative pre-and post-spin-off stock prices of Oil States such that the number of shares and exercise price of such award, as applicable, are adjusted based upon the relative to preserve the value of the award prior to the spin-off. Following the spin-off, such awards will remain subject to the same terms and conditions as prior to the spin-off.</w:t>
      </w:r>
    </w:p>
    <w:p>
      <w:pPr>
        <w:spacing w:after="0" w:line="188"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Performance-Based Equity Awards held by Civeo Employees</w:t>
      </w:r>
      <w:r>
        <w:rPr>
          <w:rFonts w:ascii="Arial" w:cs="Arial" w:eastAsia="Arial" w:hAnsi="Arial"/>
          <w:sz w:val="16"/>
          <w:szCs w:val="16"/>
          <w:color w:val="auto"/>
        </w:rPr>
        <w:t>. Performance-based deferred stock awards held by Civeo employees (including those held by Civeo’s named executive officers) will be cancelled with the holder thereof entitled to receive a grant of time-vested restricted shares of Civeo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with or a change of control of Civeo and will not be subject to performance vesting conditions.</w:t>
      </w:r>
    </w:p>
    <w:p>
      <w:pPr>
        <w:spacing w:after="0" w:line="164" w:lineRule="exact"/>
        <w:rPr>
          <w:rFonts w:ascii="Arial" w:cs="Arial" w:eastAsia="Arial" w:hAnsi="Arial"/>
          <w:sz w:val="16"/>
          <w:szCs w:val="16"/>
          <w:color w:val="auto"/>
        </w:rPr>
      </w:pPr>
    </w:p>
    <w:p>
      <w:pPr>
        <w:ind w:left="660" w:right="260" w:hanging="328"/>
        <w:spacing w:after="0" w:line="273" w:lineRule="auto"/>
        <w:tabs>
          <w:tab w:leader="none" w:pos="66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Performance-Based Equity Awards held by Oil States Employees</w:t>
      </w:r>
      <w:r>
        <w:rPr>
          <w:rFonts w:ascii="Arial" w:cs="Arial" w:eastAsia="Arial" w:hAnsi="Arial"/>
          <w:sz w:val="17"/>
          <w:szCs w:val="17"/>
          <w:color w:val="auto"/>
        </w:rPr>
        <w:t>. Performance-based deferred stock awards held by Oil States employees will be cancelled with the holder thereof entitled to receive a grant of time-vested restricted shares of Oil States common stock, with the number of such time-vested restricted shares determined based upon the number of Oil States shares issuable upon settlement based upon the actual attainment of performance objectives to date as of Oil States’ most recently-completed fiscal quarter, adjusted based upon the relative stock prices of Civeo and Oil States to preserve the value of the award prior to the spin-off. Following the spin-off, such awards will vest based upon continued service or a change of control of Oil States and will not be subject to performance vesting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8" w:name="page379"/>
    <w:bookmarkEnd w:id="378"/>
    <w:p>
      <w:pPr>
        <w:ind w:left="660" w:right="60" w:hanging="328"/>
        <w:spacing w:after="0" w:line="259"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Annual Cash Incentive Plan Awards</w:t>
      </w:r>
      <w:r>
        <w:rPr>
          <w:rFonts w:ascii="Arial" w:cs="Arial" w:eastAsia="Arial" w:hAnsi="Arial"/>
          <w:sz w:val="18"/>
          <w:szCs w:val="18"/>
          <w:color w:val="auto"/>
        </w:rPr>
        <w:t>. From and after the spin-off, all employees of Civeo (including each of Civeo’s named executive officers) will cease participation in Oil States’ annual incentive plan, and all cash incentive awards for 2014 will be provided under Civeo’s annual incentive programs, provided that Civeo will assume any accrued liabilities as of the date of the spin-off and any performance targets established by Oil States for 2014 which relate to the performance of the accommodations business.</w:t>
      </w:r>
    </w:p>
    <w:p>
      <w:pPr>
        <w:spacing w:after="0" w:line="18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Individual Agreements</w:t>
      </w:r>
      <w:r>
        <w:rPr>
          <w:rFonts w:ascii="Arial" w:cs="Arial" w:eastAsia="Arial" w:hAnsi="Arial"/>
          <w:sz w:val="17"/>
          <w:szCs w:val="17"/>
          <w:color w:val="auto"/>
        </w:rPr>
        <w:t>. All obligations of Oil States under the existing executive agreements and foreign assignment agreements between Oil States and Civeo’s employees (including Civeo’s named executive officers) will be assumed by Civeo effective as of the distribution, with such modifications to reflect the spin-off, if any, as are mutually agreed between Civeo and the individual. For a description of the current terms of such agreements, see “Compensation Discussion &amp; Analysis—Executive and Change of Control Agreements.”</w:t>
      </w:r>
    </w:p>
    <w:p>
      <w:pPr>
        <w:spacing w:after="0" w:line="171"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r>
        <w:rPr>
          <w:rFonts w:ascii="Arial" w:cs="Arial" w:eastAsia="Arial" w:hAnsi="Arial"/>
          <w:sz w:val="18"/>
          <w:szCs w:val="18"/>
          <w:color w:val="auto"/>
        </w:rPr>
        <w:t>. Unless otherwise agreed upon between Oil States, Civeo and any employee, from and after the spin-off, all employees of Civeo (including each of Civeo’s named executive officers) will cease active participation in all other benefit plans and compensation programs of Oil States and will instead become participants in the comparable plan or program of Civeo, to the extent Civeo provides for such a comparable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Civeo Compensation Programs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described below, prior to the spin-off, Civeo will adopt an equity participation plan similar to that sponsored by Oil States pursuant to which it will issue awards upon the conversion of prior Oil States awards held by Civeo as well as, in the discretion of Civeo’s board of directors and compensation committee, future awards to Civeo’s employees, officers and directors.</w:t>
      </w:r>
    </w:p>
    <w:p>
      <w:pPr>
        <w:spacing w:after="0" w:line="18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other compensation programs of Civeo that will be in effect following the spin-off are still being developed and have not yet been finalized. We anticipate that the compensation programs and policies of Civeo following the spin-off will generally be similar to those currently maintained by Oil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Equity Compensation Grants</w:t>
      </w:r>
    </w:p>
    <w:p>
      <w:pPr>
        <w:spacing w:after="0" w:line="239" w:lineRule="exact"/>
        <w:rPr>
          <w:sz w:val="20"/>
          <w:szCs w:val="20"/>
          <w:color w:val="auto"/>
        </w:rPr>
      </w:pPr>
    </w:p>
    <w:p>
      <w:pPr>
        <w:jc w:val="both"/>
        <w:ind w:right="80" w:firstLine="324"/>
        <w:spacing w:after="0" w:line="295" w:lineRule="auto"/>
        <w:rPr>
          <w:sz w:val="20"/>
          <w:szCs w:val="20"/>
          <w:color w:val="auto"/>
        </w:rPr>
      </w:pPr>
      <w:r>
        <w:rPr>
          <w:rFonts w:ascii="Arial" w:cs="Arial" w:eastAsia="Arial" w:hAnsi="Arial"/>
          <w:sz w:val="16"/>
          <w:szCs w:val="16"/>
          <w:color w:val="auto"/>
        </w:rPr>
        <w:t>Prior to the date of the spin-off, Civeo’s board of directors is expected to approve grants of Civeo restricted shares under the EPP to individuals who will serve as officers and employees of Civeo from and after the spin-off, with such grants effective as of the completion of the spin-off. The number of restricted shares issued to each such individual pursuant to such grants will depend upon Civeo’s stock price at the time of grant, with the aggregate grant date value of all such Civeo restricted shares granted upon completion of the spin-off (other than those restricted shares granted in connection with the cancellation of</w:t>
      </w:r>
    </w:p>
    <w:p>
      <w:pPr>
        <w:spacing w:after="0"/>
        <w:rPr>
          <w:sz w:val="20"/>
          <w:szCs w:val="20"/>
          <w:color w:val="auto"/>
        </w:rPr>
      </w:pPr>
      <w:r>
        <w:rPr>
          <w:rFonts w:ascii="Arial" w:cs="Arial" w:eastAsia="Arial" w:hAnsi="Arial"/>
          <w:sz w:val="18"/>
          <w:szCs w:val="18"/>
          <w:color w:val="auto"/>
        </w:rPr>
        <w:t>existing Oil States equity compensation awards) expected to be up to $3,000,000.</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Civeo’s named executive officers are expected to receive restricted shares upon the Spin-Off with the following approximate grant date value: Bradley J.</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Dodson ($600,000) and Frank C. Steininger ($800,000).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vesting terms of the restricted shares granted upon completion of the spin-off will be determined at the time of grant.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Participation Plan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Prior to the spin-off, Civeo’s board of directors will have adopted, and Oil States, in its capacity as the sole stockholder of Civeo will have approved, the EPP to attract and retain employees, consultants and directors. The description of the EPP set forth below is a summary of the material features of the EPP. This summary, however, does not purport to be a complete description of all of the provisions of the EPP and is qualified in its entirety by reference to the EPP, a copy of which is filed as an exhibit to the registration statement of which this information statement is a part. The EPP provides for the grant of equity-based awards, including options to purchase shares of Civeo common stock, restricted stock awards, deferred stock awards, performance awards, dividend equivalents or stock payments.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Limits</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Up to 4,000,000 shares will be available for issuance under the EPP (including those shares issuable in connection with the conversion of Oil States awards to Civeo awards in connection with the spin-off).</w:t>
      </w:r>
    </w:p>
    <w:p>
      <w:pPr>
        <w:spacing w:after="0" w:line="17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Pursuant to the EPP, if any award, expires or is forfeited and canceled without having been fully vested, the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will again be available for the grant of an award under the EPP. Notwithstanding the foregoing, shares of Civeo common stock subject to an award under this EPP shall not again be made available for issuance as awards under the EPP if such shares are (a) tendered in payment for an award, (b) delivered or withheld for payment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taxes or (c) not issued or delivered as a result of a net settlement process.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9" w:name="page380"/>
    <w:bookmarkEnd w:id="379"/>
    <w:p>
      <w:pPr>
        <w:ind w:right="100" w:firstLine="324"/>
        <w:spacing w:after="0" w:line="259" w:lineRule="auto"/>
        <w:rPr>
          <w:sz w:val="20"/>
          <w:szCs w:val="20"/>
          <w:color w:val="auto"/>
        </w:rPr>
      </w:pPr>
      <w:r>
        <w:rPr>
          <w:rFonts w:ascii="Arial" w:cs="Arial" w:eastAsia="Arial" w:hAnsi="Arial"/>
          <w:sz w:val="18"/>
          <w:szCs w:val="18"/>
          <w:color w:val="auto"/>
        </w:rPr>
        <w:t>The maximum number of shares of common stock that may be subject to options, restricted stock or deferred stock granted to any one individual in any calendar year may not exceed 800,000 shares of common stock (subject to certain adjustment for mergers, recapitalizations, stock splits and other changes in Civeo common stock). The maximum value of performance awards granted under the EPP to any individual in any calendar year may not exceed $4.0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EPP will be administered by the compensation committee of Civeo’s board of directors, except in the event Civeo’s board of directors chooses to administer the EPP. Subject to the terms and conditions of the EPP, the compensation committee has broad discretion to administer and interpret the EPP, including the power to determine the employees and directors to whom awards will be granted, the type of awards to be granted, the number of shares to be subject to awards and the terms and conditions of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will determine the employees, consultants and directors who are eligible to receive awards under the EPP.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Under the terms of the EPP, the compensation committee, and at the compensation committee’s sole discretion, the chief executive officer may grant options, restricted stock awards, deferred stock awards, performance awards, dividend equivalents or stock payments.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Civeo may grant incentive stock options and options that do not qualify as incentive stock options, except that incentive stock options may only</w:t>
      </w:r>
      <w:r>
        <w:rPr>
          <w:rFonts w:ascii="Arial" w:cs="Arial" w:eastAsia="Arial" w:hAnsi="Arial"/>
          <w:sz w:val="17"/>
          <w:szCs w:val="17"/>
          <w:i w:val="1"/>
          <w:iCs w:val="1"/>
          <w:color w:val="auto"/>
        </w:rPr>
        <w:t xml:space="preserve"> </w:t>
      </w:r>
      <w:r>
        <w:rPr>
          <w:rFonts w:ascii="Arial" w:cs="Arial" w:eastAsia="Arial" w:hAnsi="Arial"/>
          <w:sz w:val="17"/>
          <w:szCs w:val="17"/>
          <w:color w:val="auto"/>
        </w:rPr>
        <w:t>be granted to persons who are our employees or employees of one of our subsidiaries, in accordance with Section 422 of the Code. Except as provided below, the exercise price of a stock option cannot be less than 100% of the fair market value of a share of Civeo common stock on the date on which the option is granted. In the case of an incentive stock option, the option must not be exercisable more than ten years from the date of grant or, in the case of an incentive stock option granted to an individual who owns (or is deemed to own) at least 10% of the total combined voting power of all classes of our capital stock the option must not be exercisable more than five years from the date of grant.</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Civeo may grant awards of restricted stock consisting of shares of common stock that are issued but subject to such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compensation committee may provide, including, without limitation, restrictions concerning voting rights and transferability and forfeiture restrictions based on duration of employment with Civeo and individual performance. The compensation committee determines the other terms and conditions that will apply to any restricted stock award, which may include the achievement of Performance Objectives (as described below under “–Performance Awards.”).</w:t>
      </w:r>
    </w:p>
    <w:p>
      <w:pPr>
        <w:spacing w:after="0" w:line="15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Civeo may grant performance awards to eligible individuals selected by the compensation committee. The value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may be linked to the achievement of such specific Performance Objectives (as described below under “–Performance Awards”)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 The maximum value of performance awards granted under the EPP to any individual in any calendar year will not exceed $4.0 million.</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Civeo may grant dividend equivalents to any eligible individual selected by the compensation committee based on the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on Civeo common stock, to be credited as of dividend payment dates, during the period between the date a deferred stock award or performance award is granted, and the date such deferred stock award or performance award vests or expires, as determined by the compensation committee. Such dividend equivalents shall be converted to cash or additional shares of common stock by such formula and at such time and subject to such limitations as may be determined by the compensation committee. Dividend equivalents shall not be paid out prior to the time the underlying deferred stock or performance award vests.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0" w:name="page381"/>
    <w:bookmarkEnd w:id="380"/>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Stock Payments. </w:t>
      </w:r>
      <w:r>
        <w:rPr>
          <w:rFonts w:ascii="Arial" w:cs="Arial" w:eastAsia="Arial" w:hAnsi="Arial"/>
          <w:sz w:val="17"/>
          <w:szCs w:val="17"/>
          <w:color w:val="auto"/>
        </w:rPr>
        <w:t>Civeo may make stock payments to any eligible individual selected by the compensation committee in the manner determined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by the compensation committee. The number of shares shall be determined by the compensation committee and may be based upon the fair market value, book value, net profits or other measure of the value of Civeo common stock or other specific performance criteria determined appropriate by the compensation committee, determined on the date such stock payment is made or on any date thereafter.</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Deferred Stock Award. </w:t>
      </w:r>
      <w:r>
        <w:rPr>
          <w:rFonts w:ascii="Arial" w:cs="Arial" w:eastAsia="Arial" w:hAnsi="Arial"/>
          <w:sz w:val="16"/>
          <w:szCs w:val="16"/>
          <w:color w:val="auto"/>
        </w:rPr>
        <w:t>Civeo may grant a deferred stock award to any to any eligible individual selected by the compensation committee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compensation committee. The number of shares of deferred stock shall be determined by the compensation committee and may be linked to the achievement of such specific performance objectives determined to be appropriate by the compensation committee over any period or periods determined by the compensation committee. Common stock underlying a deferred stock award will not be issued until the deferred stock award has vested, pursuant to a vesting schedule or Performance Objectives (as described below under “–Performance Awards”) set by the compensation committee, as the case may be. Unless otherwise provided by the compensation committee, a recipient of deferred stock shall have no rights as a Civeo stockholder with respect to such deferred stock until such time as the award has vested and the Civeo common stock underlying the award has been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Objectives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Awards under the EPP intended to qualify as performance based compensation under Section 162(m)(4)(C) of the Code will be subject to any additional limitations set forth in Section 162(m) of the Code and any applicable regulations or rulings thereunder that are requirements for such awards to so qualify. Specifically, but not by way of limitation, awards under the EPP, other than stock options, may be linked to the achievement of objectives (the “Performance Objectives”), if any, established by the compensation committee, which may be described in terms of company-wide objectives, in terms of objectives that are related to performance of a division, subsidiary, department or function within the Civeo or an affiliate in which the EPP participant receiving the award is employed or in individual or other terms, and which will relate to the period of time determined by the compensation committee. The Performance Objectives intended to qualify under Section 162(m) of the Code will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maintaining the status quo or limiting economic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Change of Control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to the extent that an award agreement specifies to the contrary, in the event of a change of control (as defined by the EPP) of Civeo, all outstanding awards will automatically become fully vested immediately prior to such change of control (or such earlier time as set by the compensation committee), and all restrictions, if any, applicable to such awards will lapse, and all performance criteria, if any, with respect to such awards will be deemed to have been met at their target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 of the EPP</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Civeo’s board of directors or the compensation committee may amend, suspend or terminate the EPP at any time, subject to any requirement of stockholder approval required by applicable law, rule or regulation. Civeo’s board of directors and the compensation committee may generally amend the terms of any outstanding award under the EPP at any time. However, no action may be taken by our board of directors or the compensation committee under the EPP that would impair a participant’s rights under a previously-granted award without the participant’s consent.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1" w:name="page382"/>
    <w:bookmarkEnd w:id="381"/>
    <w:p>
      <w:pPr>
        <w:jc w:val="both"/>
        <w:ind w:right="20" w:firstLine="324"/>
        <w:spacing w:after="0" w:line="277" w:lineRule="auto"/>
        <w:rPr>
          <w:sz w:val="20"/>
          <w:szCs w:val="20"/>
          <w:color w:val="auto"/>
        </w:rPr>
      </w:pPr>
      <w:r>
        <w:rPr>
          <w:rFonts w:ascii="Arial" w:cs="Arial" w:eastAsia="Arial" w:hAnsi="Arial"/>
          <w:sz w:val="18"/>
          <w:szCs w:val="18"/>
          <w:color w:val="auto"/>
        </w:rPr>
        <w:t>No awards may be granted after the EPP has terminated or while the EPP is suspended. No incentive stock option may be granted under the EPP after ten years from the effective date of this EPP.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 Plan</w:t>
      </w:r>
    </w:p>
    <w:p>
      <w:pPr>
        <w:spacing w:after="0" w:line="22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Prior to the spin-off, Civeo’s board of directors will have adopted, and Oil States, in its capacity as the sole stockholder of Civeo will have approved, the Civeo Corporation Annual Incentive Plan (the “AIP”) to attract and retain employees. The AIP will provide for annual short-term cash incentives based upon the attainment of certain performance goals. Awards under the AIP intended to qualify as performance based compensation under Section 162(m)(4)(C) of the Code will be subject to any additional limitations set forth in Section 162(m) of the Code and any applicable regulations or rulings thereunder that are</w:t>
      </w:r>
    </w:p>
    <w:p>
      <w:pPr>
        <w:spacing w:after="0"/>
        <w:rPr>
          <w:sz w:val="20"/>
          <w:szCs w:val="20"/>
          <w:color w:val="auto"/>
        </w:rPr>
      </w:pPr>
      <w:r>
        <w:rPr>
          <w:rFonts w:ascii="Arial" w:cs="Arial" w:eastAsia="Arial" w:hAnsi="Arial"/>
          <w:sz w:val="18"/>
          <w:szCs w:val="18"/>
          <w:color w:val="auto"/>
        </w:rPr>
        <w:t>requirements for such awards to so qualify. These limitations are described above with respect to the EPP.</w:t>
      </w:r>
    </w:p>
    <w:p>
      <w:pPr>
        <w:spacing w:after="0" w:line="23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Performance Objectives under the AIP for awards intended to qualify as performance based compensation under Section 162(m) of the Code will be the same as provided for under the EPP, which include: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Civeo common stock.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Like under the EPP, a Performance Objective need not be based on an increase or a positive result and may include, for example, maintaining the status quo or limiting economic losses.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compensation paid in respect of specified periods to the Named Executive Officers of Civeo.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2013, the Named Executive Officers (other than Mr. Steininger) were employed by, and were compensated by, Oil States.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Non-Equity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Incentive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auto"/>
              </w:rPr>
              <w:t>Salary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Compensation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0"/>
                <w:szCs w:val="20"/>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b w:val="1"/>
                <w:bCs w:val="1"/>
                <w:color w:val="auto"/>
              </w:rPr>
              <w:t>Year</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($)(5)</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($)(6)</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Bradley J. Dodson</w:t>
            </w: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413,077</w:t>
            </w:r>
          </w:p>
        </w:tc>
        <w:tc>
          <w:tcPr>
            <w:tcW w:w="1140" w:type="dxa"/>
            <w:vAlign w:val="bottom"/>
          </w:tcPr>
          <w:p>
            <w:pPr>
              <w:jc w:val="right"/>
              <w:spacing w:after="0"/>
              <w:rPr>
                <w:sz w:val="20"/>
                <w:szCs w:val="20"/>
                <w:color w:val="auto"/>
              </w:rPr>
            </w:pPr>
            <w:r>
              <w:rPr>
                <w:rFonts w:ascii="Arial" w:cs="Arial" w:eastAsia="Arial" w:hAnsi="Arial"/>
                <w:sz w:val="18"/>
                <w:szCs w:val="18"/>
                <w:color w:val="auto"/>
              </w:rPr>
              <w:t>842,625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113,240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447,047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45,413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1,861,403</w:t>
            </w:r>
          </w:p>
        </w:tc>
      </w:tr>
      <w:tr>
        <w:trPr>
          <w:trHeight w:val="202"/>
        </w:trPr>
        <w:tc>
          <w:tcPr>
            <w:tcW w:w="2300" w:type="dxa"/>
            <w:vAlign w:val="bottom"/>
            <w:shd w:val="clear" w:color="auto" w:fill="CCEEFF"/>
          </w:tcPr>
          <w:p>
            <w:pPr>
              <w:spacing w:after="0" w:line="202" w:lineRule="exact"/>
              <w:rPr>
                <w:sz w:val="20"/>
                <w:szCs w:val="20"/>
                <w:color w:val="auto"/>
              </w:rPr>
            </w:pPr>
            <w:r>
              <w:rPr>
                <w:rFonts w:ascii="Arial" w:cs="Arial" w:eastAsia="Arial" w:hAnsi="Arial"/>
                <w:sz w:val="15"/>
                <w:szCs w:val="15"/>
                <w:i w:val="1"/>
                <w:iCs w:val="1"/>
                <w:color w:val="auto"/>
              </w:rPr>
              <w:t xml:space="preserve">Frank C. Steininger </w:t>
            </w:r>
            <w:r>
              <w:rPr>
                <w:rFonts w:ascii="Arial" w:cs="Arial" w:eastAsia="Arial" w:hAnsi="Arial"/>
                <w:sz w:val="23"/>
                <w:szCs w:val="23"/>
                <w:i w:val="1"/>
                <w:iCs w:val="1"/>
                <w:color w:val="auto"/>
                <w:vertAlign w:val="superscript"/>
              </w:rPr>
              <w:t>(2)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Chief</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Treasurer</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tcPr>
          <w:p>
            <w:pPr>
              <w:spacing w:after="0" w:line="202" w:lineRule="exact"/>
              <w:rPr>
                <w:sz w:val="20"/>
                <w:szCs w:val="20"/>
                <w:color w:val="auto"/>
              </w:rPr>
            </w:pPr>
            <w:r>
              <w:rPr>
                <w:rFonts w:ascii="Arial" w:cs="Arial" w:eastAsia="Arial" w:hAnsi="Arial"/>
                <w:sz w:val="15"/>
                <w:szCs w:val="15"/>
                <w:i w:val="1"/>
                <w:iCs w:val="1"/>
                <w:color w:val="auto"/>
              </w:rPr>
              <w:t xml:space="preserve">Ron R. Green </w:t>
            </w:r>
            <w:r>
              <w:rPr>
                <w:rFonts w:ascii="Arial" w:cs="Arial" w:eastAsia="Arial" w:hAnsi="Arial"/>
                <w:sz w:val="23"/>
                <w:szCs w:val="23"/>
                <w:i w:val="1"/>
                <w:iCs w:val="1"/>
                <w:color w:val="auto"/>
                <w:vertAlign w:val="superscript"/>
              </w:rPr>
              <w:t>(3)</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i w:val="1"/>
                <w:iCs w:val="1"/>
                <w:color w:val="auto"/>
              </w:rPr>
              <w:t>Senior Vice President, North</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i w:val="1"/>
                <w:iCs w:val="1"/>
                <w:color w:val="auto"/>
              </w:rPr>
              <w:t>America</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429,134</w:t>
            </w:r>
          </w:p>
        </w:tc>
        <w:tc>
          <w:tcPr>
            <w:tcW w:w="1140" w:type="dxa"/>
            <w:vAlign w:val="bottom"/>
          </w:tcPr>
          <w:p>
            <w:pPr>
              <w:jc w:val="right"/>
              <w:spacing w:after="0"/>
              <w:rPr>
                <w:sz w:val="20"/>
                <w:szCs w:val="20"/>
                <w:color w:val="auto"/>
              </w:rPr>
            </w:pPr>
            <w:r>
              <w:rPr>
                <w:rFonts w:ascii="Arial" w:cs="Arial" w:eastAsia="Arial" w:hAnsi="Arial"/>
                <w:sz w:val="18"/>
                <w:szCs w:val="18"/>
                <w:color w:val="auto"/>
              </w:rPr>
              <w:t>1,203,750</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253,435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286,147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2,172,466</w:t>
            </w:r>
          </w:p>
        </w:tc>
      </w:tr>
      <w:tr>
        <w:trPr>
          <w:trHeight w:val="202"/>
        </w:trPr>
        <w:tc>
          <w:tcPr>
            <w:tcW w:w="2300" w:type="dxa"/>
            <w:vAlign w:val="bottom"/>
            <w:shd w:val="clear" w:color="auto" w:fill="CCEEFF"/>
          </w:tcPr>
          <w:p>
            <w:pPr>
              <w:spacing w:after="0" w:line="202" w:lineRule="exact"/>
              <w:rPr>
                <w:sz w:val="20"/>
                <w:szCs w:val="20"/>
                <w:color w:val="auto"/>
              </w:rPr>
            </w:pPr>
            <w:r>
              <w:rPr>
                <w:rFonts w:ascii="Arial" w:cs="Arial" w:eastAsia="Arial" w:hAnsi="Arial"/>
                <w:sz w:val="15"/>
                <w:szCs w:val="15"/>
                <w:i w:val="1"/>
                <w:iCs w:val="1"/>
                <w:color w:val="auto"/>
              </w:rPr>
              <w:t xml:space="preserve">Peter L. McCann </w:t>
            </w:r>
            <w:r>
              <w:rPr>
                <w:rFonts w:ascii="Arial" w:cs="Arial" w:eastAsia="Arial" w:hAnsi="Arial"/>
                <w:sz w:val="23"/>
                <w:szCs w:val="23"/>
                <w:i w:val="1"/>
                <w:iCs w:val="1"/>
                <w:color w:val="auto"/>
                <w:vertAlign w:val="superscript"/>
              </w:rPr>
              <w:t>(4)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Australia</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358,638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1,048,755</w:t>
            </w:r>
          </w:p>
        </w:tc>
      </w:tr>
    </w:tbl>
    <w:p>
      <w:pPr>
        <w:spacing w:after="0" w:line="202" w:lineRule="exact"/>
        <w:rPr>
          <w:sz w:val="20"/>
          <w:szCs w:val="20"/>
          <w:color w:val="auto"/>
        </w:rPr>
      </w:pPr>
    </w:p>
    <w:p>
      <w:pPr>
        <w:ind w:left="340" w:right="160" w:hanging="332"/>
        <w:spacing w:after="0" w:line="270" w:lineRule="auto"/>
        <w:tabs>
          <w:tab w:leader="none" w:pos="34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These columns represent the dollar amounts for the years shown of the aggregate grant date fair value of restricted stock awards, performance based awards and phantom stock awards and option awards, as applicable, granted in those years computed in accordance with FASB ASC Topic 718—Stock Compensation. Generally, the aggregate grant date fair value is the aggregate amount that Oil States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Oil States’ future accounting expense for these awards and options, and do not necessarily correspond to the actual value that will be recognized by the named executive officers. All options awarded were priced at the date of the award. See Note 15 to Oil States’ consolidated financial statements on Form 10-K for the year ended December 31, 2013 for additional detail regarding assumptions underlying the value of these awards. The performance based stock awards can potentially achieve a maximum number of shares equal to 200% of the target level of shares, depending on Oil States’ performance.</w:t>
      </w:r>
    </w:p>
    <w:p>
      <w:pPr>
        <w:spacing w:after="0" w:line="177" w:lineRule="exact"/>
        <w:rPr>
          <w:rFonts w:ascii="Arial" w:cs="Arial" w:eastAsia="Arial" w:hAnsi="Arial"/>
          <w:sz w:val="17"/>
          <w:szCs w:val="17"/>
          <w:color w:val="auto"/>
        </w:rPr>
      </w:pPr>
    </w:p>
    <w:p>
      <w:pPr>
        <w:ind w:left="340" w:right="300" w:hanging="332"/>
        <w:spacing w:after="0" w:line="342" w:lineRule="auto"/>
        <w:tabs>
          <w:tab w:leader="none" w:pos="34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Mr. Steininger was not an employee of Oil States during 2013 and, accordingly, no amounts are reflected with respect to him in this table. See Named Executive Officers table in “Compensation Discussion and Analysis” for more information about Mr. Steininger’s employment arrangements.</w:t>
      </w:r>
    </w:p>
    <w:p>
      <w:pPr>
        <w:spacing w:after="0" w:line="123" w:lineRule="exact"/>
        <w:rPr>
          <w:rFonts w:ascii="Arial" w:cs="Arial" w:eastAsia="Arial" w:hAnsi="Arial"/>
          <w:sz w:val="16"/>
          <w:szCs w:val="16"/>
          <w:color w:val="auto"/>
        </w:rPr>
      </w:pPr>
    </w:p>
    <w:p>
      <w:pPr>
        <w:jc w:val="both"/>
        <w:ind w:left="340" w:right="380" w:hanging="332"/>
        <w:spacing w:after="0" w:line="264" w:lineRule="auto"/>
        <w:tabs>
          <w:tab w:leader="none" w:pos="3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Compensation reported for Mr. Green, other than stock awards and option awards, was made in Canadian dollars and is reflected in this table in U.S. dollars using the average exchange rate for each year. U.S. dollar to Canadian dollar exchange for 2013 was $0.93971. Mr. Green’s stock awards are “Phantom Stock Awards.”</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Compensation reported for Mr. McCann, other than stock awards and option awards, was made in Australian dollars and is reflected in this table in U.S. dollars using the average exchange rate for each year. U.S. dollar to Australian dollar exchange for 2013 was $0.89249.</w:t>
      </w:r>
    </w:p>
    <w:p>
      <w:pPr>
        <w:spacing w:after="0" w:line="170"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Amounts of “Non-Equity Incentive Plan Compensation” paid to each of the Named Executive Officers were made pursuant to Oil States’ Annual Incentive Compensation Plan. For a description of this plan, see “Compensation Discussion and Analysis—Elements of Compensation—Annual Cash Incentive Compensation.”</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t>(6)  The 2013 amount shown in “All Other Compensation” column reflects the following for each Named Executive Officer:</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Retirement</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Match</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 Match</w:t>
            </w: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Other</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r>
      <w:tr>
        <w:trPr>
          <w:trHeight w:val="234"/>
        </w:trPr>
        <w:tc>
          <w:tcPr>
            <w:tcW w:w="53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($)(b)</w:t>
            </w: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Frank C. Steininger (c)</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Ron R. Green (d)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240,509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286,156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Peter L. McCann (d)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15,326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15,326</w:t>
            </w:r>
          </w:p>
        </w:tc>
      </w:tr>
      <w:tr>
        <w:trPr>
          <w:trHeight w:val="418"/>
        </w:trPr>
        <w:tc>
          <w:tcPr>
            <w:tcW w:w="5320" w:type="dxa"/>
            <w:vAlign w:val="bottom"/>
          </w:tcPr>
          <w:p>
            <w:pPr>
              <w:ind w:left="60"/>
              <w:spacing w:after="0"/>
              <w:rPr>
                <w:sz w:val="20"/>
                <w:szCs w:val="20"/>
                <w:color w:val="auto"/>
              </w:rPr>
            </w:pPr>
            <w:r>
              <w:rPr>
                <w:rFonts w:ascii="Arial" w:cs="Arial" w:eastAsia="Arial" w:hAnsi="Arial"/>
                <w:sz w:val="18"/>
                <w:szCs w:val="18"/>
                <w:color w:val="auto"/>
              </w:rPr>
              <w:t>__________________</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left="580" w:right="260" w:hanging="221"/>
        <w:spacing w:after="0" w:line="254" w:lineRule="auto"/>
        <w:tabs>
          <w:tab w:leader="none" w:pos="5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Represents the matching contributions allocated by Oil States to Mr. Dodson, except Mr. Green, pursuant to the 401(k) Retirement Plan and the Deferred Compensation Plan as more fully described in “Compensation Discussion and Analysis—Retirement Plans”, included herein. Mr. Green received the matching contributions in the Canadian Retirement Savings Plan and Canadian Non-Registered Savings Plan. Mr. McCann received a contribution to his Australian Superannuation fund as required by Australian law.</w:t>
      </w:r>
    </w:p>
    <w:p>
      <w:pPr>
        <w:spacing w:after="0" w:line="190" w:lineRule="exact"/>
        <w:rPr>
          <w:sz w:val="20"/>
          <w:szCs w:val="20"/>
          <w:color w:val="auto"/>
        </w:rPr>
      </w:pPr>
    </w:p>
    <w:p>
      <w:pPr>
        <w:ind w:left="580" w:right="40" w:hanging="229"/>
        <w:spacing w:after="0" w:line="342" w:lineRule="auto"/>
        <w:rPr>
          <w:sz w:val="20"/>
          <w:szCs w:val="20"/>
          <w:color w:val="auto"/>
        </w:rPr>
      </w:pPr>
      <w:r>
        <w:rPr>
          <w:rFonts w:ascii="Arial" w:cs="Arial" w:eastAsia="Arial" w:hAnsi="Arial"/>
          <w:sz w:val="16"/>
          <w:szCs w:val="16"/>
          <w:color w:val="auto"/>
        </w:rPr>
        <w:t>(b)The amounts shown in the “Other” column in the table above include club dues and the imputed income attributable to term life insurance benefits provided for Messrs. Dodson. Mr. Green’s other compensation includes a $240,509 completion bonus paid in connection with his foreign assignment.</w:t>
      </w:r>
    </w:p>
    <w:p>
      <w:pPr>
        <w:spacing w:after="0" w:line="124" w:lineRule="exact"/>
        <w:rPr>
          <w:sz w:val="20"/>
          <w:szCs w:val="20"/>
          <w:color w:val="auto"/>
        </w:rPr>
      </w:pPr>
    </w:p>
    <w:p>
      <w:pPr>
        <w:ind w:left="580" w:right="800" w:hanging="221"/>
        <w:spacing w:after="0" w:line="277" w:lineRule="auto"/>
        <w:tabs>
          <w:tab w:leader="none" w:pos="5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w:t>
      </w:r>
    </w:p>
    <w:p>
      <w:pPr>
        <w:spacing w:after="0" w:line="170" w:lineRule="exact"/>
        <w:rPr>
          <w:sz w:val="20"/>
          <w:szCs w:val="20"/>
          <w:color w:val="auto"/>
        </w:rPr>
      </w:pPr>
    </w:p>
    <w:p>
      <w:pPr>
        <w:ind w:left="580" w:right="520" w:hanging="229"/>
        <w:spacing w:after="0" w:line="277" w:lineRule="auto"/>
        <w:rPr>
          <w:sz w:val="20"/>
          <w:szCs w:val="20"/>
          <w:color w:val="auto"/>
        </w:rPr>
      </w:pPr>
      <w:r>
        <w:rPr>
          <w:rFonts w:ascii="Arial" w:cs="Arial" w:eastAsia="Arial" w:hAnsi="Arial"/>
          <w:sz w:val="18"/>
          <w:szCs w:val="18"/>
          <w:color w:val="auto"/>
        </w:rPr>
        <w:t>(d)The payments described above were converted to U.S. dollars using average exchange rates of $0.93971 for Canadian dollars and $0.89249 for Australian dollars.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Messrs. Dodson and Green are parties to Executive Agreements, which agreements are not considered employment agreements. For a description of these agreements, see “Compensation Discussion and Analysis—Executive and Change of Control Agreements.” The compensation amounts described in the preceding table were determined as described under “Compensation Discussion and Analysis—Elements of Compensation.” The material terms of the awards reported in the Grants of Plan Based Awards Table below are described in the “Compensation Discussion and Analysis—Elements of Compensation—Annual Cash Incentive Compensation” and “—Long-Term Incentives.”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equity and non-equity awards granted to Named Executive Officers in 2013, including the following:</w:t>
      </w:r>
    </w:p>
    <w:p>
      <w:pPr>
        <w:spacing w:after="0" w:line="35" w:lineRule="exact"/>
        <w:rPr>
          <w:sz w:val="20"/>
          <w:szCs w:val="20"/>
          <w:color w:val="auto"/>
        </w:rPr>
      </w:pPr>
    </w:p>
    <w:p>
      <w:pPr>
        <w:ind w:right="20" w:firstLine="8"/>
        <w:spacing w:after="0" w:line="270" w:lineRule="auto"/>
        <w:tabs>
          <w:tab w:leader="none" w:pos="25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grant date; (2) the estimated future payouts under the non-equity incentive plan, which is discussed in “Compensation Discussion and Analysis— Elements of Compensation—Annual Cash Incentive Compensation”, included herein; (3) the number of performance based awards pursuant to the Oil States’ 2001 Equity Participation Plan; (4) the number of restricted stock and phantom stock awards pursuant to Oil States’ 2001 Equity Participation Plan; (5) the number of stock option awards, which consist of the number of shares underlying stock options awarded, pursuant to Oil States’ 2001 Equity Participation Plan; (6) the exercise price of the stock option awards, which reflects the NYSE Closing Price on grant date; and (7) the fair value of each equity award computed in accordance with FASB ASC Topic 718—Stock Compensation as of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All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7"/>
            <w:vMerge w:val="restart"/>
          </w:tcPr>
          <w:p>
            <w:pPr>
              <w:jc w:val="center"/>
              <w:ind w:right="180"/>
              <w:spacing w:after="0"/>
              <w:rPr>
                <w:sz w:val="20"/>
                <w:szCs w:val="20"/>
                <w:color w:val="auto"/>
              </w:rPr>
            </w:pPr>
            <w:r>
              <w:rPr>
                <w:rFonts w:ascii="Arial" w:cs="Arial" w:eastAsia="Arial" w:hAnsi="Arial"/>
                <w:sz w:val="18"/>
                <w:szCs w:val="18"/>
                <w:b w:val="1"/>
                <w:bCs w:val="1"/>
                <w:color w:val="auto"/>
                <w:w w:val="90"/>
              </w:rPr>
              <w:t>Estimated Future Payouts</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Base</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7"/>
            <w:vMerge w:val="continue"/>
          </w:tcPr>
          <w:p>
            <w:pPr>
              <w:spacing w:after="0"/>
              <w:rPr>
                <w:sz w:val="17"/>
                <w:szCs w:val="17"/>
                <w:color w:val="auto"/>
              </w:rPr>
            </w:pPr>
          </w:p>
        </w:tc>
        <w:tc>
          <w:tcPr>
            <w:tcW w:w="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2"/>
              </w:rPr>
              <w:t>Awards:</w:t>
            </w:r>
          </w:p>
        </w:tc>
        <w:tc>
          <w:tcPr>
            <w:tcW w:w="8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0"/>
              </w:rPr>
              <w:t>Price</w:t>
            </w:r>
          </w:p>
        </w:tc>
        <w:tc>
          <w:tcPr>
            <w:tcW w:w="9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1"/>
              </w:rPr>
              <w:t>Estimated Future Payouts Under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Stock</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Of Stock</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1"/>
              </w:rPr>
              <w:t>Non-Equity Incentive Plan</w:t>
            </w:r>
          </w:p>
        </w:tc>
        <w:tc>
          <w:tcPr>
            <w:tcW w:w="26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2"/>
              </w:rPr>
              <w:t>Equity Incentive Plan</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and</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Awards(1)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Awards(2)</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Stock or</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Underlying</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Grant</w:t>
            </w: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87"/>
              </w:rPr>
              <w:t>Threshold</w:t>
            </w:r>
          </w:p>
        </w:tc>
        <w:tc>
          <w:tcPr>
            <w:tcW w:w="100" w:type="dxa"/>
            <w:vAlign w:val="bottom"/>
          </w:tcPr>
          <w:p>
            <w:pPr>
              <w:spacing w:after="0"/>
              <w:rPr>
                <w:sz w:val="16"/>
                <w:szCs w:val="16"/>
                <w:color w:val="auto"/>
              </w:rPr>
            </w:pPr>
          </w:p>
        </w:tc>
        <w:tc>
          <w:tcPr>
            <w:tcW w:w="84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w w:val="87"/>
              </w:rPr>
              <w:t>Threshold</w:t>
            </w:r>
          </w:p>
        </w:tc>
        <w:tc>
          <w:tcPr>
            <w:tcW w:w="140" w:type="dxa"/>
            <w:vAlign w:val="bottom"/>
          </w:tcPr>
          <w:p>
            <w:pPr>
              <w:spacing w:after="0"/>
              <w:rPr>
                <w:sz w:val="16"/>
                <w:szCs w:val="16"/>
                <w:color w:val="auto"/>
              </w:rPr>
            </w:pPr>
          </w:p>
        </w:tc>
        <w:tc>
          <w:tcPr>
            <w:tcW w:w="7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Target</w:t>
            </w: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3"/>
              </w:rPr>
              <w:t>Maximum</w:t>
            </w:r>
          </w:p>
        </w:tc>
        <w:tc>
          <w:tcPr>
            <w:tcW w:w="160" w:type="dxa"/>
            <w:vAlign w:val="bottom"/>
          </w:tcPr>
          <w:p>
            <w:pPr>
              <w:spacing w:after="0"/>
              <w:rPr>
                <w:sz w:val="16"/>
                <w:szCs w:val="16"/>
                <w:color w:val="auto"/>
              </w:rPr>
            </w:pP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Units</w:t>
            </w:r>
          </w:p>
        </w:tc>
        <w:tc>
          <w:tcPr>
            <w:tcW w:w="10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Options</w:t>
            </w:r>
          </w:p>
        </w:tc>
        <w:tc>
          <w:tcPr>
            <w:tcW w:w="8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Awards</w:t>
            </w:r>
          </w:p>
        </w:tc>
        <w:tc>
          <w:tcPr>
            <w:tcW w:w="9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b w:val="1"/>
                <w:bCs w:val="1"/>
                <w:color w:val="auto"/>
              </w:rPr>
              <w:t>Plan</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8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6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160" w:type="dxa"/>
            <w:vAlign w:val="bottom"/>
          </w:tcPr>
          <w:p>
            <w:pPr>
              <w:spacing w:after="0"/>
              <w:rPr>
                <w:sz w:val="20"/>
                <w:szCs w:val="2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($/SH)</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Bradley J.</w:t>
            </w: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AICP</w:t>
            </w: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Dodson</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302,250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604,500</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401,250</w:t>
            </w: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441,375</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113,240</w:t>
            </w: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Frank C.</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Steininger</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w w:val="90"/>
              </w:rPr>
              <w:t>Ron R. Green</w:t>
            </w:r>
          </w:p>
        </w:tc>
        <w:tc>
          <w:tcPr>
            <w:tcW w:w="8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345,000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690,000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1,203,750</w:t>
            </w: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Peter L.</w:t>
            </w:r>
          </w:p>
        </w:tc>
        <w:tc>
          <w:tcPr>
            <w:tcW w:w="8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rPr>
              <w:t>AICP</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McCann (6)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223,025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446,050</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2001</w:t>
            </w:r>
          </w:p>
        </w:tc>
        <w:tc>
          <w:tcPr>
            <w:tcW w:w="8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89"/>
              </w:rPr>
              <w:t>2/19/2013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70" w:lineRule="auto"/>
        <w:tabs>
          <w:tab w:leader="none" w:pos="34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amounts shown in the column “Target” reflect the target level of bonus payable under Oil States’ AICP (see discussion in “Compensation Discussion and Analysis—Elements of Compensation—Annual Cash Incentive Compensation”, included herein) which is based on an executive’s base salary paid during the year multiplied by the executive’s bonus percentage. The base salary used in this table is the base salary in effect as of December 31, 2013; however, actual awards are calculated based on a participant’s eligible AICP earnings paid in the year. The amount shown in the “Maximum” column represents 200% of the target amount. Performance results at or below the entry level percentage of performance targets established under the AICP will result in no payments being made under the AICP. The entry level percentage ranged from 75% to 85% in 2013 for EBITDA, depending on the business unit involved. If the performance results fall between the entry level and the target level, 0 – 100% of the target level bonus will be paid out proportionately to the distance such performance results fall between the two levels. If the performance results fall between the target level and the maximum level, 100—200% of the target level bonus will be paid out proportionately to the distance such performance results fall between the two levels.</w:t>
      </w:r>
    </w:p>
    <w:p>
      <w:pPr>
        <w:spacing w:after="0" w:line="177" w:lineRule="exact"/>
        <w:rPr>
          <w:rFonts w:ascii="Arial" w:cs="Arial" w:eastAsia="Arial" w:hAnsi="Arial"/>
          <w:sz w:val="17"/>
          <w:szCs w:val="17"/>
          <w:color w:val="auto"/>
        </w:rPr>
      </w:pPr>
    </w:p>
    <w:p>
      <w:pPr>
        <w:ind w:left="340" w:right="40" w:hanging="332"/>
        <w:spacing w:after="0" w:line="259" w:lineRule="auto"/>
        <w:tabs>
          <w:tab w:leader="none" w:pos="3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amounts shown under “Estimated Future Payouts Under Equity Plan Awards include performance based awards as described at “Elements of Compensation—Long-Term Incentives” in this proxy statement. Target level of performance is based on Oil States’ Cumulative ROI performance for the three-year period beginning January 1, 2013 to December 31, 2015 of 9.5% and the over-achieve performance level is based on an ROI of 13% for the same period.</w:t>
      </w:r>
    </w:p>
    <w:p>
      <w:pPr>
        <w:spacing w:after="0" w:line="186" w:lineRule="exact"/>
        <w:rPr>
          <w:rFonts w:ascii="Arial" w:cs="Arial" w:eastAsia="Arial" w:hAnsi="Arial"/>
          <w:sz w:val="18"/>
          <w:szCs w:val="18"/>
          <w:color w:val="auto"/>
        </w:rPr>
      </w:pPr>
    </w:p>
    <w:p>
      <w:pPr>
        <w:ind w:left="340" w:right="120" w:hanging="332"/>
        <w:spacing w:after="0" w:line="276" w:lineRule="auto"/>
        <w:tabs>
          <w:tab w:leader="none" w:pos="34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amounts shown in “All Other Stock Awards” and “All Other Option Awards” columns for Mr. Dodson reflect the number of restricted stock awards and stock options, respectively, granted in 2013 pursuant to Oil States’ 2001 Equity Participation Plan. See “Compensation Discussion and Analysis— Elements of Compensation—Long-Term Incentives”, included herein. The amounts shown in this column for Mr. Green reflect the number of phantom stock awards granted in 2013 pursuant to the Canadian Long Term Incentive Plan. The amounts shown for Mr. McCann reflect the number of deferred stock awards granted in 2013 pursuant to Oil States’ 2001 Equity Participation Plan.</w:t>
      </w:r>
    </w:p>
    <w:p>
      <w:pPr>
        <w:spacing w:after="0" w:line="172" w:lineRule="exact"/>
        <w:rPr>
          <w:rFonts w:ascii="Arial" w:cs="Arial" w:eastAsia="Arial" w:hAnsi="Arial"/>
          <w:sz w:val="17"/>
          <w:szCs w:val="17"/>
          <w:color w:val="auto"/>
        </w:rPr>
      </w:pPr>
    </w:p>
    <w:p>
      <w:pPr>
        <w:ind w:left="340" w:right="140" w:hanging="332"/>
        <w:spacing w:after="0" w:line="257" w:lineRule="auto"/>
        <w:tabs>
          <w:tab w:leader="none" w:pos="3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This column shows the full grant date fair value of restricted stock awards, performance based awards, phantom stock awards and stock options computed under FASB ASC Topic 718—Stock Compensation and granted to the Named Executive Officers during 2013. Generally, the full grant date fair value is the amount that Oil States would expense in its financial statements over the award or option vesting schedule and, for performance based awards, is based upon the probable outcome of the applicable performance conditions. Stock options granted in 2013 were valued at award date at a fair value of $28.31 per option.</w:t>
      </w:r>
    </w:p>
    <w:p>
      <w:pPr>
        <w:spacing w:after="0" w:line="188" w:lineRule="exact"/>
        <w:rPr>
          <w:rFonts w:ascii="Arial" w:cs="Arial" w:eastAsia="Arial" w:hAnsi="Arial"/>
          <w:sz w:val="18"/>
          <w:szCs w:val="18"/>
          <w:color w:val="auto"/>
        </w:rPr>
      </w:pPr>
    </w:p>
    <w:p>
      <w:pPr>
        <w:jc w:val="both"/>
        <w:ind w:left="340" w:right="140" w:hanging="332"/>
        <w:spacing w:after="0" w:line="259" w:lineRule="auto"/>
        <w:tabs>
          <w:tab w:leader="none" w:pos="3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Mr. Green’s AICP award amounts were made in Canadian dollars and are reflected in this table in U.S. dollars using the average exchange rate for 2013 of $0.94 U.S. dollar per Canadian dollar. Mr. Green’s equity incentive plan award in 2013 consisted of 15,000 phantom share awards that are payable in cash at vesting date based on Oil States’ stock price on the vesting date. Vesting will occur annually at a rate of 33⅓% per year on the first, second, and third anniversaries of the grant date.</w:t>
      </w:r>
    </w:p>
    <w:p>
      <w:pPr>
        <w:sectPr>
          <w:pgSz w:w="11900" w:h="16838" w:orient="portrait"/>
          <w:cols w:equalWidth="0" w:num="1">
            <w:col w:w="11420"/>
          </w:cols>
          <w:pgMar w:left="240" w:top="580" w:right="239" w:bottom="0" w:gutter="0" w:footer="0" w:header="0"/>
        </w:sectPr>
      </w:pPr>
    </w:p>
    <w:bookmarkStart w:id="385" w:name="page386"/>
    <w:bookmarkEnd w:id="385"/>
    <w:p>
      <w:pPr>
        <w:ind w:left="332" w:hanging="332"/>
        <w:spacing w:after="0" w:line="286" w:lineRule="auto"/>
        <w:tabs>
          <w:tab w:leader="none" w:pos="332" w:val="left"/>
        </w:tabs>
        <w:numPr>
          <w:ilvl w:val="0"/>
          <w:numId w:val="388"/>
        </w:numPr>
        <w:rPr>
          <w:rFonts w:ascii="Arial" w:cs="Arial" w:eastAsia="Arial" w:hAnsi="Arial"/>
          <w:sz w:val="17"/>
          <w:szCs w:val="17"/>
          <w:color w:val="auto"/>
        </w:rPr>
      </w:pPr>
      <w:r>
        <w:rPr>
          <w:rFonts w:ascii="Arial" w:cs="Arial" w:eastAsia="Arial" w:hAnsi="Arial"/>
          <w:sz w:val="17"/>
          <w:szCs w:val="17"/>
          <w:color w:val="auto"/>
        </w:rPr>
        <w:t>Mr. McCann’s AICP award amounts were made in Australian dollars and are reflected in this table in U.S. dollars using the average exchange rate for 2013 of $0.89 U.S. dollar per Australian dollar. Mr. McCann’s equity incentive plan award in 2013 consisted of 6,000 deferred stock awards. Vesting will occur annually at a rate of 25% per year on the first, second, third and fourth anniversaries of the grant date.</w:t>
      </w:r>
    </w:p>
    <w:p>
      <w:pPr>
        <w:spacing w:after="0" w:line="200" w:lineRule="exact"/>
        <w:rPr>
          <w:sz w:val="20"/>
          <w:szCs w:val="20"/>
          <w:color w:val="auto"/>
        </w:rPr>
      </w:pPr>
    </w:p>
    <w:p>
      <w:pPr>
        <w:spacing w:after="0" w:line="2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t>OUTSTANDING EQUITY AWARDS AT 2013 FISCAL YEAR END</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following table provides information on the holdings of stock options and stock awards by the Named Executive Officers as of December 31, 2013. This table includes unexercised and unvested option awards and unvested stock awards, including restricted stock awards, performance based awards and phantom stock awards. Each equity grant is shown separately for each Named Executive Officer. The vesting schedule for each grant is shown following this table, based on the option or stock award grant date or other factors, as discussed. Accelerated vesting provisions applicable to the outstanding awards are described below under “—Potential Payments Upon Termination or Change in Control.” The market value of the stock awards is based on the closing market price of Oil States’ common stock as of December 31, 2013, which was $101.72. The number of performance awards shown in the table below reflect a theoretical achievement level of performance assuming December 31, 2013 as the end of the performance period. The actual performance period for the 2012 awards will end on December 31, 2014. The actual performance period for the 2013 awards will end on December 31, 2015. For additional information about the option awards and stock awards, see the description of equity incentive compensation in “Compensation Discussion and Analysis”, included herein.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Option Awards</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Equity</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Incentive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Plan</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Awards:</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Unearned</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Performance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Performance</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or</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Shares or</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Units of</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Units or</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Securities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Units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Underlying</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Stock that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that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Rights that</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Rights that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Unexercised</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Have Not</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Have Not</w:t>
            </w: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Have Not</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Have Not</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Options (#)</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Options (#)</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Expiration</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Vested</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Vested</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Vested</w:t>
            </w:r>
          </w:p>
        </w:tc>
      </w:t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4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15,000(1)</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21,700(2)</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24.52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6/19/2015</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7,500(3)</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2/19/2016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1,500(5)</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1,500(5)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2/17/2021</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1,250(8)</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2/16/2022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4,000(13)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80.25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2/19/2023</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3,750(6)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381,450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381,450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5,500(14)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559,460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9,570(10)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973,460</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8,145(15)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828,509</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Ron R. Green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30,000(1)</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16.65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2/19/2015</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24,375(3)</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8,125(3)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2/19/2016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508,600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6,700(11)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678,472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15,000(16)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1,525,800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3,000(9)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305,160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2,250(12)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6,000(14)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610,320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Stock option award of 2/19/2009 that vests at the rate of 25% per year with vesting dates of 2/19/2010, 2/19/2011, 2/19/2012 and 2/19/2013.</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Stock option award of 6/19/2009 that vests 100% on 6/19/2012, assuming the executive’s continued employment at that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Stock option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Restricted stock award of 2/19/2010 that vests at the rate of 25% per year, with vesting dates of 2/19/2011, 2/19/2012, 2/19/2013 and 2/19/2014.</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Stock option award of 2/17/2011 that vests at the rate of 25% per year, with vesting dates of 2/17/2012, 2/17/2013, 2/17/2014 and 2/17/2015.</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87" w:name="page388"/>
    <w:bookmarkEnd w:id="387"/>
    <w:p>
      <w:pPr>
        <w:ind w:left="332" w:hanging="332"/>
        <w:spacing w:after="0"/>
        <w:tabs>
          <w:tab w:leader="none" w:pos="33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Restricted stock award of 2/17/2011 that vests at the rate of 25% per year, with vesting dates of 2/17/2012, 2/17/2013, 2/17/2014 and 2/17/2015.</w:t>
      </w:r>
    </w:p>
    <w:p>
      <w:pPr>
        <w:spacing w:after="0" w:line="34" w:lineRule="exact"/>
        <w:rPr>
          <w:rFonts w:ascii="Arial" w:cs="Arial" w:eastAsia="Arial" w:hAnsi="Arial"/>
          <w:sz w:val="17"/>
          <w:szCs w:val="17"/>
          <w:color w:val="auto"/>
        </w:rPr>
      </w:pPr>
    </w:p>
    <w:p>
      <w:pPr>
        <w:ind w:left="332" w:hanging="332"/>
        <w:spacing w:after="0"/>
        <w:tabs>
          <w:tab w:leader="none" w:pos="33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Restricted stock award of 05/17/2011 that vests at the rate of 25% per year, with vesting dates of 05/17/2012, 05/17/2013, 05/17/2014 and 05/17/2015.</w:t>
      </w:r>
    </w:p>
    <w:p>
      <w:pPr>
        <w:spacing w:after="0" w:line="32" w:lineRule="exact"/>
        <w:rPr>
          <w:rFonts w:ascii="Arial" w:cs="Arial" w:eastAsia="Arial" w:hAnsi="Arial"/>
          <w:sz w:val="16"/>
          <w:szCs w:val="16"/>
          <w:color w:val="auto"/>
        </w:rPr>
      </w:pPr>
    </w:p>
    <w:p>
      <w:pPr>
        <w:ind w:left="332" w:hanging="332"/>
        <w:spacing w:after="0"/>
        <w:tabs>
          <w:tab w:leader="none" w:pos="33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Stock option award of 2/16/2012 that vests at the rate of 25% per year, with vesting dates of 2/16/2013, 2/16/2014, 2/16/2015 and 2/16/2016.</w:t>
      </w:r>
    </w:p>
    <w:p>
      <w:pPr>
        <w:spacing w:after="0" w:line="20" w:lineRule="exact"/>
        <w:rPr>
          <w:rFonts w:ascii="Arial" w:cs="Arial" w:eastAsia="Arial" w:hAnsi="Arial"/>
          <w:sz w:val="17"/>
          <w:szCs w:val="17"/>
          <w:color w:val="auto"/>
        </w:rPr>
      </w:pPr>
    </w:p>
    <w:p>
      <w:pPr>
        <w:ind w:left="332" w:hanging="332"/>
        <w:spacing w:after="0"/>
        <w:tabs>
          <w:tab w:leader="none" w:pos="33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Restricted stock award of 2/16/2012 that vests at the rate of 25% per year, with vesting dates of 2/16/2013, 2/16/2014, 2/16/2015 and 2/16/2016.</w:t>
      </w:r>
    </w:p>
    <w:p>
      <w:pPr>
        <w:spacing w:after="0" w:line="20" w:lineRule="exact"/>
        <w:rPr>
          <w:rFonts w:ascii="Arial" w:cs="Arial" w:eastAsia="Arial" w:hAnsi="Arial"/>
          <w:sz w:val="17"/>
          <w:szCs w:val="17"/>
          <w:color w:val="auto"/>
        </w:rPr>
      </w:pPr>
    </w:p>
    <w:p>
      <w:pPr>
        <w:jc w:val="both"/>
        <w:ind w:left="332" w:hanging="332"/>
        <w:spacing w:after="0" w:line="250" w:lineRule="auto"/>
        <w:tabs>
          <w:tab w:leader="none" w:pos="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Performance based awards of 2/26/2012 that will vest based on Oil States ROIC performance in the three-year period from January 1, 2012 to December 31, 2014. The amount reported as of 12/31/2013 assumes the performance period ended on that date. Performance level achievement through 12/31/13 is 191% of target.</w:t>
      </w:r>
    </w:p>
    <w:p>
      <w:pPr>
        <w:spacing w:after="0" w:line="1" w:lineRule="exact"/>
        <w:rPr>
          <w:rFonts w:ascii="Arial" w:cs="Arial" w:eastAsia="Arial" w:hAnsi="Arial"/>
          <w:sz w:val="18"/>
          <w:szCs w:val="18"/>
          <w:color w:val="auto"/>
        </w:rPr>
      </w:pPr>
    </w:p>
    <w:p>
      <w:pPr>
        <w:ind w:left="332" w:right="80" w:hanging="332"/>
        <w:spacing w:after="0" w:line="250" w:lineRule="auto"/>
        <w:tabs>
          <w:tab w:leader="none" w:pos="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Phantom stock award of 2/16/2012 payable in cash at vesting date based on Oil States stock price on that date that will vest 33.3% per year with vesting dates of 2/16/2013, 2/16/2014 and 2/16/2015.</w:t>
      </w:r>
    </w:p>
    <w:p>
      <w:pPr>
        <w:ind w:left="332" w:hanging="332"/>
        <w:spacing w:after="0"/>
        <w:tabs>
          <w:tab w:leader="none" w:pos="332" w:val="left"/>
        </w:tabs>
        <w:numPr>
          <w:ilvl w:val="0"/>
          <w:numId w:val="390"/>
        </w:numPr>
        <w:rPr>
          <w:rFonts w:ascii="Arial" w:cs="Arial" w:eastAsia="Arial" w:hAnsi="Arial"/>
          <w:sz w:val="16"/>
          <w:szCs w:val="16"/>
          <w:color w:val="auto"/>
        </w:rPr>
      </w:pPr>
      <w:r>
        <w:rPr>
          <w:rFonts w:ascii="Arial" w:cs="Arial" w:eastAsia="Arial" w:hAnsi="Arial"/>
          <w:sz w:val="16"/>
          <w:szCs w:val="16"/>
          <w:color w:val="auto"/>
        </w:rPr>
        <w:t>Deferred stock award of 06/22/2012 that vests at the rate of 25% per year, with vesting dates of 06/22/2013, 06/22/2014, 06/22/2015 and 06/22/2016.</w:t>
      </w:r>
    </w:p>
    <w:p>
      <w:pPr>
        <w:spacing w:after="0" w:line="32" w:lineRule="exact"/>
        <w:rPr>
          <w:rFonts w:ascii="Arial" w:cs="Arial" w:eastAsia="Arial" w:hAnsi="Arial"/>
          <w:sz w:val="16"/>
          <w:szCs w:val="16"/>
          <w:color w:val="auto"/>
        </w:rPr>
      </w:pPr>
    </w:p>
    <w:p>
      <w:pPr>
        <w:ind w:left="332" w:hanging="332"/>
        <w:spacing w:after="0"/>
        <w:tabs>
          <w:tab w:leader="none" w:pos="332"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Stock option award of 2/19/2013 that vests at the rate of 25% per year, with vesting dates of 2/19/2014, 2/19/2015, 2/19/2016 and 2/19/2017.</w:t>
      </w:r>
    </w:p>
    <w:p>
      <w:pPr>
        <w:spacing w:after="0" w:line="20" w:lineRule="exact"/>
        <w:rPr>
          <w:rFonts w:ascii="Arial" w:cs="Arial" w:eastAsia="Arial" w:hAnsi="Arial"/>
          <w:sz w:val="17"/>
          <w:szCs w:val="17"/>
          <w:color w:val="auto"/>
        </w:rPr>
      </w:pPr>
    </w:p>
    <w:p>
      <w:pPr>
        <w:ind w:left="332" w:right="560" w:hanging="332"/>
        <w:spacing w:after="0" w:line="250" w:lineRule="auto"/>
        <w:tabs>
          <w:tab w:leader="none" w:pos="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Restricted or Deferred stock award of 2/19/2013 that vests at the rate of 25% per year, with vesting dates of 2/19/2014, 2/19/2015, 2/19/2016 and 2/19/2017.</w:t>
      </w:r>
    </w:p>
    <w:p>
      <w:pPr>
        <w:jc w:val="both"/>
        <w:ind w:left="332" w:hanging="332"/>
        <w:spacing w:after="0" w:line="250" w:lineRule="auto"/>
        <w:tabs>
          <w:tab w:leader="none" w:pos="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Performance based awards of 2/19/2013 that will vest based on Oil States ROIC performance in the three-year period from January 1, 2013 to December 31, 2015. The amount reported as of 12/31/2012 assumes the performance period ended on that date. Performance level achievement through 12/31/13 is 163% of target.</w:t>
      </w:r>
    </w:p>
    <w:p>
      <w:pPr>
        <w:spacing w:after="0" w:line="1" w:lineRule="exact"/>
        <w:rPr>
          <w:rFonts w:ascii="Arial" w:cs="Arial" w:eastAsia="Arial" w:hAnsi="Arial"/>
          <w:sz w:val="18"/>
          <w:szCs w:val="18"/>
          <w:color w:val="auto"/>
        </w:rPr>
      </w:pPr>
    </w:p>
    <w:p>
      <w:pPr>
        <w:ind w:left="332" w:right="80" w:hanging="332"/>
        <w:spacing w:after="0" w:line="261" w:lineRule="auto"/>
        <w:tabs>
          <w:tab w:leader="none" w:pos="33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Phantom stock award of 2/19/2013 payable in cash at vesting date based on Oil States stock price on that date that will vest 33.3% per year with vesting dates of 2/19/2014, 2/19/2015 and 2/19/2016.</w:t>
      </w:r>
    </w:p>
    <w:p>
      <w:pPr>
        <w:spacing w:after="0" w:line="200" w:lineRule="exact"/>
        <w:rPr>
          <w:sz w:val="20"/>
          <w:szCs w:val="20"/>
          <w:color w:val="auto"/>
        </w:rPr>
      </w:pPr>
    </w:p>
    <w:p>
      <w:pPr>
        <w:spacing w:after="0" w:line="2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584" w:right="29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b w:val="1"/>
          <w:bCs w:val="1"/>
          <w:color w:val="auto"/>
        </w:rPr>
        <w:t>OPTIONS EXERCISED AND STOCK VESTED</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following table provides information for the Named Executive Officers on (1) stock option exercises during 2013, including the number of shares acquired upon exercise and the value realized and (2) the number of shares acquired upon the vesting of stock awards and the value realized, each before payment of any applicable withholding tax.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3"/>
          </w:tcPr>
          <w:p>
            <w:pPr>
              <w:ind w:left="1040"/>
              <w:spacing w:after="0"/>
              <w:rPr>
                <w:sz w:val="20"/>
                <w:szCs w:val="20"/>
                <w:color w:val="auto"/>
              </w:rPr>
            </w:pPr>
            <w:r>
              <w:rPr>
                <w:rFonts w:ascii="Arial" w:cs="Arial" w:eastAsia="Arial" w:hAnsi="Arial"/>
                <w:sz w:val="18"/>
                <w:szCs w:val="18"/>
                <w:b w:val="1"/>
                <w:bCs w:val="1"/>
                <w:color w:val="auto"/>
              </w:rPr>
              <w:t>Option Awards</w:t>
            </w:r>
          </w:p>
        </w:tc>
        <w:tc>
          <w:tcPr>
            <w:tcW w:w="220" w:type="dxa"/>
            <w:vAlign w:val="bottom"/>
          </w:tcPr>
          <w:p>
            <w:pPr>
              <w:spacing w:after="0"/>
              <w:rPr>
                <w:sz w:val="20"/>
                <w:szCs w:val="20"/>
                <w:color w:val="auto"/>
              </w:rPr>
            </w:pPr>
          </w:p>
        </w:tc>
        <w:tc>
          <w:tcPr>
            <w:tcW w:w="3260" w:type="dxa"/>
            <w:vAlign w:val="bottom"/>
            <w:gridSpan w:val="4"/>
          </w:tcPr>
          <w:p>
            <w:pPr>
              <w:ind w:left="940"/>
              <w:spacing w:after="0"/>
              <w:rPr>
                <w:sz w:val="20"/>
                <w:szCs w:val="20"/>
                <w:color w:val="auto"/>
              </w:rPr>
            </w:pPr>
            <w:r>
              <w:rPr>
                <w:rFonts w:ascii="Arial" w:cs="Arial" w:eastAsia="Arial" w:hAnsi="Arial"/>
                <w:sz w:val="18"/>
                <w:szCs w:val="18"/>
                <w:b w:val="1"/>
                <w:bCs w:val="1"/>
                <w:color w:val="auto"/>
              </w:rPr>
              <w:t>Stock Awards(1)</w:t>
            </w: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Pre-tax Value</w:t>
            </w:r>
          </w:p>
        </w:tc>
        <w:tc>
          <w:tcPr>
            <w:tcW w:w="22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Pre-tax Value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Acquired 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Realized</w:t>
            </w: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Acquired on</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Realized</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Vesting</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on Vesting</w:t>
            </w:r>
          </w:p>
        </w:tc>
      </w:tr>
      <w:tr>
        <w:trPr>
          <w:trHeight w:val="234"/>
        </w:trPr>
        <w:tc>
          <w:tcPr>
            <w:tcW w:w="20" w:type="dxa"/>
            <w:vAlign w:val="bottom"/>
          </w:tcPr>
          <w:p>
            <w:pPr>
              <w:spacing w:after="0"/>
              <w:rPr>
                <w:sz w:val="20"/>
                <w:szCs w:val="20"/>
                <w:color w:val="auto"/>
              </w:rPr>
            </w:pPr>
          </w:p>
        </w:tc>
        <w:tc>
          <w:tcPr>
            <w:tcW w:w="4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J. Dodson</w:t>
            </w:r>
          </w:p>
        </w:tc>
        <w:tc>
          <w:tcPr>
            <w:tcW w:w="120" w:type="dxa"/>
            <w:vAlign w:val="bottom"/>
          </w:tcPr>
          <w:p>
            <w:pPr>
              <w:spacing w:after="0"/>
              <w:rPr>
                <w:sz w:val="18"/>
                <w:szCs w:val="18"/>
                <w:color w:val="auto"/>
              </w:rPr>
            </w:pPr>
          </w:p>
        </w:tc>
        <w:tc>
          <w:tcPr>
            <w:tcW w:w="15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83"/>
              </w:rPr>
              <w:t>19,100</w:t>
            </w:r>
          </w:p>
        </w:tc>
        <w:tc>
          <w:tcPr>
            <w:tcW w:w="2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1,207,410</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518,281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1,951,766</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197,950</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Peter L. McCann</w:t>
            </w:r>
          </w:p>
        </w:tc>
        <w:tc>
          <w:tcPr>
            <w:tcW w:w="12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2,182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189,954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89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7" w:lineRule="exact"/>
        <w:rPr>
          <w:sz w:val="20"/>
          <w:szCs w:val="20"/>
          <w:color w:val="auto"/>
        </w:rPr>
      </w:pPr>
    </w:p>
    <w:p>
      <w:pPr>
        <w:ind w:left="340" w:right="500" w:hanging="332"/>
        <w:spacing w:after="0" w:line="258" w:lineRule="auto"/>
        <w:tabs>
          <w:tab w:leader="none" w:pos="3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Reflects shares received pursuant to restricted stock awards under the 2001 Equity Participation Plan for grants made in 2008 through 2011 to each Named Executive Officer.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See Named Executive Officers table in “Compensation Discussion and Analysis” for more information about Mr. Steininger’s employment arrangements.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9" w:name="page390"/>
    <w:bookmarkEnd w:id="389"/>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 and Canadian Non-Registered Savings Plan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Oil States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Oil States maintains a similar plan in which Mr. Green is a participant. See “Compensation Discussion and Analysis—Deferred Compensation Plan”, included herein, for details about the plans. Mr. McCann does not participate in a similar plan.</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investment alternatives currently available to an executive under the Deferred Compensation Plan are the same mutual funds available to all employees under Oil States’ 401(K) Retirement Plan. Mr. Steininger was not employed by Oil States during 2013 and, accordingly, did not participate in Oil States’ deferred compensation plan.</w:t>
      </w:r>
    </w:p>
    <w:p>
      <w:pPr>
        <w:spacing w:after="0" w:line="18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Detailed below is activity in the Deferred Compensation Plan for Mr. Dodson. Mr. Green is a Canadian citizen based in Edmonton, Canada and is not eligible to participate in the Deferred Compensation Plan; however, he does participate in a similar Canadian Non-Registered Savings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Executive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Registrant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Contributions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Contribution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At Last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 Last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Last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Withdrawals/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Fiscal</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Distributions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Year End</w:t>
            </w: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($)(1)</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Bradley J. Dodson</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103,071</w:t>
            </w:r>
          </w:p>
        </w:tc>
        <w:tc>
          <w:tcPr>
            <w:tcW w:w="2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29,237</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113,265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609,602</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Ron R. Green</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46,381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40" w:hanging="332"/>
        <w:spacing w:after="0" w:line="258" w:lineRule="auto"/>
        <w:tabs>
          <w:tab w:leader="none" w:pos="3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in the Summary Compensation Table for 2013.</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Amounts reported in this column are also included in the “See All Other Compensation” column of the Summary Compensation Table for 2013.</w:t>
      </w:r>
    </w:p>
    <w:p>
      <w:pPr>
        <w:spacing w:after="0" w:line="20" w:lineRule="exact"/>
        <w:rPr>
          <w:rFonts w:ascii="Arial" w:cs="Arial" w:eastAsia="Arial" w:hAnsi="Arial"/>
          <w:sz w:val="17"/>
          <w:szCs w:val="17"/>
          <w:color w:val="auto"/>
        </w:rPr>
      </w:pPr>
    </w:p>
    <w:p>
      <w:pPr>
        <w:ind w:left="340" w:right="80" w:hanging="332"/>
        <w:spacing w:after="0" w:line="265" w:lineRule="auto"/>
        <w:tabs>
          <w:tab w:leader="none" w:pos="34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This column represents net unrealized appreciation, dividends and distributions from mutual fund investments for 2013 associated with investments held in the Deferred Compensation Plan for Messrs. Dodson and in the Canadian Non-Registered Savings Plan for Mr. Green.</w:t>
      </w:r>
    </w:p>
    <w:p>
      <w:pPr>
        <w:ind w:left="340" w:right="720" w:hanging="332"/>
        <w:spacing w:after="0" w:line="261" w:lineRule="auto"/>
        <w:tabs>
          <w:tab w:leader="none" w:pos="3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Deferred Compensation Plan allows an annual “roll-over” of deferred compensation amounts into Oil States’ 401(k) Retirement Plan to the maximum extent permitted by U.S. Internal Revenue Service regulations.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0" w:name="page391"/>
    <w:bookmarkEnd w:id="390"/>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table below reflects the amount of compensation to certain of the Named Executive Officers in the event of a qualified termination, which is defined as (i) an involuntary termination of the executive officer by Oil States other than for “Cause” or (ii) either an involuntary termination other than for “Cause” or a voluntary termination by the executive for “Good Reason,” in each case, during a specified period of time after a corporate “Change of Control” (as defined in each Executive Agreement) of Oil States. See “Compensation Discussion and Analysis—Executive and Change of Control Agreements” herein for additional information; such Executive and Change of Control Agreements are referred to herein as “Executive Agreements”.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2013 and, therefore, include compensation earned through such time and are estimates of the amounts which would be paid out to the executives upon their terminations. The actual amounts to be paid can only be determined at the time of such executive’s separation from Oil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separation of Civeo is not a change-in-control and therefore will not entitle executive officers of Oil States to any change-in-control benefits.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and Change of Control Agreements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Messrs. Dodson’s and Green’s Executive Agreements, if either of them is terminated by Oil States following a Change of Control of Oil States (other than termination by Oil States for Cause, as defined in the agreement, or by reason of death or disability), or if either of them voluntarily terminate their employment for “Good Reason”, as defined, in either case, in the agreement, during the 24-month period following a corporate Change of Control, then the affected Named Executive Officer is entitled to receive a lump sum severance payment of two times the sum of his base salary and the target annual bonus that may be earned by him pursuant to the AICP for the year of termination. If any of them are terminated by Oil States not for Cause other than during the 24-month period following a Change of Control, he is entitled to receive a lump sum severance payment of one times the sum of his base salary and the target annual bonus that may be earned by him pursuant to the AICP for the year of termination.</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 Named Executive Officer is terminated by Oil States not for Cause other than during the 24-month period following a corporate Change of Control, the Executive Agreements provide (i) for the cash lump sum severance payments described above, (ii) that all restrictions on restricted stock and phantom stock units will lapse and (iii) for continued health benefits for 12 months. Any vested, non-qualified stock options would expire after 3 months of the date of termination if not exercised prior to their expiration.</w:t>
      </w:r>
    </w:p>
    <w:p>
      <w:pPr>
        <w:spacing w:after="0" w:line="187"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Change of Control provision in the Executive Agreement is intended to encourage continued employment by Oil States of its executive officers and to allow such executive to be in a position to provide assessment and advice to the board of directors of Oil States regarding any proposed Change of Control without concern that such executive might be unduly distracted by the uncertainties and risks created by a proposed Change of Control. Unlike “single trigger” plans that pay out immediately upon a change of control, Oil States’ agreement requires a “double trigger” (i.e. a change of control along with an involuntary loss of employment). If the qualified termination occurs during the 24-month period following a corporate Change of Control, the agreements provide for the cash lump sum severance payments described above. In addition, with respect to such a qualified termination, the agreements provide that all restricted stock, phantom stock units and options will become vested, that all restrictions on such awards will lapse and that outstanding stock options will remain exercisable for the remainder of their terms. The executive officer will also be entitled to (A) health benefits until the earlier of (i) 36 months and</w:t>
      </w:r>
    </w:p>
    <w:p>
      <w:pPr>
        <w:spacing w:after="0" w:line="1" w:lineRule="exact"/>
        <w:rPr>
          <w:sz w:val="20"/>
          <w:szCs w:val="20"/>
          <w:color w:val="auto"/>
        </w:rPr>
      </w:pPr>
    </w:p>
    <w:p>
      <w:pPr>
        <w:ind w:right="20" w:firstLine="8"/>
        <w:spacing w:after="0" w:line="252" w:lineRule="auto"/>
        <w:tabs>
          <w:tab w:leader="none" w:pos="26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date the executive begins receiving comparable benefits from a subsequent employer, (B) vesting of all contributions to our 401(k) plan and Deferred Compensation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Executive agreements entered into with Mr. Dodson entitle him to be made whole for any excise taxes incurred with respect to severance payments that are in excess of the limits set forth under the Internal Revenue Code. The Executive Agreement entered into with Mr. Green does not contain excise tax gross up protection.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1" w:name="page392"/>
    <w:bookmarkEnd w:id="391"/>
    <w:p>
      <w:pPr>
        <w:ind w:left="340"/>
        <w:spacing w:after="0"/>
        <w:rPr>
          <w:sz w:val="20"/>
          <w:szCs w:val="20"/>
          <w:color w:val="auto"/>
        </w:rPr>
      </w:pPr>
      <w:r>
        <w:rPr>
          <w:rFonts w:ascii="Arial" w:cs="Arial" w:eastAsia="Arial" w:hAnsi="Arial"/>
          <w:sz w:val="17"/>
          <w:szCs w:val="17"/>
          <w:color w:val="auto"/>
        </w:rPr>
        <w:t>To receive benefits under the Executive Agreement, the executive officer will be required to execute a release of all claims against Oil States.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Oil States and its affiliates. For “Key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Analysis—Deferred Compensation Plan” for additional information regarding payments under the Deferred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Oil States’ stock option agreements provide that, in the event of an employee’s disability, retirement or death, outstanding unvested stock options will become fully vested and will be exercisable for a period of one year following the employee’s date of termination due to disability (within the meaning of Section 22(e)(3) of the Internal Revenue Code, retirement (on or after attainment of age 65 or, with the Oil States Compensation Committee’s express written consent, on or after the age of 55) or death. Oil States’ restricted stock award agreements provide that restricted stock awards will become fully vested on</w:t>
      </w:r>
    </w:p>
    <w:p>
      <w:pPr>
        <w:spacing w:after="0" w:line="2" w:lineRule="exact"/>
        <w:rPr>
          <w:sz w:val="20"/>
          <w:szCs w:val="20"/>
          <w:color w:val="auto"/>
        </w:rPr>
      </w:pPr>
    </w:p>
    <w:p>
      <w:pPr>
        <w:ind w:firstLine="8"/>
        <w:spacing w:after="0" w:line="252" w:lineRule="auto"/>
        <w:tabs>
          <w:tab w:leader="none" w:pos="21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date a Change of Control occurs or (ii) the termination of an employee’s employment due to his death or a disability that entitles the employee to receive benefits under a long term disability plan of Oil States. Oil States’ performance based award agreements provided that, if prior to the second anniversary of the grant date of the award, (A) a Change of Control occurs, or (B) the employee becomes disabled or dies, then the performance based award will vest upon the occurrence of such event at the “determined percentage.” The “determined percentage” is the performance of vesting that would have occurred under the award as if the date of the applicable vesting event were the most recently completed fiscal quarter of Oil States. In addition, in the case of disability or death, the “determined percentage” shall be multiplied by a fraction representing the time of actual employment by the employee from the grant date of the award until the third anniversary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Qualification of Payments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Shown in the table below are potential payments upon the assumed (i) involuntary not for Cause termination of the Named Executive Officers other than during the 24-month period following a Change of Control, or (ii) involuntary not for Cause termination or termination by the Named Executive Officer for “Good Reason,” in either case, during the 24-month period following a Change of Control of Oil States, occurring as of December 31, 2013. None of the named executive officers’ potential payments as of December 31, 2013 would trigger a gross up payment for excise taxes that would be reimbursed under their Executive Agreement.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Bradley J. Dodson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Frank C. Steininger (4)</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767,250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2,146,594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349,558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1,538,515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3,340,485</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8,645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17,256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40"/>
              <w:spacing w:after="0"/>
              <w:rPr>
                <w:sz w:val="20"/>
                <w:szCs w:val="20"/>
                <w:color w:val="auto"/>
              </w:rPr>
            </w:pPr>
            <w:r>
              <w:rPr>
                <w:rFonts w:ascii="Arial" w:cs="Arial" w:eastAsia="Arial" w:hAnsi="Arial"/>
                <w:sz w:val="18"/>
                <w:szCs w:val="18"/>
                <w:color w:val="auto"/>
              </w:rPr>
              <w:t>Tax Gross Up</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5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Ron R. Green</w:t>
            </w:r>
          </w:p>
        </w:tc>
        <w:tc>
          <w:tcPr>
            <w:tcW w:w="200" w:type="dxa"/>
            <w:vAlign w:val="bottom"/>
          </w:tcPr>
          <w:p>
            <w:pPr>
              <w:spacing w:after="0"/>
              <w:rPr>
                <w:sz w:val="20"/>
                <w:szCs w:val="20"/>
                <w:color w:val="auto"/>
              </w:rPr>
            </w:pPr>
          </w:p>
        </w:tc>
        <w:tc>
          <w:tcPr>
            <w:tcW w:w="25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Peter L. McCann</w:t>
            </w:r>
          </w:p>
        </w:tc>
      </w:tr>
      <w:tr>
        <w:trPr>
          <w:trHeight w:val="191"/>
        </w:trPr>
        <w:tc>
          <w:tcPr>
            <w:tcW w:w="6080" w:type="dxa"/>
            <w:vAlign w:val="bottom"/>
          </w:tcPr>
          <w:p>
            <w:pPr>
              <w:spacing w:after="0"/>
              <w:rPr>
                <w:sz w:val="16"/>
                <w:szCs w:val="16"/>
                <w:color w:val="auto"/>
              </w:rPr>
            </w:pPr>
          </w:p>
        </w:tc>
        <w:tc>
          <w:tcPr>
            <w:tcW w:w="13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Involuntary</w:t>
            </w:r>
          </w:p>
        </w:tc>
        <w:tc>
          <w:tcPr>
            <w:tcW w:w="122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Not for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Not for</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Cause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Cause</w:t>
            </w:r>
          </w:p>
        </w:tc>
        <w:tc>
          <w:tcPr>
            <w:tcW w:w="12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Termination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Termination</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without an Oil</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with an Oil</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without an Oil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with an Oil</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States</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States</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States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States</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Change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Change of</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Change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Change of</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Executive benefits and</w:t>
            </w: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Control</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Control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Control</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Payments Upon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1"/>
              </w:rPr>
              <w:t>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on</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Separation</w:t>
            </w: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12/31/2013</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12/31/2013</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12/31/2013</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12/31/2013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Severance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1,610,000</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520,406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Stock Awards(1)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508,600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2,715,924</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Health and Welfare Benefits(2)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8,562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Outplacement Assistance(3)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64,840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ind w:left="440"/>
              <w:spacing w:after="0" w:line="201" w:lineRule="exact"/>
              <w:rPr>
                <w:sz w:val="20"/>
                <w:szCs w:val="20"/>
                <w:color w:val="auto"/>
              </w:rPr>
            </w:pPr>
            <w:r>
              <w:rPr>
                <w:rFonts w:ascii="Arial" w:cs="Arial" w:eastAsia="Arial" w:hAnsi="Arial"/>
                <w:sz w:val="18"/>
                <w:szCs w:val="18"/>
                <w:color w:val="auto"/>
              </w:rPr>
              <w:t>Tax Gross Up</w:t>
            </w:r>
          </w:p>
        </w:tc>
        <w:tc>
          <w:tcPr>
            <w:tcW w:w="4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40" w:hanging="332"/>
        <w:spacing w:after="0" w:line="265" w:lineRule="auto"/>
        <w:tabs>
          <w:tab w:leader="none" w:pos="34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Reflects the value of unvested stock options, restricted stock awards, phantom stock awards, and performance based awards as of December 31, 2013 that would be accelerated as a result of the separation event based on Oil States’ stock price of $101.72, which was the closing market price of Oil States’ common stock as of December 31, 2013. Performance based awards have been quantified assuming that the performance period ended on December 31, 2013 and that the performance level achievement would have been 200% of target. The amounts reported in the “Stock Options” row would also be realized by the Named Executive Officers in the event of a Named Executive Officer’s disability, retirement or death occurring on December 31, 2013.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2013.</w:t>
      </w:r>
    </w:p>
    <w:p>
      <w:pPr>
        <w:spacing w:after="0" w:line="1" w:lineRule="exact"/>
        <w:rPr>
          <w:rFonts w:ascii="Arial" w:cs="Arial" w:eastAsia="Arial" w:hAnsi="Arial"/>
          <w:sz w:val="17"/>
          <w:szCs w:val="17"/>
          <w:color w:val="auto"/>
        </w:rPr>
      </w:pPr>
    </w:p>
    <w:p>
      <w:pPr>
        <w:ind w:left="340" w:right="340" w:hanging="332"/>
        <w:spacing w:after="0" w:line="250"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Reflects the estimated lump-sum present value of all future premiums which will be paid on behalf of the Named Executive Officer under Oil States’ health and welfare benefit plans for the applicable continuation period specified in the Executive Agreements.</w:t>
      </w:r>
    </w:p>
    <w:p>
      <w:pPr>
        <w:ind w:left="340" w:hanging="332"/>
        <w:spacing w:after="0"/>
        <w:tabs>
          <w:tab w:leader="none" w:pos="34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Reflects the maximum amount of outplacement assistance that would be provided for the Named Executive Officer pursuant to the Executive Agreement.</w:t>
      </w:r>
    </w:p>
    <w:p>
      <w:pPr>
        <w:spacing w:after="0" w:line="32" w:lineRule="exact"/>
        <w:rPr>
          <w:rFonts w:ascii="Arial" w:cs="Arial" w:eastAsia="Arial" w:hAnsi="Arial"/>
          <w:sz w:val="16"/>
          <w:szCs w:val="16"/>
          <w:color w:val="auto"/>
        </w:rPr>
      </w:pPr>
    </w:p>
    <w:p>
      <w:pPr>
        <w:ind w:left="340" w:right="60" w:hanging="332"/>
        <w:spacing w:after="0" w:line="254" w:lineRule="auto"/>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See Named Executive Officers table in “Compensation Discussion and Analysis” for more information about Mr. Steininger’s employment arrangements; see also “Agreement with Our Chief Financial Officer” in “Compensation Discussion and Analysis” for a summary of the proposed severance protection arrangement with Mr. Steininger. It is anticipated that Mr. Steininger will enter into an Executive Agreement after the completion of the spin-off.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3" w:name="page394"/>
    <w:bookmarkEnd w:id="393"/>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non-employee directors will receive compensation for their services on the board of directors. Following the separation, we expect our director compensation programs and amounts will be structured similarly to those currently in place at Oil States.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Directors who are also our employees will not receive a retainer or fees for service on our board of directors or any committees. Mr. Dodson, a Director of Civeo and the Civeo’s President and Chief Executive Officer, will not receive director compensation. Directors who are not employees will receive an annual retainer of $50,000 and fees of $2,000 for attendance at each board of directors or committee meeting. The non-employee director who serves as the Chairman of the Board will receive an additional annual retainer of $100,000, which is paid quarterly 50% in cash and 50% in fully vested shares of Civeo common stock, and each non-employee director who serves as the chairman of the Compensation Committee or the Nominating &amp; Corporate Governance Committee will receive an additional annual retainer of $10,000. The chairman of the Audit Committee will receive an additional annual retainer of $17,500. Members of the Nominating &amp; Corporate Governance Committee and the Compensation Committee, other than the Committee chairman, will receive an additional annual retainer of $5,000 and members of the Audit Committee, other than the Committee Chairs, will receive an additional annual retainer of $10,000. Newly elected non-employee directors will receive restricted stock awards of Civeo common stock valued at $125,000 after their initial election. Non-employee directors will receive additional restricted stock awards of Civeo common stock valued at $125,000 at each annual stockholders’ meeting after which they continue to serve. The non-employee directors’ restricted stock awards will be valued on the award date based on the closing stock price and vest on the earlier of one year from the date of grant or the next annual stockholders’ meeting date following the date of grant.</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Non-Employee directors will also be subject to Civeo’s stock ownership and holding period guidelines pursuant to which they are expected to retain restricted stock award shares remaining, after payment of applicable taxes, valued at five times the annual retainer amount, or $250,000, until retirement or until leaving the board of directors. Once the ownership guideline is established for a director and communicated, the director has four years to attain the targeted level of ownership. All of our directors will be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94" w:name="page395"/>
    <w:bookmarkEnd w:id="394"/>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181" w:lineRule="exact"/>
        <w:rPr>
          <w:sz w:val="20"/>
          <w:szCs w:val="20"/>
          <w:color w:val="auto"/>
        </w:rPr>
      </w:pPr>
    </w:p>
    <w:p>
      <w:pPr>
        <w:ind w:left="660" w:right="160" w:hanging="328"/>
        <w:spacing w:after="0" w:line="277" w:lineRule="auto"/>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shareholder who we believe (based on the assumptions described below) will beneficially own more than 5% of Civeo’s outstanding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person who is expected to serve as a director upon completion of the spin-off;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person who is expected to serve as an executive officer upon completion of the spin-off;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all persons who are expected to serve as directors or executive officers upon completion of the spin-off as a group.</w:t>
      </w:r>
    </w:p>
    <w:p>
      <w:pPr>
        <w:spacing w:after="0" w:line="2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Except as otherwise noted below, we based the share amounts shown on each person’s beneficial ownership of Oil States common stock on April 11, 2014, and a distribution ratio of two shares of our common stock for each share of Oil States common stock held by such person.</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Immediately following the spin-off, we expect to have approximately 23 stockholders of record and approximately 106,109,322 million shares of Civeo common stock outstanding, based on the number of registered stockholders of Oil States common stock on April 11, 2014. The actual number of shares of our</w:t>
      </w:r>
    </w:p>
    <w:p>
      <w:pPr>
        <w:ind w:right="120"/>
        <w:spacing w:after="0" w:line="261" w:lineRule="auto"/>
        <w:rPr>
          <w:sz w:val="20"/>
          <w:szCs w:val="20"/>
          <w:color w:val="auto"/>
        </w:rPr>
      </w:pPr>
      <w:r>
        <w:rPr>
          <w:rFonts w:ascii="Arial" w:cs="Arial" w:eastAsia="Arial" w:hAnsi="Arial"/>
          <w:sz w:val="18"/>
          <w:szCs w:val="18"/>
          <w:color w:val="auto"/>
        </w:rPr>
        <w:t>common stock outstanding following the spin-off will be determined on , 2014, the record date. As of April 11, 2014, Oil States had approximately 23 stockholders of record and approximately 53,054,661 million shares of Oil States common stock outstanding.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5" w:name="page396"/>
    <w:bookmarkEnd w:id="395"/>
    <w:p>
      <w:pPr>
        <w:ind w:firstLine="324"/>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3"/>
          </w:tcPr>
          <w:p>
            <w:pPr>
              <w:ind w:left="76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16"/>
        </w:trPr>
        <w:tc>
          <w:tcPr>
            <w:tcW w:w="8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Owners(1)</w:t>
            </w: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580" w:type="dxa"/>
            <w:vAlign w:val="bottom"/>
          </w:tcPr>
          <w:p>
            <w:pPr>
              <w:ind w:lef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Percentage(2)</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Jana Partners LLC(3)</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12,241,760</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2" w:lineRule="exact"/>
              <w:rPr>
                <w:sz w:val="20"/>
                <w:szCs w:val="20"/>
                <w:color w:val="auto"/>
              </w:rPr>
            </w:pPr>
            <w:r>
              <w:rPr>
                <w:rFonts w:ascii="Arial" w:cs="Arial" w:eastAsia="Arial" w:hAnsi="Arial"/>
                <w:sz w:val="15"/>
                <w:szCs w:val="15"/>
                <w:color w:val="auto"/>
              </w:rPr>
              <w:t>767 Fifth Avenue, 8</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Floor</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New York, NY 10153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World Investors(4)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11,824,000</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333 South Hope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Los Angeles, CA 90071</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FMR LLC(5)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7,879,538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7.4%</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82 Devonshire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Boston, Massachusetts 02109</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BlackRock, Inc(6)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7,696,208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7.3%</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40 East 52nd Street</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New York, NY 10022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Vanguard Group(7)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6,352,822</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6.0%</w:t>
            </w:r>
          </w:p>
        </w:tc>
        <w:tc>
          <w:tcPr>
            <w:tcW w:w="0" w:type="dxa"/>
            <w:vAlign w:val="bottom"/>
          </w:tcPr>
          <w:p>
            <w:pPr>
              <w:spacing w:after="0"/>
              <w:rPr>
                <w:sz w:val="1"/>
                <w:szCs w:val="1"/>
                <w:color w:val="auto"/>
              </w:rPr>
            </w:pPr>
          </w:p>
        </w:tc>
      </w:tr>
      <w:tr>
        <w:trPr>
          <w:trHeight w:val="202"/>
        </w:trPr>
        <w:tc>
          <w:tcPr>
            <w:tcW w:w="80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100 Vanguard Blvd</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Malvern, PA 19355</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Bradley J. Dodson(8)(9)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266,793</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Frank C. Steininger(9)</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 R. Green(8)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261,122</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Peter McCann</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9,364</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Martin A. Lambert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67,766</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Constance B. Moore</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A. Navarre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Gary L. Rosenthal</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49,498</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Douglas E. Swanson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102,188</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Charles Szalkowski</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(16 persons)(8)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756,731</w:t>
            </w:r>
          </w:p>
        </w:tc>
        <w:tc>
          <w:tcPr>
            <w:tcW w:w="16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287"/>
        <w:spacing w:after="0"/>
        <w:tabs>
          <w:tab w:leader="none" w:pos="3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340" w:right="30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total shares outstanding of 106,109,322 as of April 11,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a Form 4 filed with the SEC pursuant to the Exchange Act on December 30, 2013.</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a Schedule 13G (Amendment No. 1) filed with the SEC pursuant to the Exchange Act on February 13, 2014. The shares reported represent the aggregate beneficial interest owned by Capital World Investors. Capital World Investors may be deemed to have sole voting power and sole dispositive power with respect to 11,924,000 shares.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a Schedule 13G-A (Amendment No. 11) filed with the SEC pursuant to the Exchange Act on February 14, 2013, the shares reported represent the aggregated beneficial ownership by FMR LLC (“FMR”) (together with its wholly owned subsidiaries). FMR may be deemed to have sole voting power with respect to 86,888 shares and sole dispositive power with respect to 7,879,538 shares. FMR has no shared voting or dispositive power with respect to any of the shares shown.</w:t>
      </w:r>
    </w:p>
    <w:p>
      <w:pPr>
        <w:spacing w:after="0" w:line="1"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a Schedule 13G-A (Amendment No. 4) filed pursuant to the Exchange Act on January 30, 2014, the shares reported represent the aggregate beneficial ownership by BlackRock, Inc. and certain of its affiliates. BlackRock, Inc. may be deemed to have sole voting power and sole dispositive power with respect to 7,696,208 shares.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Based on a Schedule 13G filed with the SEC pursuant to the Exchange Act on February 12, 2014. The shares reported represent the aggregated beneficial ownership by the Vanguard Group. The Vanguard Group may be deemed to have the sole voting power with respect to 68,954 shares and sole dispositive power with respect to 3,145,734 and shared dispositive power with respect to 61,354 shares.</w:t>
      </w:r>
    </w:p>
    <w:p>
      <w:pPr>
        <w:spacing w:after="0" w:line="1" w:lineRule="exact"/>
        <w:rPr>
          <w:rFonts w:ascii="Arial" w:cs="Arial" w:eastAsia="Arial" w:hAnsi="Arial"/>
          <w:sz w:val="18"/>
          <w:szCs w:val="18"/>
          <w:color w:val="auto"/>
        </w:rPr>
      </w:pPr>
    </w:p>
    <w:p>
      <w:pPr>
        <w:ind w:left="340" w:right="600" w:hanging="332"/>
        <w:spacing w:after="0" w:line="250"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Includes shares that may be acquired within 60 days of April 11, 2014 through the exercise of options to purchase shares of our common stock as follows: Mr. Dodson—190,727 and Mr. Green—227,272.</w:t>
      </w:r>
    </w:p>
    <w:p>
      <w:pPr>
        <w:ind w:left="340" w:hanging="332"/>
        <w:spacing w:after="0"/>
        <w:tabs>
          <w:tab w:leader="none" w:pos="3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Does not include the restricted shares that Mr. Dodson and Mr. Steininger are expected to receive under the EPP upon completion of the spin-off.</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6" w:name="page397"/>
    <w:bookmarkEnd w:id="396"/>
    <w:p>
      <w:pPr>
        <w:jc w:val="center"/>
        <w:ind w:right="-79"/>
        <w:spacing w:after="0"/>
        <w:rPr>
          <w:sz w:val="20"/>
          <w:szCs w:val="20"/>
          <w:color w:val="auto"/>
        </w:rPr>
      </w:pPr>
      <w:r>
        <w:rPr>
          <w:rFonts w:ascii="Arial" w:cs="Arial" w:eastAsia="Arial" w:hAnsi="Arial"/>
          <w:sz w:val="18"/>
          <w:szCs w:val="18"/>
          <w:b w:val="1"/>
          <w:bCs w:val="1"/>
          <w:color w:val="auto"/>
        </w:rPr>
        <w:t>ARRANGEMENTS BETWEEN OIL STATES AND OUR COMPANY</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and Distribution Agreement</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As a result of this transfer, we will own all assets exclusively related to the accommodations business and will assume all liabilities to the extent related to the accommodations business. Oil States will generally retain all other assets and liabilities, including assets and liabilities related to discontinued, non-accommodation businesses. The Separation and Distribution Agreement will require Oil States and us to endeavor to obtain consents, approvals and amendments required to novate or assign the assets and liabilities that are to be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transferred pursuant to the Separation and Distribution Agreement as soon as reasonably practicable.</w:t>
      </w:r>
    </w:p>
    <w:p>
      <w:pPr>
        <w:spacing w:after="0" w:line="23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7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Separation and Distribution Agreement will specify those conditions that must be satisfied or waived by Oil States prior to the distribution. In addition, Oil States will have the right to determine the date and terms of the distribution, including payment by us of a special dividend in the range of $650.0 million to $850.0 million to Oil States, and will have the right, at any time until completion of the spin-off, to determine to abandon or modify the distribution and to terminate the Separation and Distribution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Transition Services Agreement will set forth the terms on which Oil States will provide to us on a temporary basis, certain services or functions that the companies historically have shared. Transition services may include administrative, payroll, legal, human resources, data processing, financial audit support, financial transaction support, and other support services, information technology systems and various other corporate services. We expect the agreement will provide for the provision of specified transition services, generally for a period of up to nine months, with a possible extension of 1 month (an aggregate of 10 months) at a predetermined fee based on estimated cost to Oil States.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b w:val="1"/>
          <w:bCs w:val="1"/>
          <w:u w:val="single" w:color="auto"/>
          <w:color w:val="auto"/>
        </w:rPr>
        <w:t>Tax Sharing Agreement</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pursuant to the Tax Sharing Agreement:</w:t>
      </w:r>
    </w:p>
    <w:p>
      <w:pPr>
        <w:spacing w:after="0" w:line="225" w:lineRule="exact"/>
        <w:rPr>
          <w:sz w:val="20"/>
          <w:szCs w:val="20"/>
          <w:color w:val="auto"/>
        </w:rPr>
      </w:pPr>
    </w:p>
    <w:p>
      <w:pPr>
        <w:ind w:left="660" w:right="540" w:hanging="328"/>
        <w:spacing w:after="0" w:line="277"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Civeo and Oil States will agree to cooperate in the preparation of tax returns and with regard to any audits related to Civeo’s or Oil States’ tax returns;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Tax Sharing Agreement will assign responsibilities for administrative matters, such as the filing of tax returns, payment of taxes due, retention of records and conduct of audits, examinations, or similar proceedings;</w:t>
      </w:r>
    </w:p>
    <w:p>
      <w:pPr>
        <w:spacing w:after="0" w:line="170" w:lineRule="exact"/>
        <w:rPr>
          <w:rFonts w:ascii="Arial" w:cs="Arial" w:eastAsia="Arial" w:hAnsi="Arial"/>
          <w:sz w:val="18"/>
          <w:szCs w:val="18"/>
          <w:color w:val="auto"/>
        </w:rPr>
      </w:pPr>
    </w:p>
    <w:p>
      <w:pPr>
        <w:ind w:left="660" w:right="240" w:hanging="328"/>
        <w:spacing w:after="0" w:line="276" w:lineRule="auto"/>
        <w:tabs>
          <w:tab w:leader="none" w:pos="6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with respect to any periods (or portions thereof) ending prior to the distribution, Oil States will pay any U.S. federal income taxes of the affiliated group of which Oil States is the common parent and, if Civeo (including any of its subsidiaries) is included in that affiliated group, Civeo will pay Oil States an amount equal to the amount of U.S. federal income tax Civeo would have paid had Civeo filed a separate consolidated U.S. federal income tax return, subject to certain adjustments. With respect to any periods (or portions thereof) beginning after the distribution, Civeo will be responsible for any U.S. federal income taxes of Civeo and its subsidiaries;</w:t>
      </w:r>
    </w:p>
    <w:p>
      <w:pPr>
        <w:spacing w:after="0" w:line="172"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state or local income taxes that are determined on a consolidated, combined, or unitary basis and, if Civeo (including any of its subsidiaries) is included in such determination, Civeo will pay Oil States an amount equal to the amount of tax Civeo would have paid had Civeo filed a separate return for such income, subject to certain adjustments;</w:t>
      </w:r>
    </w:p>
    <w:p>
      <w:pPr>
        <w:spacing w:after="0" w:line="186"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with respect to any periods (or portions thereof) beginning after the distribution, Civeo will be responsible for any U.S. federal income taxes of Civeo and its subsidiaries;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Oil States will be responsible for any U.S. federal, state, local, or foreign taxes due with respect to tax returns that include only Oil States and/or its subsidiaries (excluding Civeo and its subsidiaries), and Civeo will be responsible for any U.S. federal, state, local or foreign taxes due with respect to tax returns that include only Civeo and/or its subsidiaries;</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the extent that any gain or income is recognized by Oil States (including its subsidiaries) in connection with the failure of the spin-off to qualify for tax-free treatment under Sections 355 and 368(a)(1)(D) of the Code, Civeo will indemnify Oil States for any taxes on such gain or income to the extent such failure is attributable to:</w:t>
      </w:r>
    </w:p>
    <w:p>
      <w:pPr>
        <w:spacing w:after="0" w:line="181" w:lineRule="exact"/>
        <w:rPr>
          <w:rFonts w:ascii="Arial" w:cs="Arial" w:eastAsia="Arial" w:hAnsi="Arial"/>
          <w:sz w:val="18"/>
          <w:szCs w:val="18"/>
          <w:color w:val="auto"/>
        </w:rPr>
      </w:pPr>
    </w:p>
    <w:p>
      <w:pPr>
        <w:ind w:left="980" w:right="320" w:hanging="324"/>
        <w:spacing w:after="0" w:line="277" w:lineRule="auto"/>
        <w:tabs>
          <w:tab w:leader="none" w:pos="9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Civeo made in connection with the Tax Sharing Agreement or any tax ruling requested or received from the IRS or opinions of Oil States’ outside tax advisors;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breach by Civeo of applicable representations, warranties, or covenants in the Tax Sharing Agreement;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other action taken by Civeo; and</w:t>
      </w:r>
    </w:p>
    <w:p>
      <w:pPr>
        <w:spacing w:after="0" w:line="225" w:lineRule="exact"/>
        <w:rPr>
          <w:rFonts w:ascii="Arial" w:cs="Arial" w:eastAsia="Arial" w:hAnsi="Arial"/>
          <w:sz w:val="18"/>
          <w:szCs w:val="18"/>
          <w:color w:val="auto"/>
        </w:rPr>
      </w:pPr>
    </w:p>
    <w:p>
      <w:pPr>
        <w:ind w:left="980" w:right="400" w:hanging="324"/>
        <w:spacing w:after="0" w:line="264" w:lineRule="auto"/>
        <w:tabs>
          <w:tab w:leader="none" w:pos="9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Civeo will bear 50% of the amount of any gain or income that is recognized by Oil States (including its subsidiaries) in connection with the failure of the spin-off to qualify for tax-free treatment under Sections 355 and 368(a)(1)(D) of the Code, to the extent such failure is not attributable to the fault of either party.</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Oil States has received a private letter ruling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Sections 355 and 368(a)(1)(D) of the Code. In addition, Oil States will receive an opinion from its tax counsel, in form and substance acceptable to Oil States, regarding certain matters upon which the IRS will not rule. The opinion will rely on the private letter ruling as to matters covered by the private letter ruling.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8" w:name="page399"/>
    <w:bookmarkEnd w:id="398"/>
    <w:p>
      <w:pPr>
        <w:ind w:right="60" w:firstLine="324"/>
        <w:spacing w:after="0" w:line="254" w:lineRule="auto"/>
        <w:rPr>
          <w:sz w:val="20"/>
          <w:szCs w:val="20"/>
          <w:color w:val="auto"/>
        </w:rPr>
      </w:pPr>
      <w:r>
        <w:rPr>
          <w:rFonts w:ascii="Arial" w:cs="Arial" w:eastAsia="Arial" w:hAnsi="Arial"/>
          <w:sz w:val="18"/>
          <w:szCs w:val="18"/>
          <w:color w:val="auto"/>
        </w:rPr>
        <w:t>Civeo will agree to certain restrictions that are intended to preserve the tax-free status of the contribution, distribution, and related transactions. During the two-year period following the spin-off, these covenants will restrict Civeo’s ability to sell assets outside the ordinary course of business, to issue or sell its common stock or other securities (including securities convertible into its common stock), or to enter into any other corporate transaction that would cause Civeo to undergo either a 50% or greater change in the ownership of its voting stock or a 50% or greater change in the ownership (measured by value) of all classes of its stock. Civeo may take certain actions otherwise subject to these restrictions only if Oil States consents to the taking of such action or if Civeo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Matters Agreement</w:t>
      </w:r>
    </w:p>
    <w:p>
      <w:pPr>
        <w:spacing w:after="0" w:line="22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and will provide for the treatment of outstanding Oil States equity and other compensation awards and programs.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 Matters Agreement will generally provide that:</w:t>
      </w:r>
    </w:p>
    <w:p>
      <w:pPr>
        <w:spacing w:after="0" w:line="225" w:lineRule="exact"/>
        <w:rPr>
          <w:sz w:val="20"/>
          <w:szCs w:val="20"/>
          <w:color w:val="auto"/>
        </w:rPr>
      </w:pPr>
    </w:p>
    <w:p>
      <w:pPr>
        <w:ind w:left="660" w:hanging="328"/>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Civeo will assume all liabilities and obligations relating to Civeo employees and former employees of the accommodations business;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Civeo will assume all obligations pursuant to any collective bargaining, employment and other agreements between any Civeo employee and Oil States;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Oil States’ time-based equity and equity-based awards held by Civeo employees will be converted into similar awards with respect to Civeo common stock or cancelled and replaced with comparable awards under the EPP, with adjustments to the number of shares subject to the award and exercise price to preserve the pre spin-off value;</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Oil States’ time-based equity and equity-based awards held by current and former Oil States employees or directors will remain outstanding with adjustments to the number of shares subject to the award and exercise price to preserve the pre spin-off value;</w:t>
      </w:r>
    </w:p>
    <w:p>
      <w:pPr>
        <w:spacing w:after="0" w:line="17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Oil States’ performance-based deferred stock awards will be cancelled with the holders thereof entitled to receive a number of time-based restricted shares of Civeo (in the case of Civeo employees) or Oil States (in the case of Oil States employees) to preserve the pre-spinoff value of the prior award, assuming settlement based upon the actual attainment of performance objectives to date as of Oil States’ most recently-completed fiscal quarter;</w:t>
      </w:r>
    </w:p>
    <w:p>
      <w:pPr>
        <w:spacing w:after="0" w:line="186"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Account balances under Oil States’ tax-qualified savings plan which relate to Civeo employees and former employees of the accommodations business will be transferred directly to the tax-qualified savings plan that Civeo will establish;</w:t>
      </w:r>
    </w:p>
    <w:p>
      <w:pPr>
        <w:spacing w:after="0" w:line="170" w:lineRule="exact"/>
        <w:rPr>
          <w:rFonts w:ascii="Arial" w:cs="Arial" w:eastAsia="Arial" w:hAnsi="Arial"/>
          <w:sz w:val="18"/>
          <w:szCs w:val="18"/>
          <w:color w:val="auto"/>
        </w:rPr>
      </w:pPr>
    </w:p>
    <w:p>
      <w:pPr>
        <w:ind w:left="660" w:right="320" w:hanging="328"/>
        <w:spacing w:after="0" w:line="259" w:lineRule="auto"/>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Responsibility for amounts held by current Civeo employees and former employees of the accommodations business pursuant to Oil States’ nonqualified deferred compensation plan will be transferred to a comparable plan of Civeo as soon as practicable following the spin-off, with the portion of assets held pursuant to the “rabbi” trust relating to Oil States’ nonqualified deferred compensation plan being transferred contemporaneously;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9" w:name="page400"/>
    <w:bookmarkEnd w:id="399"/>
    <w:p>
      <w:pPr>
        <w:ind w:left="660" w:right="60" w:hanging="328"/>
        <w:spacing w:after="0" w:line="276" w:lineRule="auto"/>
        <w:tabs>
          <w:tab w:leader="none" w:pos="66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Unless otherwise agreed by Oil States and Civeo, following the spin-off, Civeo employees will cease active participation under all benefit plans sponsored by Oil States and, to the extent Civeo has adopted such plans, will be covered under the corresponding benefit plans of Civeo. Civeo will recognize service with Oil States for all purposes of determining vesting, eligibility and benefit level under Civeo’s benefit plans and will provide credit for all deductibles and other limitations under the Civeo benefit plans to the extent the Civeo employee and former accommodations business employee satisfied the obligation under the corresponding Oil States benefit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 and Release Agreement</w:t>
      </w:r>
    </w:p>
    <w:p>
      <w:pPr>
        <w:spacing w:after="0" w:line="229"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 Pursuant to the Indemnification and Release Agreement, we and Oil States will generally release the other party from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 claims arising prior to the spin-off other than claims arising under the transaction agreements, including the indemnification provisions described above.</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21"/>
          <w:szCs w:val="21"/>
          <w:color w:val="auto"/>
        </w:rPr>
        <w:t>The Indemnification and Release Agreement also provides that we will use our commercially reasonable efforts to remove Oil States as party to certain contracts. In the event that we are unable to remove Oil States as a party, we have agreed to indemnify Oil States for any liabilities relating to such contracts. Furthermore, until we remove Oil States as a party, we have agreed that, without the prior written consent of Oil States, we will not enter into any transaction that is reasonably likely to result in a violation of the financial covenants in our new revolving credit facility as in effect on the date of the spin-off without regard to any waivers or modifications. In addition, we have agreed not to enter into any transaction that results in any person or entity owning more than 50% of our outstanding economic or voting equity unless such person or entity has agreed to indemnify Oil States for any liability under such contracts.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00" w:name="page401"/>
    <w:bookmarkEnd w:id="400"/>
    <w:p>
      <w:pPr>
        <w:jc w:val="center"/>
        <w:ind w:right="-19"/>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Policies and Procedures with Respect to Related Party Transactions and Conflicts of Interest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Business Conduct &amp; Ethics Code will prohibit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will include related person transactions.</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58" w:lineRule="exact"/>
        <w:rPr>
          <w:sz w:val="20"/>
          <w:szCs w:val="20"/>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1" w:name="page402"/>
    <w:bookmarkEnd w:id="401"/>
    <w:p>
      <w:pPr>
        <w:ind w:right="260" w:firstLine="324"/>
        <w:spacing w:after="0" w:line="279" w:lineRule="auto"/>
        <w:rPr>
          <w:sz w:val="20"/>
          <w:szCs w:val="20"/>
          <w:color w:val="auto"/>
        </w:rPr>
      </w:pPr>
      <w:r>
        <w:rPr>
          <w:rFonts w:ascii="Arial" w:cs="Arial" w:eastAsia="Arial" w:hAnsi="Arial"/>
          <w:sz w:val="17"/>
          <w:szCs w:val="17"/>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will be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211" w:lineRule="exact"/>
        <w:rPr>
          <w:sz w:val="20"/>
          <w:szCs w:val="20"/>
          <w:color w:val="auto"/>
        </w:rPr>
      </w:pPr>
    </w:p>
    <w:p>
      <w:pPr>
        <w:ind w:left="660" w:right="80" w:hanging="328"/>
        <w:spacing w:after="0" w:line="277" w:lineRule="auto"/>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Upon the closing of the spin-off, we expect to enter into (i) a $650.0 million, 5-year revolving credit facility which is currently expected to be allocated as follows: (A) a $450.0 million senior secured revolving credit facility in favor of Civeo, as borrower, (B) a $100.0 million senior secured revolving credit facility in favor of certain of our Canadian subsidiaries, as borrowers, and (C) a $100.0 million senior secured revolving credit facility in favor of one of our Australian subsidiaries, as borrower and (ii) a $775.0 million, 5-year term loan facility in an amount to be determined up to $775.0 million in favor of Civeo. U.S. Dollar amounts outstanding under the credit facilities are expected to bear interest at a variable rate equal to LIBOR plus a margin of 1.75% to 2.75%, or a base rate plus 0.75% to 1.75%, in each case based on a ratio of our total leverage to EBITDA (as defined in the credit facilities). Canadian Dollar amounts outstanding under the credit facilities are expected to bear interest at a variable rate equal to CDOR plus a margin of 1.75% to 2.75%, or a base rate plus a margin of 0.75% to 1.75%, in each case based on a ratio of our total leverage to EBITDA (as defined in the credit facilities). Australian Dollar amounts outstanding under the credit facilities are expected to bear interest at a variable rate equal to BBSY plus a margin of 1.75% to 2.75%, based on our total</w:t>
      </w:r>
    </w:p>
    <w:p>
      <w:pPr>
        <w:spacing w:after="0" w:line="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 xml:space="preserve">leverage. We expect to pay certain customary fees with respect to the indebtedness. </w:t>
      </w:r>
      <w:r>
        <w:rPr>
          <w:rFonts w:ascii="Arial" w:cs="Arial" w:eastAsia="Arial" w:hAnsi="Arial"/>
          <w:sz w:val="21"/>
          <w:szCs w:val="21"/>
          <w:color w:val="auto"/>
        </w:rPr>
        <w:t>We anticipate that, upon closing of the spin-off, our U.S. term</w:t>
      </w:r>
      <w:r>
        <w:rPr>
          <w:rFonts w:ascii="Arial" w:cs="Arial" w:eastAsia="Arial" w:hAnsi="Arial"/>
          <w:sz w:val="18"/>
          <w:szCs w:val="18"/>
          <w:color w:val="auto"/>
        </w:rPr>
        <w:t xml:space="preserve"> </w:t>
      </w:r>
      <w:r>
        <w:rPr>
          <w:rFonts w:ascii="Arial" w:cs="Arial" w:eastAsia="Arial" w:hAnsi="Arial"/>
          <w:sz w:val="21"/>
          <w:szCs w:val="21"/>
          <w:color w:val="auto"/>
        </w:rPr>
        <w:t>loan facility will be fully drawn and that we will have no borrowings outstanding under our credit facilities.</w:t>
      </w:r>
    </w:p>
    <w:p>
      <w:pPr>
        <w:spacing w:after="0" w:line="15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following is a description of the material terms of our capital stock as to be provided in our amended and restated certificate of incorporation and amended and restated bylaws. We also refer you to our amended and restated certificate of incorporation and amended and restated bylaws, copies of which are filed as exhibits to the registration statement of which this information statement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Authorized Capitalization</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Following completion of the spin-off, our authorized capital stock will consist of (i) 550,000,000 shares of common stock, par value $0.01 per share, of which we expect 106,109,322 shares will be issued and outstanding, based on the number of shares of Oil States common stock expected to be outstanding as of the record date, and (ii) 50,000,000 shares of preferred stock, par value $0.01 per share, of which no shares will be issued and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upon completion of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classes or series of preferred stock, par value $0.01 per share, covering up to an aggregate of 50,000,000 shares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Anti-Takeover Effects of Provisions of Our Amended and Restated Certificate of Incorporation, our Amended and Restated Bylaws and Delaware Law</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4" w:name="page405"/>
    <w:bookmarkEnd w:id="404"/>
    <w:p>
      <w:pPr>
        <w:ind w:right="80" w:firstLine="324"/>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not subject to Section 203 of the DGCL, which prohibits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181" w:lineRule="exact"/>
        <w:rPr>
          <w:sz w:val="20"/>
          <w:szCs w:val="20"/>
          <w:color w:val="auto"/>
        </w:rPr>
      </w:pPr>
    </w:p>
    <w:p>
      <w:pPr>
        <w:ind w:left="660" w:hanging="328"/>
        <w:spacing w:after="0"/>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225" w:lineRule="exact"/>
        <w:rPr>
          <w:sz w:val="20"/>
          <w:szCs w:val="20"/>
          <w:color w:val="auto"/>
        </w:rPr>
      </w:pPr>
    </w:p>
    <w:p>
      <w:pPr>
        <w:ind w:left="660" w:right="40" w:hanging="328"/>
        <w:spacing w:after="0" w:line="286" w:lineRule="auto"/>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provide that, upon completion of the spin-off, our directors will be divided into three classes serving staggered three-year terms, with only one class being elected each year by our stockholders. This classified board may discourage a third party from making a tender offer or otherwise attempting to obtain control of us, because it generally makes it more difficult for stockholders to replace a majority of our directors;</w:t>
      </w:r>
    </w:p>
    <w:p>
      <w:pPr>
        <w:spacing w:after="0" w:line="165"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 by the affirmative vote of the holders of a majority of the voting power of the shares of common stock generally entitled to vote in the election of directors, voting together as a single class;</w:t>
      </w:r>
    </w:p>
    <w:p>
      <w:pPr>
        <w:spacing w:after="0" w:line="170" w:lineRule="exact"/>
        <w:rPr>
          <w:rFonts w:ascii="Arial" w:cs="Arial" w:eastAsia="Arial" w:hAnsi="Arial"/>
          <w:sz w:val="18"/>
          <w:szCs w:val="18"/>
          <w:color w:val="auto"/>
        </w:rPr>
      </w:pPr>
    </w:p>
    <w:p>
      <w:pPr>
        <w:ind w:left="660" w:right="80" w:hanging="328"/>
        <w:spacing w:after="0" w:line="273" w:lineRule="auto"/>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178"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5" w:right="319" w:bottom="1440" w:gutter="0" w:footer="0" w:header="0"/>
        </w:sectPr>
      </w:pPr>
    </w:p>
    <w:bookmarkStart w:id="405" w:name="page406"/>
    <w:bookmarkEnd w:id="405"/>
    <w:p>
      <w:pPr>
        <w:ind w:left="660" w:hanging="328"/>
        <w:spacing w:after="0" w:line="308" w:lineRule="auto"/>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only be called by the board of directors or the chairman of the board; and</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provide that our certificate of incorporation and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Forum Selection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211" w:lineRule="exact"/>
        <w:rPr>
          <w:sz w:val="20"/>
          <w:szCs w:val="20"/>
          <w:color w:val="auto"/>
        </w:rPr>
      </w:pPr>
    </w:p>
    <w:p>
      <w:pPr>
        <w:ind w:left="660" w:hanging="328"/>
        <w:spacing w:after="0"/>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 of the DGCL, our amended and restated certificate of incorporation or our bylaws; 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acquiring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 of Liability and Indemnification Matters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181" w:lineRule="exact"/>
        <w:rPr>
          <w:sz w:val="20"/>
          <w:szCs w:val="20"/>
          <w:color w:val="auto"/>
        </w:rPr>
      </w:pPr>
    </w:p>
    <w:p>
      <w:pPr>
        <w:ind w:left="660" w:hanging="328"/>
        <w:spacing w:after="0"/>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06" w:name="page407"/>
    <w:bookmarkEnd w:id="406"/>
    <w:p>
      <w:pPr>
        <w:ind w:left="660" w:hanging="328"/>
        <w:spacing w:after="0"/>
        <w:tabs>
          <w:tab w:leader="none" w:pos="6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expected to trade on the NYSE under the symbol “CVEO”.</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 xml:space="preserve">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you can electronically access the Form 10, including its exhibits.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www.civeo.com</w:t>
      </w:r>
      <w:r>
        <w:rPr>
          <w:rFonts w:ascii="Arial" w:cs="Arial" w:eastAsia="Arial" w:hAnsi="Arial"/>
          <w:sz w:val="18"/>
          <w:szCs w:val="18"/>
          <w:color w:val="auto"/>
        </w:rPr>
        <w:t>. We do not incorporate our Internet site, or the information contained on that site or connected to that site, into the information statement or our Registration Statement on Form 10.</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plan to make available free of charge on our website, at </w:t>
      </w:r>
      <w:r>
        <w:rPr>
          <w:rFonts w:ascii="Arial" w:cs="Arial" w:eastAsia="Arial" w:hAnsi="Arial"/>
          <w:sz w:val="18"/>
          <w:szCs w:val="18"/>
          <w:i w:val="1"/>
          <w:iCs w:val="1"/>
          <w:color w:val="auto"/>
        </w:rPr>
        <w:t>www.civeo.com</w:t>
      </w:r>
      <w:r>
        <w:rPr>
          <w:rFonts w:ascii="Arial" w:cs="Arial" w:eastAsia="Arial" w:hAnsi="Arial"/>
          <w:sz w:val="18"/>
          <w:szCs w:val="18"/>
          <w:color w:val="auto"/>
        </w:rPr>
        <w:t>,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INDEX TO FINANCIAL STATEMENTS, SUPPLEMENTARY DATA AND SCHEDULES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8"/>
                <w:szCs w:val="18"/>
                <w:color w:val="auto"/>
              </w:rPr>
              <w:t>F-3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Comprehensive Income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Balance Sheets at December 31, 2013 and 2012</w:t>
            </w:r>
          </w:p>
        </w:tc>
        <w:tc>
          <w:tcPr>
            <w:tcW w:w="880" w:type="dxa"/>
            <w:vAlign w:val="bottom"/>
          </w:tcPr>
          <w:p>
            <w:pPr>
              <w:jc w:val="right"/>
              <w:spacing w:after="0"/>
              <w:rPr>
                <w:sz w:val="20"/>
                <w:szCs w:val="20"/>
                <w:color w:val="auto"/>
              </w:rPr>
            </w:pPr>
            <w:r>
              <w:rPr>
                <w:rFonts w:ascii="Arial" w:cs="Arial" w:eastAsia="Arial" w:hAnsi="Arial"/>
                <w:sz w:val="18"/>
                <w:szCs w:val="18"/>
                <w:color w:val="auto"/>
              </w:rPr>
              <w:t>F-5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 of Changes in Net Investment for the Years Ended December 31, 2013, 2012, and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2013, 2012, and 2011</w:t>
            </w:r>
          </w:p>
        </w:tc>
        <w:tc>
          <w:tcPr>
            <w:tcW w:w="880" w:type="dxa"/>
            <w:vAlign w:val="bottom"/>
          </w:tcPr>
          <w:p>
            <w:pPr>
              <w:jc w:val="right"/>
              <w:spacing w:after="0"/>
              <w:rPr>
                <w:sz w:val="20"/>
                <w:szCs w:val="20"/>
                <w:color w:val="auto"/>
              </w:rPr>
            </w:pPr>
            <w:r>
              <w:rPr>
                <w:rFonts w:ascii="Arial" w:cs="Arial" w:eastAsia="Arial" w:hAnsi="Arial"/>
                <w:sz w:val="18"/>
                <w:szCs w:val="18"/>
                <w:color w:val="auto"/>
              </w:rPr>
              <w:t>F-7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 – F30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OIS Accommodations SpinCo Inc.</w:t>
            </w:r>
          </w:p>
        </w:tc>
        <w:tc>
          <w:tcPr>
            <w:tcW w:w="8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Balance Sheet as of December 31, 2013</w:t>
            </w:r>
          </w:p>
        </w:tc>
        <w:tc>
          <w:tcPr>
            <w:tcW w:w="880" w:type="dxa"/>
            <w:vAlign w:val="bottom"/>
          </w:tcPr>
          <w:p>
            <w:pPr>
              <w:jc w:val="right"/>
              <w:spacing w:after="0"/>
              <w:rPr>
                <w:sz w:val="20"/>
                <w:szCs w:val="20"/>
                <w:color w:val="auto"/>
              </w:rPr>
            </w:pPr>
            <w:r>
              <w:rPr>
                <w:rFonts w:ascii="Arial" w:cs="Arial" w:eastAsia="Arial" w:hAnsi="Arial"/>
                <w:sz w:val="18"/>
                <w:szCs w:val="18"/>
                <w:color w:val="auto"/>
              </w:rPr>
              <w:t>F-32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Statement of Changes in Stockholder’s Equity for the Period from October 8, 2013 (date of inception) to December 31, 2013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Statement of Cash Flows for the Period from October 8, 2013 (date of inception) to December 31, 2013</w:t>
            </w:r>
          </w:p>
        </w:tc>
        <w:tc>
          <w:tcPr>
            <w:tcW w:w="880" w:type="dxa"/>
            <w:vAlign w:val="bottom"/>
          </w:tcPr>
          <w:p>
            <w:pPr>
              <w:jc w:val="right"/>
              <w:spacing w:after="0"/>
              <w:rPr>
                <w:sz w:val="20"/>
                <w:szCs w:val="20"/>
                <w:color w:val="auto"/>
              </w:rPr>
            </w:pPr>
            <w:r>
              <w:rPr>
                <w:rFonts w:ascii="Arial" w:cs="Arial" w:eastAsia="Arial" w:hAnsi="Arial"/>
                <w:sz w:val="18"/>
                <w:szCs w:val="18"/>
                <w:color w:val="auto"/>
              </w:rPr>
              <w:t>F-34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F-35 – F-36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20" w:type="dxa"/>
            <w:vAlign w:val="bottom"/>
          </w:tcPr>
          <w:p>
            <w:pPr>
              <w:spacing w:after="0"/>
              <w:rPr>
                <w:sz w:val="24"/>
                <w:szCs w:val="24"/>
                <w:color w:val="auto"/>
              </w:rPr>
            </w:pPr>
          </w:p>
        </w:tc>
        <w:tc>
          <w:tcPr>
            <w:tcW w:w="10400" w:type="dxa"/>
            <w:vAlign w:val="bottom"/>
          </w:tcPr>
          <w:p>
            <w:pPr>
              <w:jc w:val="center"/>
              <w:ind w:left="690"/>
              <w:spacing w:after="0"/>
              <w:rPr>
                <w:sz w:val="20"/>
                <w:szCs w:val="20"/>
                <w:color w:val="auto"/>
              </w:rPr>
            </w:pPr>
            <w:r>
              <w:rPr>
                <w:rFonts w:ascii="Arial" w:cs="Arial" w:eastAsia="Arial" w:hAnsi="Arial"/>
                <w:sz w:val="18"/>
                <w:szCs w:val="18"/>
                <w:color w:val="auto"/>
                <w:w w:val="96"/>
              </w:rPr>
              <w:t>F-1</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10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10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09" w:name="page410"/>
    <w:bookmarkEnd w:id="409"/>
    <w:p>
      <w:pPr>
        <w:jc w:val="center"/>
        <w:ind w:right="-5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95" w:lineRule="exact"/>
        <w:rPr>
          <w:sz w:val="20"/>
          <w:szCs w:val="20"/>
          <w:color w:val="auto"/>
        </w:rPr>
      </w:pPr>
    </w:p>
    <w:p>
      <w:pPr>
        <w:ind w:right="2360" w:firstLine="2786"/>
        <w:spacing w:after="0" w:line="503"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Oil States International, Inc.:</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combined balance sheets of the Accommodations Business of Oil States International, Inc. (the “Accommodations Business”) as of December 31, 2013 and 2012, and the related combined statements of income, comprehensive income, changes in net investment, and cash flows for each of the three years in the period ended December 31, 2013. These financial statements are the responsibility of Oil States International, Inc.’s management. Our responsibility is to express an opinion on these financial statements based on our audits.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combined financial position of the Accommodations Business of Oil States International, Inc. at December 31, 2013 and 2012, and the combined results of its operations and its cash flows for each of the three years in the period ended December 31, 2013, in conformity with U.S. generally accepted accounting principles.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1" w:right="33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8040" w:type="dxa"/>
            <w:vAlign w:val="bottom"/>
            <w:gridSpan w:val="4"/>
          </w:tcPr>
          <w:p>
            <w:pPr>
              <w:ind w:left="4180"/>
              <w:spacing w:after="0"/>
              <w:rPr>
                <w:sz w:val="20"/>
                <w:szCs w:val="20"/>
                <w:color w:val="auto"/>
              </w:rPr>
            </w:pPr>
            <w:r>
              <w:rPr>
                <w:rFonts w:ascii="Arial" w:cs="Arial" w:eastAsia="Arial" w:hAnsi="Arial"/>
                <w:sz w:val="18"/>
                <w:szCs w:val="18"/>
                <w:b w:val="1"/>
                <w:bCs w:val="1"/>
                <w:color w:val="auto"/>
              </w:rPr>
              <w:t>COMBINED STATEMENTS OF INCOME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jc w:val="center"/>
              <w:ind w:left="493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1,016,769</w:t>
            </w:r>
          </w:p>
        </w:tc>
        <w:tc>
          <w:tcPr>
            <w:tcW w:w="16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1,069,439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848,786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1,108,875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517,746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444,138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(income)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352,929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(84,266)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181,876</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244,721</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11" w:name="page412"/>
    <w:bookmarkEnd w:id="411"/>
    <w:p>
      <w:pPr>
        <w:jc w:val="center"/>
        <w:ind w:right="80"/>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183,312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245,942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(167,712)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 attributable to Accommodations Business of Oil States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261,623</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171,742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International, Inc.</w:t>
            </w:r>
          </w:p>
        </w:tc>
        <w:tc>
          <w:tcPr>
            <w:tcW w:w="3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F-4</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12" w:name="page413"/>
    <w:bookmarkEnd w:id="4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420" w:type="dxa"/>
            <w:vAlign w:val="bottom"/>
          </w:tcPr>
          <w:p>
            <w:pPr>
              <w:spacing w:after="0"/>
              <w:rPr>
                <w:sz w:val="24"/>
                <w:szCs w:val="24"/>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COMBINED BALANCE SHEETS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5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5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208,581</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1,325,867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1,317,532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295,132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75,675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97,569</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25,725</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8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45,376</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capitalized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18,530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1,302,664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Oil States International, Inc. net investment</w:t>
            </w: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1,591,034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1,410,397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type w:val="continuous"/>
        </w:sectPr>
      </w:pPr>
    </w:p>
    <w:bookmarkStart w:id="413" w:name="page414"/>
    <w:bookmarkEnd w:id="4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8800" w:type="dxa"/>
            <w:vAlign w:val="bottom"/>
            <w:gridSpan w:val="11"/>
          </w:tcPr>
          <w:p>
            <w:pPr>
              <w:jc w:val="center"/>
              <w:ind w:left="2490"/>
              <w:spacing w:after="0"/>
              <w:rPr>
                <w:sz w:val="20"/>
                <w:szCs w:val="20"/>
                <w:color w:val="auto"/>
              </w:rPr>
            </w:pPr>
            <w:r>
              <w:rPr>
                <w:rFonts w:ascii="Arial" w:cs="Arial" w:eastAsia="Arial" w:hAnsi="Arial"/>
                <w:sz w:val="18"/>
                <w:szCs w:val="18"/>
                <w:b w:val="1"/>
                <w:bCs w:val="1"/>
                <w:color w:val="auto"/>
              </w:rPr>
              <w:t>COMBINED STATEMENT OF CHANGES IN NET INVESTMENT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Total Oil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Oil States Net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States Net</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959,823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168,505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Oil States International, Inc.</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Balance, December 31, 2011</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1,031,375</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90,814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1,122,189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26,568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1,302,664</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1,410,397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181,876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181,876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1,651,013</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(59,979)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1,591,034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1,592,745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left="450"/>
              <w:spacing w:after="0"/>
              <w:rPr>
                <w:sz w:val="20"/>
                <w:szCs w:val="20"/>
                <w:color w:val="auto"/>
              </w:rPr>
            </w:pPr>
            <w:r>
              <w:rPr>
                <w:rFonts w:ascii="Arial" w:cs="Arial" w:eastAsia="Arial" w:hAnsi="Arial"/>
                <w:sz w:val="18"/>
                <w:szCs w:val="18"/>
                <w:color w:val="auto"/>
                <w:w w:val="96"/>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14" w:name="page415"/>
    <w:bookmarkEnd w:id="4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40" w:type="dxa"/>
            <w:vAlign w:val="bottom"/>
            <w:gridSpan w:val="8"/>
          </w:tcPr>
          <w:p>
            <w:pPr>
              <w:jc w:val="center"/>
              <w:ind w:left="155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40" w:type="dxa"/>
            <w:vAlign w:val="bottom"/>
            <w:gridSpan w:val="4"/>
          </w:tcPr>
          <w:p>
            <w:pPr>
              <w:jc w:val="center"/>
              <w:ind w:left="3270"/>
              <w:spacing w:after="0"/>
              <w:rPr>
                <w:sz w:val="20"/>
                <w:szCs w:val="20"/>
                <w:color w:val="auto"/>
              </w:rPr>
            </w:pPr>
            <w:r>
              <w:rPr>
                <w:rFonts w:ascii="Arial" w:cs="Arial" w:eastAsia="Arial" w:hAnsi="Arial"/>
                <w:sz w:val="18"/>
                <w:szCs w:val="18"/>
                <w:b w:val="1"/>
                <w:bCs w:val="1"/>
                <w:color w:val="auto"/>
                <w:w w:val="99"/>
              </w:rPr>
              <w:t>COMBINED STATEMENTS OF CASH FLOWS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ind w:left="512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183,312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245,942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on disposals of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(291,694)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(314,047)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 repayments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Borrowings of long-term debt from Oil States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(distributions to) Oil States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Debt and capital lease repayments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80"/>
              <w:spacing w:after="0"/>
              <w:rPr>
                <w:sz w:val="20"/>
                <w:szCs w:val="20"/>
                <w:color w:val="auto"/>
              </w:rPr>
            </w:pPr>
            <w:r>
              <w:rPr>
                <w:rFonts w:ascii="Arial" w:cs="Arial" w:eastAsia="Arial" w:hAnsi="Arial"/>
                <w:sz w:val="18"/>
                <w:szCs w:val="18"/>
                <w:color w:val="auto"/>
              </w:rPr>
              <w:t>Net cash flows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20" w:type="dxa"/>
            <w:vAlign w:val="bottom"/>
          </w:tcPr>
          <w:p>
            <w:pPr>
              <w:spacing w:after="0"/>
              <w:rPr>
                <w:sz w:val="24"/>
                <w:szCs w:val="24"/>
                <w:color w:val="auto"/>
              </w:rPr>
            </w:pPr>
          </w:p>
        </w:tc>
        <w:tc>
          <w:tcPr>
            <w:tcW w:w="6380" w:type="dxa"/>
            <w:vAlign w:val="bottom"/>
            <w:tcBorders>
              <w:top w:val="single" w:sz="8" w:color="CCEEFF"/>
            </w:tcBorders>
          </w:tcPr>
          <w:p>
            <w:pPr>
              <w:jc w:val="center"/>
              <w:ind w:left="4910"/>
              <w:spacing w:after="0"/>
              <w:rPr>
                <w:sz w:val="20"/>
                <w:szCs w:val="20"/>
                <w:color w:val="auto"/>
              </w:rPr>
            </w:pPr>
            <w:r>
              <w:rPr>
                <w:rFonts w:ascii="Arial" w:cs="Arial" w:eastAsia="Arial" w:hAnsi="Arial"/>
                <w:sz w:val="18"/>
                <w:szCs w:val="18"/>
                <w:color w:val="auto"/>
                <w:w w:val="96"/>
              </w:rPr>
              <w:t>F-7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1" w:right="199" w:bottom="1440" w:gutter="0" w:footer="0" w:header="0"/>
        </w:sectPr>
      </w:pPr>
    </w:p>
    <w:bookmarkStart w:id="415" w:name="page416"/>
    <w:bookmarkEnd w:id="415"/>
    <w:p>
      <w:pPr>
        <w:jc w:val="center"/>
        <w:ind w:right="-3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9" w:lineRule="exact"/>
        <w:rPr>
          <w:sz w:val="20"/>
          <w:szCs w:val="20"/>
          <w:color w:val="auto"/>
        </w:rPr>
      </w:pPr>
    </w:p>
    <w:p>
      <w:pPr>
        <w:ind w:left="360" w:hanging="352"/>
        <w:spacing w:after="0"/>
        <w:tabs>
          <w:tab w:leader="none" w:pos="3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Spin-off,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16" w:name="page417"/>
    <w:bookmarkEnd w:id="416"/>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these subsidiaries.</w:t>
      </w:r>
    </w:p>
    <w:p>
      <w:pPr>
        <w:spacing w:after="0" w:line="207" w:lineRule="exact"/>
        <w:rPr>
          <w:sz w:val="20"/>
          <w:szCs w:val="20"/>
          <w:color w:val="auto"/>
        </w:rPr>
      </w:pPr>
    </w:p>
    <w:p>
      <w:pPr>
        <w:ind w:left="360" w:hanging="352"/>
        <w:spacing w:after="0"/>
        <w:tabs>
          <w:tab w:leader="none" w:pos="3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Accommodations considers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tcPr>
          <w:p>
            <w:pPr>
              <w:spacing w:after="0"/>
              <w:rPr>
                <w:sz w:val="20"/>
                <w:szCs w:val="20"/>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2012</w:t>
            </w:r>
          </w:p>
        </w:tc>
      </w:tr>
      <w:tr>
        <w:trPr>
          <w:trHeight w:val="191"/>
        </w:trPr>
        <w:tc>
          <w:tcPr>
            <w:tcW w:w="5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Carrying</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7"/>
              </w:rPr>
              <w:t>Carrying</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 to affiliates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335,171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380,296</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17" w:name="page418"/>
    <w:bookmarkEnd w:id="417"/>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2013 and 2012, $6.1 million and $5.5 million, respectively, of ARO was included in the Balance Sheet in “Other noncurrent liabilities.” The ARO liability reflects the estimated present value of the amount of asset removal and site reclamation costs related to the retirement of Accommodations’ assets. Total expense related to the ARO was $0.3 million in 2013 and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represents the excess of the purchase price paid for acquired businesses over the allocated fair value of the related net assets after impairments, if applicable.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Current accounting standards also give us the option to bypass the qualitative assessment for any reporting unit in any period and proceed directly to performing the first step of the two-step goodwill impairment test. In 2013,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the reporting unit exceeds its fair value, goodwill is considered impaired, and a second step is performed to determine the amount of impairment, if any. We conduct our annual impairment test as of December of each year. In 2011, 2012 and 2013, our goodwill impairment tests indicated that the fair value of each of our reporting units is greater than its carrying amount.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8" w:name="page419"/>
    <w:bookmarkEnd w:id="41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2013, 2012, and 2011, $0.8 million, $3.5 million and $5.1 million were capitalized,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rates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reasonably assured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19" w:name="page420"/>
    <w:bookmarkEnd w:id="41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20" w:name="page421"/>
    <w:bookmarkEnd w:id="42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2013 and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2013 - $12,135).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$23,820 in 2013 as set out in the Canadian Tax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1" w:name="page422"/>
    <w:bookmarkEnd w:id="421"/>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$0.2 million and less than $0.1 million at December 31, 2013 and 2012, respectively.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2013, the maximum potential amount of future payments that Accommodations could be required to make under these guarantee agreements (letters of credit) was approximately $4.9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200" w:firstLine="243"/>
        <w:spacing w:after="0" w:line="259" w:lineRule="auto"/>
        <w:rPr>
          <w:sz w:val="20"/>
          <w:szCs w:val="20"/>
          <w:color w:val="auto"/>
        </w:rPr>
      </w:pPr>
      <w:r>
        <w:rPr>
          <w:rFonts w:ascii="Arial" w:cs="Arial" w:eastAsia="Arial" w:hAnsi="Arial"/>
          <w:sz w:val="18"/>
          <w:szCs w:val="18"/>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2013 through March 18, 2014, the date these combined financial statements were issued.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2" w:name="page423"/>
    <w:bookmarkEnd w:id="422"/>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360" w:hanging="352"/>
        <w:spacing w:after="0"/>
        <w:tabs>
          <w:tab w:leader="none" w:pos="3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selected combined balance sheet accounts at December 31, 2013 and 2012 is presented below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Trade</w:t>
            </w:r>
          </w:p>
        </w:tc>
        <w:tc>
          <w:tcPr>
            <w:tcW w:w="3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128,781</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580" w:right="199" w:bottom="1440" w:gutter="0" w:footer="0" w:header="0"/>
        </w:sectPr>
      </w:pPr>
    </w:p>
    <w:p>
      <w:pPr>
        <w:spacing w:after="0"/>
        <w:rPr>
          <w:sz w:val="20"/>
          <w:szCs w:val="20"/>
          <w:color w:val="auto"/>
        </w:rPr>
      </w:pPr>
      <w:r>
        <w:rPr>
          <w:rFonts w:ascii="Arial" w:cs="Arial" w:eastAsia="Arial" w:hAnsi="Arial"/>
          <w:sz w:val="18"/>
          <w:szCs w:val="18"/>
          <w:b w:val="1"/>
          <w:bCs w:val="1"/>
          <w:color w:val="auto"/>
        </w:rPr>
        <w:t>Inventories: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Finished goods and purchased products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Raw materials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4,558</w:t>
            </w:r>
          </w:p>
        </w:tc>
      </w:t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7,150</w:t>
            </w:r>
          </w:p>
        </w:tc>
      </w:tr>
      <w:tr>
        <w:trPr>
          <w:trHeight w:val="230"/>
        </w:trPr>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7,946</w:t>
            </w:r>
          </w:p>
        </w:tc>
      </w:tr>
      <w:tr>
        <w:trPr>
          <w:trHeight w:val="210"/>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19,654</w:t>
            </w:r>
          </w:p>
        </w:tc>
        <w:tc>
          <w:tcPr>
            <w:tcW w:w="2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2680" w:type="dxa"/>
            <w:vAlign w:val="bottom"/>
            <w:gridSpan w:val="3"/>
          </w:tcPr>
          <w:p>
            <w:pPr>
              <w:ind w:left="700"/>
              <w:spacing w:after="0"/>
              <w:rPr>
                <w:sz w:val="20"/>
                <w:szCs w:val="20"/>
                <w:color w:val="auto"/>
              </w:rPr>
            </w:pPr>
            <w:r>
              <w:rPr>
                <w:rFonts w:ascii="Arial" w:cs="Arial" w:eastAsia="Arial" w:hAnsi="Arial"/>
                <w:sz w:val="18"/>
                <w:szCs w:val="18"/>
                <w:b w:val="1"/>
                <w:bCs w:val="1"/>
                <w:color w:val="auto"/>
              </w:rPr>
              <w:t>Estimated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22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Useful Life</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-1139825</wp:posOffset>
            </wp:positionV>
            <wp:extent cx="7246620" cy="1371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-865505</wp:posOffset>
            </wp:positionV>
            <wp:extent cx="7246620" cy="1371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-582295</wp:posOffset>
            </wp:positionV>
            <wp:extent cx="7246620" cy="163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680"/>
          </w:cols>
          <w:pgMar w:left="240" w:top="58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Land</w:t>
            </w:r>
          </w:p>
        </w:tc>
        <w:tc>
          <w:tcPr>
            <w:tcW w:w="42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49,384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assets</w:t>
            </w:r>
          </w:p>
        </w:tc>
        <w:tc>
          <w:tcPr>
            <w:tcW w:w="42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3-15 years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1,481,830</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Buildings and leasehold improvements</w:t>
            </w:r>
          </w:p>
        </w:tc>
        <w:tc>
          <w:tcPr>
            <w:tcW w:w="4280" w:type="dxa"/>
            <w:vAlign w:val="bottom"/>
            <w:gridSpan w:val="2"/>
          </w:tcPr>
          <w:p>
            <w:pPr>
              <w:jc w:val="center"/>
              <w:ind w:left="870"/>
              <w:spacing w:after="0"/>
              <w:rPr>
                <w:sz w:val="20"/>
                <w:szCs w:val="20"/>
                <w:color w:val="auto"/>
              </w:rPr>
            </w:pPr>
            <w:r>
              <w:rPr>
                <w:rFonts w:ascii="Arial" w:cs="Arial" w:eastAsia="Arial" w:hAnsi="Arial"/>
                <w:sz w:val="18"/>
                <w:szCs w:val="18"/>
                <w:color w:val="auto"/>
                <w:w w:val="89"/>
              </w:rPr>
              <w:t>3-20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45,538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4280" w:type="dxa"/>
            <w:vAlign w:val="bottom"/>
            <w:gridSpan w:val="2"/>
            <w:shd w:val="clear" w:color="auto" w:fill="CCEEFF"/>
          </w:tcPr>
          <w:p>
            <w:pPr>
              <w:jc w:val="center"/>
              <w:ind w:left="870"/>
              <w:spacing w:after="0"/>
              <w:rPr>
                <w:sz w:val="20"/>
                <w:szCs w:val="20"/>
                <w:color w:val="auto"/>
              </w:rPr>
            </w:pPr>
            <w:r>
              <w:rPr>
                <w:rFonts w:ascii="Arial" w:cs="Arial" w:eastAsia="Arial" w:hAnsi="Arial"/>
                <w:sz w:val="18"/>
                <w:szCs w:val="18"/>
                <w:color w:val="auto"/>
                <w:w w:val="89"/>
              </w:rPr>
              <w:t>4-15 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4280" w:type="dxa"/>
            <w:vAlign w:val="bottom"/>
            <w:gridSpan w:val="2"/>
          </w:tcPr>
          <w:p>
            <w:pPr>
              <w:jc w:val="center"/>
              <w:ind w:left="850"/>
              <w:spacing w:after="0"/>
              <w:rPr>
                <w:sz w:val="20"/>
                <w:szCs w:val="20"/>
                <w:color w:val="auto"/>
              </w:rPr>
            </w:pPr>
            <w:r>
              <w:rPr>
                <w:rFonts w:ascii="Arial" w:cs="Arial" w:eastAsia="Arial" w:hAnsi="Arial"/>
                <w:sz w:val="18"/>
                <w:szCs w:val="18"/>
                <w:color w:val="auto"/>
                <w:w w:val="87"/>
              </w:rPr>
              <w:t>3-7 years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28,755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428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7"/>
              </w:rPr>
              <w:t>3-5 years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plant and equipment</w:t>
            </w:r>
          </w:p>
        </w:tc>
        <w:tc>
          <w:tcPr>
            <w:tcW w:w="38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(495,260)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(413,571)</w:t>
            </w: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1,325,867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4280" w:type="dxa"/>
            <w:vAlign w:val="bottom"/>
          </w:tcPr>
          <w:p>
            <w:pPr>
              <w:spacing w:after="0"/>
              <w:rPr>
                <w:sz w:val="24"/>
                <w:szCs w:val="24"/>
                <w:color w:val="auto"/>
              </w:rPr>
            </w:pPr>
          </w:p>
        </w:tc>
        <w:tc>
          <w:tcPr>
            <w:tcW w:w="4280" w:type="dxa"/>
            <w:vAlign w:val="bottom"/>
            <w:gridSpan w:val="2"/>
          </w:tcPr>
          <w:p>
            <w:pPr>
              <w:jc w:val="right"/>
              <w:ind w:right="2590"/>
              <w:spacing w:after="0"/>
              <w:rPr>
                <w:sz w:val="20"/>
                <w:szCs w:val="20"/>
                <w:color w:val="auto"/>
              </w:rPr>
            </w:pPr>
            <w:r>
              <w:rPr>
                <w:rFonts w:ascii="Arial" w:cs="Arial" w:eastAsia="Arial" w:hAnsi="Arial"/>
                <w:sz w:val="18"/>
                <w:szCs w:val="18"/>
                <w:color w:val="auto"/>
              </w:rPr>
              <w:t>F-15</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8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type w:val="continuous"/>
        </w:sectPr>
      </w:pPr>
    </w:p>
    <w:bookmarkStart w:id="423" w:name="page424"/>
    <w:bookmarkEnd w:id="42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21,988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26,891</w:t>
            </w:r>
          </w:p>
        </w:tc>
      </w:tr>
      <w:tr>
        <w:trPr>
          <w:trHeight w:val="216"/>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taxes, other than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22,436</w:t>
            </w:r>
          </w:p>
        </w:tc>
      </w:tr>
      <w:tr>
        <w:trPr>
          <w:trHeight w:val="21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26,874</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r>
      <w:tr>
        <w:trPr>
          <w:trHeight w:val="20"/>
        </w:trPr>
        <w:tc>
          <w:tcPr>
            <w:tcW w:w="8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$157.0 million, $128.2 million and $99.9 million for the years ended December 31, 2013, 2012 and 2011, respectively.</w:t>
      </w:r>
    </w:p>
    <w:p>
      <w:pPr>
        <w:spacing w:after="0" w:line="233" w:lineRule="exact"/>
        <w:rPr>
          <w:sz w:val="20"/>
          <w:szCs w:val="20"/>
          <w:color w:val="auto"/>
        </w:rPr>
      </w:pPr>
    </w:p>
    <w:p>
      <w:pPr>
        <w:ind w:left="360" w:hanging="352"/>
        <w:spacing w:after="0"/>
        <w:tabs>
          <w:tab w:leader="none" w:pos="36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177" w:lineRule="exact"/>
        <w:rPr>
          <w:sz w:val="20"/>
          <w:szCs w:val="20"/>
          <w:color w:val="auto"/>
        </w:rPr>
      </w:pPr>
    </w:p>
    <w:p>
      <w:pPr>
        <w:ind w:left="360" w:hanging="352"/>
        <w:spacing w:after="0"/>
        <w:tabs>
          <w:tab w:leader="none" w:pos="3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Supplemental Combined Cash Flow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November 1, 2011, we purchased an open camp accommodations facility located in Carrizo Springs, Texas for total consideration of $2.2 million. The fair value of assets acquired including intangibles was $2.2 million. This facility provides accommodations support to customers working in the Eagle Ford Shale oil and gas basin in Texas. The operations of the Carrizo Springs facility have been included in our U.S. segment since the acquisition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4" w:name="page425"/>
    <w:bookmarkEnd w:id="42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Combined Cash Flow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2013, 2012 and 2011 for interest and income taxes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43,610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23,239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65,875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42,138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through lease incentives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Mountain West Contingent Consideration</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20, 2010, we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 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 The earn out provision of the Mountain West acquisition expired in 2013.</w:t>
      </w:r>
    </w:p>
    <w:p>
      <w:pPr>
        <w:spacing w:after="0" w:line="169" w:lineRule="exact"/>
        <w:rPr>
          <w:sz w:val="20"/>
          <w:szCs w:val="20"/>
          <w:color w:val="auto"/>
        </w:rPr>
      </w:pPr>
    </w:p>
    <w:p>
      <w:pPr>
        <w:ind w:left="360" w:hanging="352"/>
        <w:spacing w:after="0"/>
        <w:tabs>
          <w:tab w:leader="none" w:pos="3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2013 and 2012.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 As of December 31, 2013, no provision for impairment of goodwill was required.</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2013, no provision for impairment of other intangible assets was required.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25" w:name="page426"/>
    <w:bookmarkEnd w:id="425"/>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8"/>
          </w:tcPr>
          <w:p>
            <w:pPr>
              <w:spacing w:after="0"/>
              <w:rPr>
                <w:sz w:val="20"/>
                <w:szCs w:val="20"/>
                <w:color w:val="auto"/>
              </w:rPr>
            </w:pPr>
            <w:r>
              <w:rPr>
                <w:rFonts w:ascii="Arial" w:cs="Arial" w:eastAsia="Arial" w:hAnsi="Arial"/>
                <w:sz w:val="18"/>
                <w:szCs w:val="18"/>
                <w:color w:val="auto"/>
                <w:w w:val="91"/>
              </w:rPr>
              <w:t>Changes in the carrying amount of goodwill for the years ended December 31, 2013 and 2012 are as follows (in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Canadian</w:t>
            </w: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Australian</w:t>
            </w:r>
          </w:p>
        </w:tc>
        <w:tc>
          <w:tcPr>
            <w:tcW w:w="26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223,805</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291,322</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226,906</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295,132</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(31,967)</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(34,076)</w:t>
            </w:r>
          </w:p>
        </w:tc>
      </w:tr>
      <w:tr>
        <w:trPr>
          <w:trHeight w:val="25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amount of intangibles assigned and the total accumulated amortization for major intangible asset classes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9"/>
              </w:rPr>
              <w:t>As of December 31,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8"/>
                <w:szCs w:val="18"/>
                <w:b w:val="1"/>
                <w:bCs w:val="1"/>
                <w:color w:val="auto"/>
              </w:rPr>
              <w:t>2012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Amortizable intangible assets: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Customer relationships</w:t>
            </w:r>
          </w:p>
        </w:tc>
        <w:tc>
          <w:tcPr>
            <w:tcW w:w="3040" w:type="dxa"/>
            <w:vAlign w:val="bottom"/>
            <w:tcBorders>
              <w:top w:val="single" w:sz="8" w:color="CCEEFF"/>
            </w:tcBorders>
            <w:gridSpan w:val="2"/>
          </w:tcPr>
          <w:p>
            <w:pPr>
              <w:spacing w:after="0"/>
              <w:rPr>
                <w:sz w:val="18"/>
                <w:szCs w:val="18"/>
                <w:color w:val="auto"/>
              </w:rPr>
            </w:pP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50,980</w:t>
            </w:r>
          </w:p>
        </w:tc>
        <w:tc>
          <w:tcPr>
            <w:tcW w:w="400" w:type="dxa"/>
            <w:vAlign w:val="bottom"/>
            <w:tcBorders>
              <w:top w:val="single" w:sz="8" w:color="CCEEFF"/>
            </w:tcBorders>
            <w:gridSpan w:val="2"/>
          </w:tcPr>
          <w:p>
            <w:pPr>
              <w:jc w:val="right"/>
              <w:ind w:right="11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14,875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57,494</w:t>
            </w:r>
          </w:p>
        </w:tc>
        <w:tc>
          <w:tcPr>
            <w:tcW w:w="480" w:type="dxa"/>
            <w:vAlign w:val="bottom"/>
            <w:tcBorders>
              <w:top w:val="single" w:sz="8" w:color="CCEEFF"/>
            </w:tcBorders>
            <w:gridSpan w:val="2"/>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Contracts/Agreements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Noncompete agreements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amortizable intangible assets</w:t>
            </w: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Indefinite-lived intangible assets not subject to amortization:</w:t>
            </w:r>
          </w:p>
        </w:tc>
        <w:tc>
          <w:tcPr>
            <w:tcW w:w="8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Brand names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Total other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weighted average remaining amortization period for all intangible assets, other than goodwill and indefinite- lived intangibles, was 6.3 years as of December 31, 2013 and 7.3 years as of December 31, 2012. Total amortization expense is expected to be $9.5 million in each of 2014 and 2015, $9.4 million in 2016 and $9.3 million in each of 2017 and 2018. Amortization expense was $10.2 million, $10.9 million and $10.8 million in the years ended December 31, 2013, 2012 and 2011,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6" w:name="page427"/>
    <w:bookmarkEnd w:id="426"/>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gridSpan w:val="3"/>
          </w:tcPr>
          <w:p>
            <w:pPr>
              <w:spacing w:after="0"/>
              <w:rPr>
                <w:sz w:val="20"/>
                <w:szCs w:val="20"/>
                <w:color w:val="auto"/>
              </w:rPr>
            </w:pPr>
            <w:r>
              <w:rPr>
                <w:rFonts w:ascii="Arial" w:cs="Arial" w:eastAsia="Arial" w:hAnsi="Arial"/>
                <w:sz w:val="18"/>
                <w:szCs w:val="18"/>
                <w:color w:val="auto"/>
              </w:rPr>
              <w:t>As of December 31, 2013 and 2012, long-term debt consisted of the following (in thousands):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December 10, 2015, with available commitments up to</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$250 million; secured by substantially all of Oil States’ and our U.S. and Canadian assets; commitment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fee on unused portion was 0.375% per annum in 2013 and 2012; variable interest rate payable monthly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based on the Canadian prime rate or Bankers Acceptance discount rate plus applicable percentage; no</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borrowings were outstanding during 2013; weighted average rate was 4.3% for 2012</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Canadian term loan, which was repaid in full in 2013, original principal of $100 million; weighted average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 was 3.3% for 2013 and 3.4% for 2012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Australian revolving credit facility, which matures December 10, 2015, with available commitments up to</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A$300 million; secured by substantially all of our Australian assets; commitment fee on unused portion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was 0.375% per annum in 2013 and 2012; variable interest rate payable monthly based on the Australian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prime rate plus applicable percentage; weighted average rate was 5.1% for 2013 and 5.4% for 2012</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335,171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960" w:type="dxa"/>
            <w:vAlign w:val="bottom"/>
            <w:gridSpan w:val="3"/>
          </w:tcPr>
          <w:p>
            <w:pPr>
              <w:spacing w:after="0"/>
              <w:rPr>
                <w:sz w:val="20"/>
                <w:szCs w:val="20"/>
                <w:color w:val="auto"/>
              </w:rPr>
            </w:pPr>
            <w:r>
              <w:rPr>
                <w:rFonts w:ascii="Arial" w:cs="Arial" w:eastAsia="Arial" w:hAnsi="Arial"/>
                <w:sz w:val="18"/>
                <w:szCs w:val="18"/>
                <w:color w:val="auto"/>
                <w:w w:val="94"/>
              </w:rPr>
              <w:t>Scheduled maturities of combined long-term debt as of December 31, 2013, are as follows (in thousands):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gridSpan w:val="2"/>
            <w:vMerge w:val="restart"/>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7" w:name="page428"/>
    <w:bookmarkEnd w:id="427"/>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2013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179" w:lineRule="exact"/>
        <w:rPr>
          <w:sz w:val="20"/>
          <w:szCs w:val="20"/>
          <w:color w:val="auto"/>
        </w:rPr>
      </w:pPr>
    </w:p>
    <w:p>
      <w:pPr>
        <w:ind w:left="340" w:right="60" w:hanging="332"/>
        <w:spacing w:after="0" w:line="277" w:lineRule="auto"/>
        <w:tabs>
          <w:tab w:leader="none" w:pos="3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variable rate equal to LIBOR (or, in the case of Canadian dollar denominated loans, the Bankers’ Acceptance discount rate) plus a margin ranging from 2.0% to 3.0%; or</w:t>
      </w:r>
    </w:p>
    <w:p>
      <w:pPr>
        <w:spacing w:after="0" w:line="170"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 alternate base rate equal to the higher of the bank’s prime rate and the federal funds effective rate (or, in the case of Canadian dollar denominated loans, the Canadian Prime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ranging from 0.375% to 0.50% per year are paid on the undrawn portion of the facilities, depending upon our leverage ratio.</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Oil States Credit Agreement contains customary financial covenants and restrictions applicable to Oil States. As of December 31, 2013,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2013, we had no outstanding balance under these facilities and an additional $4.9 million of outstanding letters of credit, leaving $249.1 million available to be drawn under the facilities by Accommodations.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September 18, 2012, Accommodations’ Australian accommodations subsidiary, The MAC Services Group Pty Limited (The MAC), entered into a A$300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2013, we were in compliance with our Australian debt covenants. As of December 31, 2013, we had no outstanding balance under the Australian credit facility leaving A$300 million available to be drawn under this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8" w:name="page429"/>
    <w:bookmarkEnd w:id="428"/>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360" w:hanging="352"/>
        <w:spacing w:after="0"/>
        <w:tabs>
          <w:tab w:leader="none" w:pos="36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Accommodations sponsors defined contribution plans. Participation in these plans is available to substantially all employees. Accommodations recognized expense of $18.6 million, $17.0 million and $11.5 million, respectively, related to matching contributions under its various defined contribution plans during the years ended December 31, 2013, 2012 and 2011, respectively.</w:t>
      </w:r>
    </w:p>
    <w:p>
      <w:pPr>
        <w:spacing w:after="0" w:line="177" w:lineRule="exact"/>
        <w:rPr>
          <w:sz w:val="20"/>
          <w:szCs w:val="20"/>
          <w:color w:val="auto"/>
        </w:rPr>
      </w:pPr>
    </w:p>
    <w:p>
      <w:pPr>
        <w:ind w:left="460" w:hanging="452"/>
        <w:spacing w:after="0"/>
        <w:tabs>
          <w:tab w:leader="none" w:pos="46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13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 operations</w:t>
            </w:r>
          </w:p>
        </w:tc>
        <w:tc>
          <w:tcPr>
            <w:tcW w:w="1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241,422</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300,314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206,971</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239,368</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330,208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for the years ended December 31, 2013, 2012 and 2011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(7,525)</w:t>
            </w: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51,962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61,261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44,448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70,454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Deferred:</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11,607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Total Provision</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56,055</w:t>
            </w:r>
          </w:p>
        </w:tc>
        <w:tc>
          <w:tcPr>
            <w:tcW w:w="120" w:type="dxa"/>
            <w:vAlign w:val="bottom"/>
          </w:tcPr>
          <w:p>
            <w:pPr>
              <w:spacing w:after="0"/>
              <w:rPr>
                <w:sz w:val="18"/>
                <w:szCs w:val="18"/>
                <w:color w:val="auto"/>
              </w:rPr>
            </w:pPr>
          </w:p>
        </w:tc>
        <w:tc>
          <w:tcPr>
            <w:tcW w:w="10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84,266</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provision for taxes differs from an amount computed at U.S. statutory rates as follows for the years ended December 31, 2013, 2010 and 2011 consisted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78,589</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9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(27,051)</w:t>
            </w:r>
          </w:p>
        </w:tc>
        <w:tc>
          <w:tcPr>
            <w:tcW w:w="9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(31,200)</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(26,403)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 tax expense, net of federal benefits</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deduction</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Uncertain tax positions adjustments, net</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Net income tax provision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56,056</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84,266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55,110</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56"/>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F-21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29" w:name="page430"/>
    <w:bookmarkEnd w:id="42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2013 and 2012 are as follows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inventory reserves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Deductible goodwill and other intangibles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Other reserves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3,342</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Deferred revenue $1,152</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5,251</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0"/>
        </w:trPr>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18,383</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14,990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(78,518)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(67,558)</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(6,686)</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(2,899)</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r>
      <w:tr>
        <w:trPr>
          <w:trHeight w:val="20"/>
        </w:trPr>
        <w:tc>
          <w:tcPr>
            <w:tcW w:w="63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(90,361)</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(79,131)</w:t>
            </w:r>
          </w:p>
        </w:tc>
      </w:tr>
      <w:tr>
        <w:trPr>
          <w:trHeight w:val="250"/>
        </w:trPr>
        <w:tc>
          <w:tcPr>
            <w:tcW w:w="6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liability</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of Accommodations’ deferred tax balance based on net current items and net non-current items as of December 31, 2013 and 2012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1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(72,284)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(64,486)</w:t>
            </w: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(71,978)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(64,141)</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primary deferred tax assets at December 31, 2013, were related to deductible goodwill and other intangibles.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tax provision for the year ended December 31, 2013 totaled $56.1 million, or 23.4% of pretax income, compared to $84.3 million, or 25.5% of pretax income, for the year ended December 31, 2012.</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The cumulative amount of undistributed earnings of foreign subsidiaries that Accommodations intends to permanently reinvest, and upon which foreign taxes have been accrued or paid but no deferred US income taxes have been provided is $1,027 million at December 31, 2013, the majority of which has been generated in Canada. Upon distribution of these earnings in the form of dividends or otherwise, Accommodations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Accommodations files tax returns in the jurisdictions in which they are required. All of these returns are subject to examination or audit and possible adjustment as a result of assessments by taxing authorities. Accommodations believes that it has recorded sufficient tax liabilities and does not expect the resolution of any examination or audit of its tax returns would have a material adverse effect on its operating results, financial condition or liquidity.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430" w:name="page431"/>
    <w:bookmarkEnd w:id="43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as of December 31, 2013 and 2012 were $0.7 million. The unrecognized tax benefits, if recognized, would affect the effective tax rate. Accommodations accrues interest and penalties related to unrecognized tax benefits as a component of the Company's provision for income taxes. As of December 31, 2013 and 2012, Accommodations had accrued $0.3 million and $0.3 million, respectively, of interest expense and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Balance as of January 1</w:t>
            </w:r>
            <w:r>
              <w:rPr>
                <w:rFonts w:ascii="Arial" w:cs="Arial" w:eastAsia="Arial" w:hAnsi="Arial"/>
                <w:sz w:val="24"/>
                <w:szCs w:val="24"/>
                <w:color w:val="auto"/>
                <w:vertAlign w:val="superscript"/>
              </w:rPr>
              <w:t>st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Lapse of the applicable statute of limitations</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Balance as of December 31</w:t>
            </w:r>
            <w:r>
              <w:rPr>
                <w:rFonts w:ascii="Arial" w:cs="Arial" w:eastAsia="Arial" w:hAnsi="Arial"/>
                <w:sz w:val="24"/>
                <w:szCs w:val="24"/>
                <w:color w:val="auto"/>
                <w:vertAlign w:val="superscript"/>
              </w:rPr>
              <w:t>st</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ind w:left="440" w:hanging="432"/>
        <w:spacing w:after="0"/>
        <w:tabs>
          <w:tab w:leader="none" w:pos="440"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Accommodations leases a portion of its equipment, office space, computer equipment, automobiles and trucks under leases which expire at various dates.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Minimum future operating lease obligations in effect at December 31, 2013, were as follows (in thousands):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58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Leases</w:t>
            </w:r>
          </w:p>
        </w:tc>
      </w:tr>
      <w:tr>
        <w:trPr>
          <w:trHeight w:val="210"/>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8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$7.1 million, $5.3 million and $5.1 million for the years ended December 31, 2013, 2012 and 2011, respectively.</w:t>
      </w:r>
    </w:p>
    <w:p>
      <w:pPr>
        <w:spacing w:after="0" w:line="2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1" w:name="page432"/>
    <w:bookmarkEnd w:id="431"/>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p>
      <w:pPr>
        <w:ind w:left="440" w:hanging="432"/>
        <w:spacing w:after="0"/>
        <w:tabs>
          <w:tab w:leader="none" w:pos="4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Accumulated other comprehensive income decreased from $107.7 million at December 31, 2012 to a loss of $60.0 million at December 31, 2013, a net change of $167.7 million, as a result of decreases in the Canadian and Australian dollar exchange rates compared to the U.S. dollar. The Canadian dollar was valued at an exchange rate of U.S. $0.94 at December 31, 2013 compared to U.S. $1.01 at December 31, 2012, a decrease of 6%. The Australian dollar was valued at an exchange rate of U.S. $0.89 at December 31, 2013 compared to U.S. $1.04 at December 31, 2012, a decrease of 14%. Excluding intercompany balances, our Canadian dollar and Australian dollar functional currency net assets total approximately C$574 million and A$957 million, respectively, at December 31, 2013.</w:t>
      </w:r>
    </w:p>
    <w:p>
      <w:pPr>
        <w:spacing w:after="0" w:line="189" w:lineRule="exact"/>
        <w:rPr>
          <w:sz w:val="20"/>
          <w:szCs w:val="20"/>
          <w:color w:val="auto"/>
        </w:rPr>
      </w:pPr>
    </w:p>
    <w:p>
      <w:pPr>
        <w:ind w:left="460" w:hanging="452"/>
        <w:spacing w:after="0"/>
        <w:tabs>
          <w:tab w:leader="none" w:pos="4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66"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Stock-based compensation pre-tax expense recognized by Accommodations in the years ended December 31, 2013, 2012 and 2011 totaled $6.4 million, $3.3 million and $2.3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2013, 2012 and 2011 was based on a formula considering the vesting period, term of the options awarded and past experience.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2" w:name="page433"/>
    <w:bookmarkEnd w:id="432"/>
    <w:p>
      <w:pPr>
        <w:jc w:val="center"/>
        <w:ind w:right="8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stock options outstanding and related information for Accommodations’ employees for each of the three years ended December 31, 2013, 2012 and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Price Per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(29,125)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80.68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80.25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68.55</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Options at December 31,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132,938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weighted average fair values of options granted to Accommodations’ employees during 2013, 2012 and 2011 were $28.31, $37.43 and $33.27 per share, respectively. All options awarded in 2013 had a term of ten years and were granted with exercise prices at the grant date closing market price. The total intrinsic value of options exercised by Accommodations’ employees during 2013, 2012 and 2011 were $8.2 million, $6.2 million and $3.2 million, respectively. Oil States received all cash from option exercises during 2013, 2012 and 2011. The tax benefits realized for the tax deduction from stock options exercised during 2013, 2012 and 2011 totaled $0.6 million, $0.2 million and $0.2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outstanding stock options of Accommodations’ employees at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Options Outstanding</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gridSpan w:val="6"/>
          </w:tcPr>
          <w:p>
            <w:pPr>
              <w:ind w:left="1020"/>
              <w:spacing w:after="0"/>
              <w:rPr>
                <w:sz w:val="20"/>
                <w:szCs w:val="20"/>
                <w:color w:val="auto"/>
              </w:rPr>
            </w:pPr>
            <w:r>
              <w:rPr>
                <w:rFonts w:ascii="Arial" w:cs="Arial" w:eastAsia="Arial" w:hAnsi="Arial"/>
                <w:sz w:val="18"/>
                <w:szCs w:val="18"/>
                <w:b w:val="1"/>
                <w:bCs w:val="1"/>
                <w:color w:val="auto"/>
              </w:rPr>
              <w:t>Options Exercisable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Average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Range of Exercise</w:t>
            </w:r>
          </w:p>
        </w:tc>
        <w:tc>
          <w:tcPr>
            <w:tcW w:w="3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Number Exercisable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 Exercise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12/31/2013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12/31/2013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176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$16.65 - $16.65</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16.65</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w w:val="88"/>
              </w:rPr>
              <w:t>$37.67 - $37.67</w:t>
            </w:r>
          </w:p>
        </w:tc>
        <w:tc>
          <w:tcPr>
            <w:tcW w:w="2040" w:type="dxa"/>
            <w:vAlign w:val="bottom"/>
            <w:gridSpan w:val="3"/>
          </w:tcPr>
          <w:p>
            <w:pPr>
              <w:jc w:val="right"/>
              <w:ind w:right="160"/>
              <w:spacing w:after="0"/>
              <w:rPr>
                <w:sz w:val="20"/>
                <w:szCs w:val="20"/>
                <w:color w:val="auto"/>
              </w:rPr>
            </w:pPr>
            <w:r>
              <w:rPr>
                <w:rFonts w:ascii="Arial" w:cs="Arial" w:eastAsia="Arial" w:hAnsi="Arial"/>
                <w:sz w:val="18"/>
                <w:szCs w:val="18"/>
                <w:color w:val="auto"/>
              </w:rPr>
              <w:t>51,000</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37.67</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25,375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$75.41 - $84.63</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36,624</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77.31</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w w:val="88"/>
              </w:rPr>
              <w:t>$16.65 - $84.63</w:t>
            </w:r>
          </w:p>
        </w:tc>
        <w:tc>
          <w:tcPr>
            <w:tcW w:w="3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117,624</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3.55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44.56</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58,625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6"/>
              </w:rPr>
              <w:t>F-25</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33" w:name="page434"/>
    <w:bookmarkEnd w:id="433"/>
    <w:p>
      <w:pPr>
        <w:jc w:val="center"/>
        <w:ind w:left="260" w:right="260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restricted stock awards and related information for Accommodations’ employees for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Grant Date Fair</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Per Share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January 1, 2013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26,200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84.63</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During 2013, Oil States granted restricted stock awards to Accommodations’ employees totaling 26,200 shares valued at a total of $2.1 million. All of the restricted stock awards granted to Accommodations’ employees vest in four equal annual installments beginning in February 2014. During 2013, Oil States also granted 70,500 units of phantom shares under the newly created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December 31, 2013, the balance of the liability for the phantom shares was $3.4 million. A total of 19,800 and 26,104 shares of restricted stock were awarded to Accommodations’ employees in 2012 and 2011, respectively, with aggregate values of $1.6 million and $2.0 million, respectively.</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 date fair value per share for restricted stock awards granted in 2013, 2012 and 2011 was $80.25, $81.35 and $74.81, respectively. The total fair value of restricted stock awards vested in 2013, 2012 and 2011 was $1.0, $0.8 million and $0.4 million, respectively. As of December 31, 2013, there was $4.2 million of total compensation cost related to nonvested stock awards not yet recognized, which is expected to be recognized over a weighted average period of 2.4 years.</w:t>
      </w:r>
    </w:p>
    <w:p>
      <w:pPr>
        <w:spacing w:after="0" w:line="183"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 our strategic focus on work force accommodations.</w:t>
      </w:r>
    </w:p>
    <w:p>
      <w:pPr>
        <w:spacing w:after="0" w:line="12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Financial information for our segment for each of the three years ended December 31, 2013, 2012 and 2011, is summarized in the following table in thousands. The accounting policies of the segment are the same as those described in the summary of significant accounting policies.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34" w:name="page435"/>
    <w:bookmarkEnd w:id="434"/>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Revenues from</w:t>
            </w:r>
          </w:p>
        </w:tc>
        <w:tc>
          <w:tcPr>
            <w:tcW w:w="2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unaffiliated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customers</w:t>
            </w:r>
          </w:p>
        </w:tc>
        <w:tc>
          <w:tcPr>
            <w:tcW w:w="2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710,538</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85,180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190,801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155,556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61,989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w w:val="97"/>
              </w:rPr>
              <w:t>Accommodations Business of Oil States International,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1,041,104</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167,213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259,456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291,694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2,127,050</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717,160</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Australian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276,214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99,213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and 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1,108,875</w:t>
            </w:r>
          </w:p>
        </w:tc>
        <w:tc>
          <w:tcPr>
            <w:tcW w:w="5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139,047</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352,929</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314,047</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2,128,895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48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2011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Canadian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579,857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54,281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162,323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173,194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U.S. and 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19,554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Stand-alone adjustments and eliminations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Pr>
          <w:p>
            <w:pPr>
              <w:ind w:left="480"/>
              <w:spacing w:after="0" w:line="195" w:lineRule="exact"/>
              <w:rPr>
                <w:sz w:val="20"/>
                <w:szCs w:val="20"/>
                <w:color w:val="auto"/>
              </w:rPr>
            </w:pPr>
            <w:r>
              <w:rPr>
                <w:rFonts w:ascii="Arial" w:cs="Arial" w:eastAsia="Arial" w:hAnsi="Arial"/>
                <w:sz w:val="18"/>
                <w:szCs w:val="18"/>
                <w:color w:val="auto"/>
                <w:w w:val="97"/>
              </w:rPr>
              <w:t>Accommodations Business of Oil States International,</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864,701</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110,708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242,159</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348,504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1,799,894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480"/>
              <w:spacing w:after="0" w:line="190" w:lineRule="exact"/>
              <w:rPr>
                <w:sz w:val="20"/>
                <w:szCs w:val="20"/>
                <w:color w:val="auto"/>
              </w:rPr>
            </w:pPr>
            <w:r>
              <w:rPr>
                <w:rFonts w:ascii="Arial" w:cs="Arial" w:eastAsia="Arial" w:hAnsi="Arial"/>
                <w:sz w:val="18"/>
                <w:szCs w:val="18"/>
                <w:color w:val="auto"/>
              </w:rPr>
              <w:t>Inc.</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2013, 2012 and 2011,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United States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Canada</w:t>
            </w:r>
          </w:p>
        </w:tc>
        <w:tc>
          <w:tcPr>
            <w:tcW w:w="1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Australia</w:t>
            </w: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and Other</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710,538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255,457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75,109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1,041,104</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664,466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198,594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1,673,705</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717,160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276,214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115,501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1,108,875</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634,616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932,155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158,729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1,725,500</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Revenues from unaffiliated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579,550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197,095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88,056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592,003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827,271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1,528,951</w:t>
            </w: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Imperial Oil accounted for more than 10% of Accommodations’ revenues in the years ended December 31, 2013, 2012 and 2011. BHP Billiton Mitsubishi Alliance accounted for more than 10% of Accommodations’ revenues in the years ended December 31, 2013 and 2011. Suncor Energy Oil Sands LP accounted for more than 10% of Accommodations’ revenues in the year ended December 31, 2011.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5" w:name="page436"/>
    <w:bookmarkEnd w:id="435"/>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w:t>
            </w: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Asset retirement obligations at December 31 were (in thousands):</w:t>
            </w: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7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Asset retirement obligations due within one year*</w:t>
            </w: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Classified as a current liability on the combined balance sheets, under the caption “Other accruals.”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6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2013 and 2012, our overall asset retirement obligation changed as follows (in thousands):</w:t>
      </w:r>
    </w:p>
    <w:p>
      <w:pPr>
        <w:spacing w:after="0" w:line="221" w:lineRule="exact"/>
        <w:rPr>
          <w:sz w:val="20"/>
          <w:szCs w:val="20"/>
          <w:color w:val="auto"/>
        </w:rPr>
      </w:pPr>
    </w:p>
    <w:p>
      <w:pPr>
        <w:ind w:left="8700"/>
        <w:spacing w:after="0"/>
        <w:tabs>
          <w:tab w:leader="none" w:pos="1038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17145</wp:posOffset>
            </wp:positionV>
            <wp:extent cx="202374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23" w:lineRule="exact"/>
        <w:rPr>
          <w:sz w:val="20"/>
          <w:szCs w:val="20"/>
          <w:color w:val="auto"/>
        </w:rPr>
      </w:pPr>
    </w:p>
    <w:p>
      <w:pPr>
        <w:spacing w:after="0"/>
        <w:tabs>
          <w:tab w:leader="none" w:pos="8100" w:val="left"/>
          <w:tab w:leader="none" w:pos="9200" w:val="left"/>
          <w:tab w:leader="none" w:pos="9820" w:val="left"/>
          <w:tab w:leader="none" w:pos="10880" w:val="left"/>
        </w:tabs>
        <w:rPr>
          <w:sz w:val="20"/>
          <w:szCs w:val="20"/>
          <w:color w:val="auto"/>
        </w:rPr>
      </w:pPr>
      <w:r>
        <w:rPr>
          <w:rFonts w:ascii="Arial" w:cs="Arial" w:eastAsia="Arial" w:hAnsi="Arial"/>
          <w:sz w:val="18"/>
          <w:szCs w:val="18"/>
          <w:color w:val="auto"/>
        </w:rPr>
        <w:t>Balance at January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5,518</w:t>
        <w:tab/>
        <w:t>$</w:t>
      </w:r>
      <w:r>
        <w:rPr>
          <w:sz w:val="20"/>
          <w:szCs w:val="20"/>
          <w:color w:val="auto"/>
        </w:rPr>
        <w:tab/>
      </w:r>
      <w:r>
        <w:rPr>
          <w:rFonts w:ascii="Arial" w:cs="Arial" w:eastAsia="Arial" w:hAnsi="Arial"/>
          <w:sz w:val="16"/>
          <w:szCs w:val="16"/>
          <w:color w:val="auto"/>
        </w:rPr>
        <w:t>4,615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Accretion of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estimates of existing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0"/>
        </w:trPr>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-994410</wp:posOffset>
            </wp:positionV>
            <wp:extent cx="7246620" cy="1371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80" w:right="239" w:bottom="1440" w:gutter="0" w:footer="0" w:header="0"/>
          <w:type w:val="continuous"/>
        </w:sectPr>
      </w:pPr>
    </w:p>
    <w:p>
      <w:pPr>
        <w:spacing w:after="0" w:line="214"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2013, 2012 and 2011, $130.2 million, $88.9 million and $41.0 million, respectively, of expenditures for services received from Oil States or funding for expenditures provided by Oil States were included in the combined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36" w:name="page437"/>
    <w:bookmarkEnd w:id="436"/>
    <w:p>
      <w:pPr>
        <w:jc w:val="center"/>
        <w:ind w:right="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3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2013, 2012 and 2011, we were allocated $6.1 million, $5.0 million and $3.9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operating income, headcount or other relevant measures of Accommodations and Oil States and its other subsidiaries.</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States Net Investment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combined statements of net investment. The components of the change in Oil States net investment for the years ended December 31, 2013, 2012 and 2011 are as follows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transfers and general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(58,768)</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 received or funding for expenditures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130,159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88,877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40,993</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line="216" w:lineRule="exact"/>
              <w:rPr>
                <w:sz w:val="20"/>
                <w:szCs w:val="20"/>
                <w:color w:val="auto"/>
              </w:rPr>
            </w:pPr>
            <w:r>
              <w:rPr>
                <w:rFonts w:ascii="Arial" w:cs="Arial" w:eastAsia="Arial" w:hAnsi="Arial"/>
                <w:sz w:val="16"/>
                <w:szCs w:val="16"/>
                <w:color w:val="auto"/>
              </w:rPr>
              <w:t>Corporate allocations, including income tax provision</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8,420</w:t>
            </w: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transfers for acquisitions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(decrease) in Oil States net investment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80" w:hanging="332"/>
        <w:spacing w:after="0" w:line="279" w:lineRule="auto"/>
        <w:tabs>
          <w:tab w:leader="none" w:pos="34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$6.1 million, $5.0 million and $3.9 million for the years ended December 31, 2013, 2012 and 2011,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37" w:name="page438"/>
    <w:bookmarkEnd w:id="437"/>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Allowances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 of</w:t>
            </w:r>
          </w:p>
        </w:tc>
      </w:tr>
      <w:tr>
        <w:trPr>
          <w:trHeight w:val="234"/>
        </w:trPr>
        <w:tc>
          <w:tcPr>
            <w:tcW w:w="3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 receivable</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8" w:name="page439"/>
    <w:bookmarkEnd w:id="43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audited the accompanying balance sheet of OIS Accommodations SpinCo Inc. (SpinCo) as of December 31, 2013 and the statements of changes in stockholder’s equity and cash flows. These financial statements are the responsibility of SpinCo’s management. Our responsibility is to express an opinion on these financial statements based on our audit.</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presents fairly, in all material respects, the financial position of OIS Accommodations SpinCo Inc. at December 31, 2013 and its cash flows for the period from October 8, 2013 (date of inception) to December 31, 2013, in conformity with U.S. generally accepted accounting principles</w:t>
      </w:r>
      <w:r>
        <w:rPr>
          <w:rFonts w:ascii="Arial" w:cs="Arial" w:eastAsia="Arial" w:hAnsi="Arial"/>
          <w:sz w:val="18"/>
          <w:szCs w:val="18"/>
          <w:b w:val="1"/>
          <w:bCs w:val="1"/>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rPr>
              <w:t>OIS ACCOMMODATIONS SPINCO INC.</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BALANCE SHEET</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500" w:type="dxa"/>
            <w:vAlign w:val="bottom"/>
          </w:tcPr>
          <w:p>
            <w:pPr>
              <w:jc w:val="center"/>
              <w:ind w:left="1530"/>
              <w:spacing w:after="0"/>
              <w:rPr>
                <w:sz w:val="20"/>
                <w:szCs w:val="20"/>
                <w:color w:val="auto"/>
              </w:rPr>
            </w:pPr>
            <w:r>
              <w:rPr>
                <w:rFonts w:ascii="Arial" w:cs="Arial" w:eastAsia="Arial" w:hAnsi="Arial"/>
                <w:sz w:val="18"/>
                <w:szCs w:val="18"/>
                <w:b w:val="1"/>
                <w:bCs w:val="1"/>
                <w:color w:val="auto"/>
                <w:w w:val="96"/>
              </w:rPr>
              <w:t>DECEMBER 31, 2013</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7500" w:type="dxa"/>
            <w:vAlign w:val="bottom"/>
          </w:tcPr>
          <w:p>
            <w:pPr>
              <w:ind w:left="418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Cash</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r>
      <w:tr>
        <w:trPr>
          <w:trHeight w:val="467"/>
        </w:trPr>
        <w:tc>
          <w:tcPr>
            <w:tcW w:w="20" w:type="dxa"/>
            <w:vAlign w:val="bottom"/>
          </w:tcPr>
          <w:p>
            <w:pPr>
              <w:spacing w:after="0"/>
              <w:rPr>
                <w:sz w:val="24"/>
                <w:szCs w:val="24"/>
                <w:color w:val="auto"/>
              </w:rPr>
            </w:pPr>
          </w:p>
        </w:tc>
        <w:tc>
          <w:tcPr>
            <w:tcW w:w="7500" w:type="dxa"/>
            <w:vAlign w:val="bottom"/>
            <w:tcBorders>
              <w:top w:val="single" w:sz="8" w:color="CCEEFF"/>
            </w:tcBorders>
          </w:tcPr>
          <w:p>
            <w:pPr>
              <w:ind w:left="3360"/>
              <w:spacing w:after="0"/>
              <w:rPr>
                <w:sz w:val="20"/>
                <w:szCs w:val="20"/>
                <w:color w:val="auto"/>
              </w:rPr>
            </w:pPr>
            <w:r>
              <w:rPr>
                <w:rFonts w:ascii="Arial" w:cs="Arial" w:eastAsia="Arial" w:hAnsi="Arial"/>
                <w:sz w:val="18"/>
                <w:szCs w:val="18"/>
                <w:b w:val="1"/>
                <w:bCs w:val="1"/>
                <w:color w:val="auto"/>
              </w:rPr>
              <w:t>STOCKHOLDER'S EQUITY</w:t>
            </w:r>
          </w:p>
        </w:tc>
        <w:tc>
          <w:tcPr>
            <w:tcW w:w="7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par value $.01, 1,000 shares authorized, issued and outstanding</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6757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40"/>
          </w:cols>
          <w:pgMar w:left="1380" w:top="580" w:right="1379" w:bottom="1440" w:gutter="0" w:footer="0" w:header="0"/>
        </w:sectPr>
      </w:pPr>
    </w:p>
    <w:bookmarkStart w:id="440" w:name="page441"/>
    <w:bookmarkEnd w:id="440"/>
    <w:p>
      <w:pPr>
        <w:jc w:val="center"/>
        <w:ind w:right="60"/>
        <w:spacing w:after="0" w:line="266" w:lineRule="auto"/>
        <w:rPr>
          <w:sz w:val="20"/>
          <w:szCs w:val="20"/>
          <w:color w:val="auto"/>
        </w:rPr>
      </w:pPr>
      <w:r>
        <w:rPr>
          <w:rFonts w:ascii="Arial" w:cs="Arial" w:eastAsia="Arial" w:hAnsi="Arial"/>
          <w:sz w:val="18"/>
          <w:szCs w:val="18"/>
          <w:b w:val="1"/>
          <w:bCs w:val="1"/>
          <w:color w:val="auto"/>
        </w:rPr>
        <w:t>OIS ACCOMMODATIONS SPINCO INC. STATEMENT OF CHANGES IN STOCKHOLDER’S EQUITY For the Period from October 8, 2013 (date of inception) to December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3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20" w:type="dxa"/>
            <w:vAlign w:val="bottom"/>
          </w:tcPr>
          <w:p>
            <w:pPr>
              <w:spacing w:after="0"/>
              <w:rPr>
                <w:sz w:val="24"/>
                <w:szCs w:val="24"/>
                <w:color w:val="auto"/>
              </w:rPr>
            </w:pP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4"/>
                <w:szCs w:val="24"/>
                <w:color w:val="auto"/>
              </w:rPr>
            </w:pPr>
          </w:p>
        </w:tc>
      </w:tr>
      <w:tr>
        <w:trPr>
          <w:trHeight w:val="210"/>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October 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December 31,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81280</wp:posOffset>
            </wp:positionV>
            <wp:extent cx="726757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20"/>
          </w:cols>
          <w:pgMar w:left="1400" w:top="580" w:right="137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Period from October 8, 2013 (date of inception) to December 31,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collection of related party note receivable</w:t>
            </w:r>
          </w:p>
        </w:tc>
        <w:tc>
          <w:tcPr>
            <w:tcW w:w="740" w:type="dxa"/>
            <w:vAlign w:val="bottom"/>
            <w:gridSpan w:val="2"/>
            <w:shd w:val="clear" w:color="auto" w:fill="CCEEFF"/>
          </w:tcPr>
          <w:p>
            <w:pPr>
              <w:jc w:val="right"/>
              <w:ind w:right="56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cash</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at the beginning of the period</w:t>
            </w:r>
          </w:p>
        </w:tc>
        <w:tc>
          <w:tcPr>
            <w:tcW w:w="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Issuance of stock for note receivable</w:t>
            </w:r>
          </w:p>
        </w:tc>
        <w:tc>
          <w:tcPr>
            <w:tcW w:w="740" w:type="dxa"/>
            <w:vAlign w:val="bottom"/>
            <w:tcBorders>
              <w:bottom w:val="single" w:sz="8" w:color="auto"/>
            </w:tcBorders>
            <w:gridSpan w:val="2"/>
          </w:tcPr>
          <w:p>
            <w:pPr>
              <w:jc w:val="right"/>
              <w:ind w:right="565"/>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6757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140"/>
          </w:cols>
          <w:pgMar w:left="1380" w:top="580" w:right="1379" w:bottom="1440" w:gutter="0" w:footer="0" w:header="0"/>
        </w:sectPr>
      </w:pPr>
    </w:p>
    <w:bookmarkStart w:id="442" w:name="page443"/>
    <w:bookmarkEnd w:id="442"/>
    <w:p>
      <w:pPr>
        <w:jc w:val="center"/>
        <w:ind w:right="-51"/>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23" w:lineRule="exact"/>
        <w:rPr>
          <w:sz w:val="20"/>
          <w:szCs w:val="20"/>
          <w:color w:val="auto"/>
        </w:rPr>
      </w:pPr>
    </w:p>
    <w:p>
      <w:pPr>
        <w:ind w:left="352" w:hanging="352"/>
        <w:spacing w:after="0"/>
        <w:tabs>
          <w:tab w:leader="none" w:pos="352"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Organization, Operations and Basis of Presentation</w:t>
      </w:r>
    </w:p>
    <w:p>
      <w:pPr>
        <w:spacing w:after="0" w:line="229"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OIS Accommodations SpinCo Inc. (“SpinCo”) is a Delaware corporation formed on October 8, 2013 to operate the accommodations business of Oil States International, Inc. (Oil States), which provides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for total consideration of $10 in the form of a promissory note. See Note 3.</w:t>
      </w:r>
    </w:p>
    <w:p>
      <w:pPr>
        <w:spacing w:after="0" w:line="154" w:lineRule="exact"/>
        <w:rPr>
          <w:sz w:val="20"/>
          <w:szCs w:val="20"/>
          <w:color w:val="auto"/>
        </w:rPr>
      </w:pPr>
    </w:p>
    <w:p>
      <w:pPr>
        <w:ind w:left="332" w:firstLine="324"/>
        <w:spacing w:after="0" w:line="297" w:lineRule="auto"/>
        <w:rPr>
          <w:sz w:val="20"/>
          <w:szCs w:val="20"/>
          <w:color w:val="auto"/>
        </w:rPr>
      </w:pPr>
      <w:r>
        <w:rPr>
          <w:rFonts w:ascii="Arial" w:cs="Arial" w:eastAsia="Arial" w:hAnsi="Arial"/>
          <w:sz w:val="16"/>
          <w:szCs w:val="16"/>
          <w:color w:val="auto"/>
        </w:rPr>
        <w:t>Oil States intends to distribute, on a pro rata, basis, shares of SpinCo common stock to the Oil States stockholders to be completed in accordance with a separation and distribution agreement between Oil States and SpinCo. (the “Spin-off.”). The separation and distribution agreement will govern the terms of the separation of the accommodations business from Oil States’ other businesses. The separation and distribution agreement will provide for Oil States and SpinCo to transfer specified assets and liabilities between the companies that will operate the accommodations business after the distribution. As a result of this transfer, SpinCo will own all assets and liabilities primary related to the accommodations business.</w:t>
      </w:r>
    </w:p>
    <w:p>
      <w:pPr>
        <w:spacing w:after="0" w:line="158" w:lineRule="exact"/>
        <w:rPr>
          <w:sz w:val="20"/>
          <w:szCs w:val="20"/>
          <w:color w:val="auto"/>
        </w:rPr>
      </w:pPr>
    </w:p>
    <w:p>
      <w:pPr>
        <w:ind w:left="332" w:right="20" w:firstLine="324"/>
        <w:spacing w:after="0" w:line="302" w:lineRule="auto"/>
        <w:rPr>
          <w:sz w:val="20"/>
          <w:szCs w:val="20"/>
          <w:color w:val="auto"/>
        </w:rPr>
      </w:pPr>
      <w:r>
        <w:rPr>
          <w:rFonts w:ascii="Arial" w:cs="Arial" w:eastAsia="Arial" w:hAnsi="Arial"/>
          <w:sz w:val="16"/>
          <w:szCs w:val="16"/>
          <w:color w:val="auto"/>
        </w:rPr>
        <w:t>Subsequent to the spin-off, SpinCo will immediately begin to operate the accommodations business and begin to incur costs as a result of becoming an independent, publicly traded company. Accordingly, these financial statements are not indicative of our future performance and do not reflect what SpinCo’s results of operations, financial position and cash flows would have been had SpinCo operated the accommodations business and operated as an independent, publicly traded company during the period from October 8, 2013 (date of inception) to December 31, 2013.</w:t>
      </w:r>
    </w:p>
    <w:p>
      <w:pPr>
        <w:spacing w:after="0" w:line="154" w:lineRule="exact"/>
        <w:rPr>
          <w:sz w:val="20"/>
          <w:szCs w:val="20"/>
          <w:color w:val="auto"/>
        </w:rPr>
      </w:pPr>
    </w:p>
    <w:p>
      <w:pPr>
        <w:ind w:left="332" w:right="460" w:firstLine="324"/>
        <w:spacing w:after="0" w:line="277" w:lineRule="auto"/>
        <w:rPr>
          <w:sz w:val="20"/>
          <w:szCs w:val="20"/>
          <w:color w:val="auto"/>
        </w:rPr>
      </w:pPr>
      <w:r>
        <w:rPr>
          <w:rFonts w:ascii="Arial" w:cs="Arial" w:eastAsia="Arial" w:hAnsi="Arial"/>
          <w:sz w:val="18"/>
          <w:szCs w:val="18"/>
          <w:color w:val="auto"/>
        </w:rPr>
        <w:t>Other than the settlement of the note receivable from Oil States described below, there have been no other transactions involving SpinCo as of December 31, 2013.</w:t>
      </w:r>
    </w:p>
    <w:p>
      <w:pPr>
        <w:spacing w:after="0" w:line="166" w:lineRule="exact"/>
        <w:rPr>
          <w:sz w:val="20"/>
          <w:szCs w:val="20"/>
          <w:color w:val="auto"/>
        </w:rPr>
      </w:pPr>
    </w:p>
    <w:p>
      <w:pPr>
        <w:ind w:left="352" w:hanging="352"/>
        <w:spacing w:after="0"/>
        <w:tabs>
          <w:tab w:leader="none" w:pos="352"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Principles</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Our significant accounting policies are summarized below.</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Basis of accounting</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financial statements are prepared in accordance with U.S. generally accepted accounting principles (“GAAP”).</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332" w:right="2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revenues and expenses, and related disclosures of contingent liabilities in the financial statements and accompanying notes. Actual results could differ from those estimates.</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Cash includes demand deposits with financial institutions.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left="332" w:right="40"/>
        <w:spacing w:after="0" w:line="277" w:lineRule="auto"/>
        <w:rPr>
          <w:sz w:val="20"/>
          <w:szCs w:val="20"/>
          <w:color w:val="auto"/>
        </w:rPr>
      </w:pPr>
      <w:r>
        <w:rPr>
          <w:rFonts w:ascii="Arial" w:cs="Arial" w:eastAsia="Arial" w:hAnsi="Arial"/>
          <w:sz w:val="18"/>
          <w:szCs w:val="18"/>
          <w:color w:val="auto"/>
        </w:rPr>
        <w:t>The fair value of financial instruments, which primarily include cash are carried at amounts that approximate their fair value due to the short-term nature of these amounts.</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8"/>
          <w:szCs w:val="18"/>
          <w:i w:val="1"/>
          <w:iCs w:val="1"/>
          <w:color w:val="auto"/>
        </w:rPr>
        <w:t>Commitments and contingencies</w:t>
      </w:r>
    </w:p>
    <w:p>
      <w:pPr>
        <w:spacing w:after="0" w:line="225" w:lineRule="exact"/>
        <w:rPr>
          <w:sz w:val="20"/>
          <w:szCs w:val="20"/>
          <w:color w:val="auto"/>
        </w:rPr>
      </w:pPr>
    </w:p>
    <w:p>
      <w:pPr>
        <w:ind w:left="332" w:right="60"/>
        <w:spacing w:after="0" w:line="264" w:lineRule="auto"/>
        <w:rPr>
          <w:sz w:val="20"/>
          <w:szCs w:val="20"/>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We are not aware of any litigation or other contingencies that would have an adverse impact on our financial statements.</w:t>
      </w:r>
    </w:p>
    <w:p>
      <w:pPr>
        <w:spacing w:after="0" w:line="200" w:lineRule="exact"/>
        <w:rPr>
          <w:sz w:val="20"/>
          <w:szCs w:val="20"/>
          <w:color w:val="auto"/>
        </w:rPr>
      </w:pPr>
    </w:p>
    <w:p>
      <w:pPr>
        <w:spacing w:after="0" w:line="2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580" w:right="299" w:bottom="1440" w:gutter="0" w:footer="0" w:header="0"/>
        </w:sectPr>
      </w:pPr>
    </w:p>
    <w:bookmarkStart w:id="443" w:name="page444"/>
    <w:bookmarkEnd w:id="443"/>
    <w:p>
      <w:pPr>
        <w:ind w:left="352" w:hanging="352"/>
        <w:spacing w:after="0"/>
        <w:tabs>
          <w:tab w:leader="none" w:pos="352" w:val="left"/>
        </w:tabs>
        <w:numPr>
          <w:ilvl w:val="0"/>
          <w:numId w:val="429"/>
        </w:numPr>
        <w:rPr>
          <w:rFonts w:ascii="Arial" w:cs="Arial" w:eastAsia="Arial" w:hAnsi="Arial"/>
          <w:sz w:val="18"/>
          <w:szCs w:val="18"/>
          <w:color w:val="auto"/>
        </w:rPr>
      </w:pPr>
      <w:r>
        <w:rPr>
          <w:rFonts w:ascii="Arial" w:cs="Arial" w:eastAsia="Arial" w:hAnsi="Arial"/>
          <w:sz w:val="18"/>
          <w:szCs w:val="18"/>
          <w:b w:val="1"/>
          <w:bCs w:val="1"/>
          <w:color w:val="auto"/>
        </w:rPr>
        <w:t>Note Receivable from Parent</w:t>
      </w:r>
    </w:p>
    <w:p>
      <w:pPr>
        <w:spacing w:after="0" w:line="229" w:lineRule="exact"/>
        <w:rPr>
          <w:sz w:val="20"/>
          <w:szCs w:val="20"/>
          <w:color w:val="auto"/>
        </w:rPr>
      </w:pPr>
    </w:p>
    <w:p>
      <w:pPr>
        <w:jc w:val="both"/>
        <w:ind w:left="332" w:firstLine="324"/>
        <w:spacing w:after="0" w:line="312" w:lineRule="auto"/>
        <w:rPr>
          <w:sz w:val="20"/>
          <w:szCs w:val="20"/>
          <w:color w:val="auto"/>
        </w:rPr>
      </w:pPr>
      <w:r>
        <w:rPr>
          <w:rFonts w:ascii="Arial" w:cs="Arial" w:eastAsia="Arial" w:hAnsi="Arial"/>
          <w:sz w:val="16"/>
          <w:szCs w:val="16"/>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143" w:lineRule="exact"/>
        <w:rPr>
          <w:sz w:val="20"/>
          <w:szCs w:val="20"/>
          <w:color w:val="auto"/>
        </w:rPr>
      </w:pPr>
    </w:p>
    <w:p>
      <w:pPr>
        <w:ind w:left="352" w:hanging="352"/>
        <w:spacing w:after="0"/>
        <w:tabs>
          <w:tab w:leader="none" w:pos="352"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We evaluated subsequent events through March 18, 2014; the date the financial statements were available to be issued.</w:t>
      </w:r>
    </w:p>
    <w:p>
      <w:pPr>
        <w:spacing w:after="0" w:line="218" w:lineRule="exact"/>
        <w:rPr>
          <w:sz w:val="20"/>
          <w:szCs w:val="20"/>
          <w:color w:val="auto"/>
        </w:rPr>
      </w:pPr>
    </w:p>
    <w:p>
      <w:pPr>
        <w:jc w:val="center"/>
        <w:ind w:right="-311"/>
        <w:spacing w:after="0"/>
        <w:rPr>
          <w:sz w:val="20"/>
          <w:szCs w:val="20"/>
          <w:color w:val="auto"/>
        </w:rPr>
      </w:pPr>
      <w:r>
        <w:rPr>
          <w:rFonts w:ascii="Arial" w:cs="Arial" w:eastAsia="Arial" w:hAnsi="Arial"/>
          <w:sz w:val="22"/>
          <w:szCs w:val="22"/>
          <w:color w:val="auto"/>
        </w:rPr>
        <w:t>F-36</w:t>
      </w:r>
    </w:p>
    <w:sectPr>
      <w:pgSz w:w="11900" w:h="16838" w:orient="portrait"/>
      <w:cols w:equalWidth="0" w:num="1">
        <w:col w:w="11152"/>
      </w:cols>
      <w:pgMar w:left="248" w:top="79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F4BDAD"/>
    <w:multiLevelType w:val="hybridMultilevel"/>
    <w:lvl w:ilvl="0">
      <w:lvlJc w:val="left"/>
      <w:lvlText w:val="(%1)"/>
      <w:numFmt w:val="lowerLetter"/>
      <w:start w:val="1"/>
    </w:lvl>
  </w:abstractNum>
  <w:abstractNum w:abstractNumId="1">
    <w:nsid w:val="639DEFAC"/>
    <w:multiLevelType w:val="hybridMultilevel"/>
    <w:lvl w:ilvl="0">
      <w:lvlJc w:val="left"/>
      <w:lvlText w:val="(%1)"/>
      <w:numFmt w:val="lowerLetter"/>
      <w:start w:val="2"/>
    </w:lvl>
  </w:abstractNum>
  <w:abstractNum w:abstractNumId="2">
    <w:nsid w:val="501F9786"/>
    <w:multiLevelType w:val="hybridMultilevel"/>
    <w:lvl w:ilvl="0">
      <w:lvlJc w:val="left"/>
      <w:lvlText w:val="*"/>
      <w:numFmt w:val="bullet"/>
      <w:start w:val="1"/>
    </w:lvl>
  </w:abstractNum>
  <w:abstractNum w:abstractNumId="3">
    <w:nsid w:val="6B057295"/>
    <w:multiLevelType w:val="hybridMultilevel"/>
    <w:lvl w:ilvl="0">
      <w:lvlJc w:val="left"/>
      <w:lvlText w:val="(%1)"/>
      <w:numFmt w:val="lowerLetter"/>
      <w:start w:val="1"/>
    </w:lvl>
  </w:abstractNum>
  <w:abstractNum w:abstractNumId="4">
    <w:nsid w:val="2771AC80"/>
    <w:multiLevelType w:val="hybridMultilevel"/>
    <w:lvl w:ilvl="0">
      <w:lvlJc w:val="left"/>
      <w:lvlText w:val="(%1)"/>
      <w:numFmt w:val="lowerLetter"/>
      <w:start w:val="14"/>
    </w:lvl>
  </w:abstractNum>
  <w:abstractNum w:abstractNumId="5">
    <w:nsid w:val="1C4A08EC"/>
    <w:multiLevelType w:val="hybridMultilevel"/>
    <w:lvl w:ilvl="0">
      <w:lvlJc w:val="left"/>
      <w:lvlText w:val="(%1)"/>
      <w:numFmt w:val="lowerLetter"/>
      <w:start w:val="1"/>
    </w:lvl>
  </w:abstractNum>
  <w:abstractNum w:abstractNumId="6">
    <w:nsid w:val="1958BD17"/>
    <w:multiLevelType w:val="hybridMultilevel"/>
    <w:lvl w:ilvl="0">
      <w:lvlJc w:val="left"/>
      <w:lvlText w:val="(%1)"/>
      <w:numFmt w:val="lowerLetter"/>
      <w:start w:val="4"/>
    </w:lvl>
  </w:abstractNum>
  <w:abstractNum w:abstractNumId="7">
    <w:nsid w:val="4E647FE4"/>
    <w:multiLevelType w:val="hybridMultilevel"/>
    <w:lvl w:ilvl="0">
      <w:lvlJc w:val="left"/>
      <w:lvlText w:val="(%1)"/>
      <w:numFmt w:val="lowerLetter"/>
      <w:start w:val="1"/>
    </w:lvl>
  </w:abstractNum>
  <w:abstractNum w:abstractNumId="8">
    <w:nsid w:val="E0BB885"/>
    <w:multiLevelType w:val="hybridMultilevel"/>
    <w:lvl w:ilvl="0">
      <w:lvlJc w:val="left"/>
      <w:lvlText w:val="(%1)"/>
      <w:numFmt w:val="lowerRoman"/>
      <w:start w:val="1"/>
    </w:lvl>
  </w:abstractNum>
  <w:abstractNum w:abstractNumId="9">
    <w:nsid w:val="565976F1"/>
    <w:multiLevelType w:val="hybridMultilevel"/>
    <w:lvl w:ilvl="0">
      <w:lvlJc w:val="left"/>
      <w:lvlText w:val="(%1)"/>
      <w:numFmt w:val="lowerLetter"/>
      <w:start w:val="2"/>
    </w:lvl>
    <w:lvl w:ilvl="1">
      <w:lvlJc w:val="left"/>
      <w:lvlText w:val="(%2)"/>
      <w:numFmt w:val="lowerRoman"/>
      <w:start w:val="1"/>
    </w:lvl>
  </w:abstractNum>
  <w:abstractNum w:abstractNumId="10">
    <w:nsid w:val="64212B8C"/>
    <w:multiLevelType w:val="hybridMultilevel"/>
    <w:lvl w:ilvl="0">
      <w:lvlJc w:val="left"/>
      <w:lvlText w:val="(%1)"/>
      <w:numFmt w:val="lowerLetter"/>
      <w:start w:val="1"/>
    </w:lvl>
    <w:lvl w:ilvl="1">
      <w:lvlJc w:val="left"/>
      <w:lvlText w:val="(%2)"/>
      <w:numFmt w:val="lowerLetter"/>
      <w:start w:val="9"/>
    </w:lvl>
  </w:abstractNum>
  <w:abstractNum w:abstractNumId="11">
    <w:nsid w:val="5C17530C"/>
    <w:multiLevelType w:val="hybridMultilevel"/>
    <w:lvl w:ilvl="0">
      <w:lvlJc w:val="left"/>
      <w:lvlText w:val="(%1)"/>
      <w:numFmt w:val="lowerRoman"/>
      <w:start w:val="2"/>
    </w:lvl>
  </w:abstractNum>
  <w:abstractNum w:abstractNumId="12">
    <w:nsid w:val="19A52566"/>
    <w:multiLevelType w:val="hybridMultilevel"/>
    <w:lvl w:ilvl="0">
      <w:lvlJc w:val="left"/>
      <w:lvlText w:val="(%1)"/>
      <w:numFmt w:val="lowerLetter"/>
      <w:start w:val="2"/>
    </w:lvl>
    <w:lvl w:ilvl="1">
      <w:lvlJc w:val="left"/>
      <w:lvlText w:val="(%2)"/>
      <w:numFmt w:val="lowerRoman"/>
      <w:start w:val="1"/>
    </w:lvl>
  </w:abstractNum>
  <w:abstractNum w:abstractNumId="13">
    <w:nsid w:val="335A1DF1"/>
    <w:multiLevelType w:val="hybridMultilevel"/>
    <w:lvl w:ilvl="0">
      <w:lvlJc w:val="left"/>
      <w:lvlText w:val="(%1)"/>
      <w:numFmt w:val="lowerLetter"/>
      <w:start w:val="1"/>
    </w:lvl>
    <w:lvl w:ilvl="1">
      <w:lvlJc w:val="left"/>
      <w:lvlText w:val="(%2)"/>
      <w:numFmt w:val="lowerLetter"/>
      <w:start w:val="9"/>
    </w:lvl>
  </w:abstractNum>
  <w:abstractNum w:abstractNumId="14">
    <w:nsid w:val="28677B7C"/>
    <w:multiLevelType w:val="hybridMultilevel"/>
    <w:lvl w:ilvl="0">
      <w:lvlJc w:val="left"/>
      <w:lvlText w:val="(%1)"/>
      <w:numFmt w:val="upperLetter"/>
      <w:start w:val="1"/>
    </w:lvl>
  </w:abstractNum>
  <w:abstractNum w:abstractNumId="15">
    <w:nsid w:val="378D97C0"/>
    <w:multiLevelType w:val="hybridMultilevel"/>
    <w:lvl w:ilvl="0">
      <w:lvlJc w:val="left"/>
      <w:lvlText w:val="(%1)"/>
      <w:numFmt w:val="lowerRoman"/>
      <w:start w:val="2"/>
    </w:lvl>
  </w:abstractNum>
  <w:abstractNum w:abstractNumId="16">
    <w:nsid w:val="1D91467C"/>
    <w:multiLevelType w:val="hybridMultilevel"/>
    <w:lvl w:ilvl="0">
      <w:lvlJc w:val="left"/>
      <w:lvlText w:val="(%1)"/>
      <w:numFmt w:val="lowerLetter"/>
      <w:start w:val="2"/>
    </w:lvl>
    <w:lvl w:ilvl="1">
      <w:lvlJc w:val="left"/>
      <w:lvlText w:val="(%2)"/>
      <w:numFmt w:val="lowerLetter"/>
      <w:start w:val="9"/>
    </w:lvl>
  </w:abstractNum>
  <w:abstractNum w:abstractNumId="17">
    <w:nsid w:val="316032BB"/>
    <w:multiLevelType w:val="hybridMultilevel"/>
    <w:lvl w:ilvl="0">
      <w:lvlJc w:val="left"/>
      <w:lvlText w:val="(%1)"/>
      <w:numFmt w:val="lowerRoman"/>
      <w:start w:val="2"/>
    </w:lvl>
  </w:abstractNum>
  <w:abstractNum w:abstractNumId="18">
    <w:nsid w:val="44344C22"/>
    <w:multiLevelType w:val="hybridMultilevel"/>
    <w:lvl w:ilvl="0">
      <w:lvlJc w:val="left"/>
      <w:lvlText w:val="(%1)"/>
      <w:numFmt w:val="lowerLetter"/>
      <w:start w:val="1"/>
    </w:lvl>
    <w:lvl w:ilvl="1">
      <w:lvlJc w:val="left"/>
      <w:lvlText w:val="(%2)"/>
      <w:numFmt w:val="lowerRoman"/>
      <w:start w:val="1"/>
    </w:lvl>
  </w:abstractNum>
  <w:abstractNum w:abstractNumId="19">
    <w:nsid w:val="13CDFCFC"/>
    <w:multiLevelType w:val="hybridMultilevel"/>
    <w:lvl w:ilvl="0">
      <w:lvlJc w:val="left"/>
      <w:lvlText w:val="(%1)"/>
      <w:numFmt w:val="lowerLetter"/>
      <w:start w:val="1"/>
    </w:lvl>
  </w:abstractNum>
  <w:abstractNum w:abstractNumId="20">
    <w:nsid w:val="471745E4"/>
    <w:multiLevelType w:val="hybridMultilevel"/>
    <w:lvl w:ilvl="0">
      <w:lvlJc w:val="left"/>
      <w:lvlText w:val="(%1)"/>
      <w:numFmt w:val="lowerLetter"/>
      <w:start w:val="4"/>
    </w:lvl>
  </w:abstractNum>
  <w:abstractNum w:abstractNumId="21">
    <w:nsid w:val="1DDBC66"/>
    <w:multiLevelType w:val="hybridMultilevel"/>
    <w:lvl w:ilvl="0">
      <w:lvlJc w:val="left"/>
      <w:lvlText w:val="(%1)"/>
      <w:numFmt w:val="lowerLetter"/>
      <w:start w:val="1"/>
    </w:lvl>
  </w:abstractNum>
  <w:abstractNum w:abstractNumId="22">
    <w:nsid w:val="30AADFDA"/>
    <w:multiLevelType w:val="hybridMultilevel"/>
    <w:lvl w:ilvl="0">
      <w:lvlJc w:val="left"/>
      <w:lvlText w:val="(%1)"/>
      <w:numFmt w:val="lowerLetter"/>
      <w:start w:val="2"/>
    </w:lvl>
  </w:abstractNum>
  <w:abstractNum w:abstractNumId="23">
    <w:nsid w:val="30EADA61"/>
    <w:multiLevelType w:val="hybridMultilevel"/>
    <w:lvl w:ilvl="0">
      <w:lvlJc w:val="left"/>
      <w:lvlText w:val="(%1)"/>
      <w:numFmt w:val="lowerLetter"/>
      <w:start w:val="1"/>
    </w:lvl>
  </w:abstractNum>
  <w:abstractNum w:abstractNumId="24">
    <w:nsid w:val="27179C0B"/>
    <w:multiLevelType w:val="hybridMultilevel"/>
    <w:lvl w:ilvl="0">
      <w:lvlJc w:val="left"/>
      <w:lvlText w:val="(%1)"/>
      <w:numFmt w:val="lowerLetter"/>
      <w:start w:val="1"/>
    </w:lvl>
  </w:abstractNum>
  <w:abstractNum w:abstractNumId="25">
    <w:nsid w:val="5E636063"/>
    <w:multiLevelType w:val="hybridMultilevel"/>
    <w:lvl w:ilvl="0">
      <w:lvlJc w:val="left"/>
      <w:lvlText w:val="%1"/>
      <w:numFmt w:val="lowerLetter"/>
      <w:start w:val="1"/>
    </w:lvl>
    <w:lvl w:ilvl="1">
      <w:lvlJc w:val="left"/>
      <w:lvlText w:val="(%2)"/>
      <w:numFmt w:val="lowerLetter"/>
      <w:start w:val="1"/>
    </w:lvl>
  </w:abstractNum>
  <w:abstractNum w:abstractNumId="26">
    <w:nsid w:val="215641AF"/>
    <w:multiLevelType w:val="hybridMultilevel"/>
    <w:lvl w:ilvl="0">
      <w:lvlJc w:val="left"/>
      <w:lvlText w:val="(%1)"/>
      <w:numFmt w:val="lowerLetter"/>
      <w:start w:val="35"/>
    </w:lvl>
    <w:lvl w:ilvl="1">
      <w:lvlJc w:val="left"/>
      <w:lvlText w:val="%2"/>
      <w:numFmt w:val="lowerLetter"/>
      <w:start w:val="1"/>
    </w:lvl>
  </w:abstractNum>
  <w:abstractNum w:abstractNumId="27">
    <w:nsid w:val="53280662"/>
    <w:multiLevelType w:val="hybridMultilevel"/>
    <w:lvl w:ilvl="0">
      <w:lvlJc w:val="left"/>
      <w:lvlText w:val="(%1)"/>
      <w:numFmt w:val="lowerLetter"/>
      <w:start w:val="2"/>
    </w:lvl>
  </w:abstractNum>
  <w:abstractNum w:abstractNumId="28">
    <w:nsid w:val="46B24DBC"/>
    <w:multiLevelType w:val="hybridMultilevel"/>
    <w:lvl w:ilvl="0">
      <w:lvlJc w:val="left"/>
      <w:lvlText w:val="(%1)"/>
      <w:numFmt w:val="lowerLetter"/>
      <w:start w:val="1"/>
    </w:lvl>
  </w:abstractNum>
  <w:abstractNum w:abstractNumId="29">
    <w:nsid w:val="75B52783"/>
    <w:multiLevelType w:val="hybridMultilevel"/>
    <w:lvl w:ilvl="0">
      <w:lvlJc w:val="left"/>
      <w:lvlText w:val="(%1)"/>
      <w:numFmt w:val="lowerLetter"/>
      <w:start w:val="2"/>
    </w:lvl>
  </w:abstractNum>
  <w:abstractNum w:abstractNumId="30">
    <w:nsid w:val="57CE66B4"/>
    <w:multiLevelType w:val="hybridMultilevel"/>
    <w:lvl w:ilvl="0">
      <w:lvlJc w:val="left"/>
      <w:lvlText w:val="%1"/>
      <w:numFmt w:val="lowerLetter"/>
      <w:start w:val="1"/>
    </w:lvl>
    <w:lvl w:ilvl="1">
      <w:lvlJc w:val="left"/>
      <w:lvlText w:val="(%2)"/>
      <w:numFmt w:val="lowerLetter"/>
      <w:start w:val="1"/>
    </w:lvl>
  </w:abstractNum>
  <w:abstractNum w:abstractNumId="31">
    <w:nsid w:val="67A70B69"/>
    <w:multiLevelType w:val="hybridMultilevel"/>
    <w:lvl w:ilvl="0">
      <w:lvlJc w:val="left"/>
      <w:lvlText w:val="(%1)"/>
      <w:numFmt w:val="lowerLetter"/>
      <w:start w:val="35"/>
    </w:lvl>
    <w:lvl w:ilvl="1">
      <w:lvlJc w:val="left"/>
      <w:lvlText w:val="%2"/>
      <w:numFmt w:val="lowerLetter"/>
      <w:start w:val="1"/>
    </w:lvl>
  </w:abstractNum>
  <w:abstractNum w:abstractNumId="32">
    <w:nsid w:val="5953172F"/>
    <w:multiLevelType w:val="hybridMultilevel"/>
    <w:lvl w:ilvl="0">
      <w:lvlJc w:val="left"/>
      <w:lvlText w:val="(%1)"/>
      <w:numFmt w:val="lowerLetter"/>
      <w:start w:val="1"/>
    </w:lvl>
    <w:lvl w:ilvl="1">
      <w:lvlJc w:val="left"/>
      <w:lvlText w:val="(%2)"/>
      <w:numFmt w:val="lowerRoman"/>
      <w:start w:val="1"/>
    </w:lvl>
  </w:abstractNum>
  <w:abstractNum w:abstractNumId="33">
    <w:nsid w:val="27EDFE3A"/>
    <w:multiLevelType w:val="hybridMultilevel"/>
    <w:lvl w:ilvl="0">
      <w:lvlJc w:val="left"/>
      <w:lvlText w:val="%1"/>
      <w:numFmt w:val="lowerLetter"/>
      <w:start w:val="1"/>
    </w:lvl>
    <w:lvl w:ilvl="1">
      <w:lvlJc w:val="left"/>
      <w:lvlText w:val="(%2)"/>
      <w:numFmt w:val="lowerRoman"/>
      <w:start w:val="3"/>
    </w:lvl>
  </w:abstractNum>
  <w:abstractNum w:abstractNumId="34">
    <w:nsid w:val="52AC7DFF"/>
    <w:multiLevelType w:val="hybridMultilevel"/>
    <w:lvl w:ilvl="0">
      <w:lvlJc w:val="left"/>
      <w:lvlText w:val="(%1)"/>
      <w:numFmt w:val="lowerLetter"/>
      <w:start w:val="2"/>
    </w:lvl>
    <w:lvl w:ilvl="1">
      <w:lvlJc w:val="left"/>
      <w:lvlText w:val="%2"/>
      <w:numFmt w:val="lowerRoman"/>
      <w:start w:val="1"/>
    </w:lvl>
  </w:abstractNum>
  <w:abstractNum w:abstractNumId="35">
    <w:nsid w:val="C4C3AF"/>
    <w:multiLevelType w:val="hybridMultilevel"/>
    <w:lvl w:ilvl="0">
      <w:lvlJc w:val="left"/>
      <w:lvlText w:val="(%1)"/>
      <w:numFmt w:val="lowerLetter"/>
      <w:start w:val="1"/>
    </w:lvl>
  </w:abstractNum>
  <w:abstractNum w:abstractNumId="36">
    <w:nsid w:val="44380727"/>
    <w:multiLevelType w:val="hybridMultilevel"/>
    <w:lvl w:ilvl="0">
      <w:lvlJc w:val="left"/>
      <w:lvlText w:val="(%1)"/>
      <w:numFmt w:val="lowerLetter"/>
      <w:start w:val="1"/>
    </w:lvl>
  </w:abstractNum>
  <w:abstractNum w:abstractNumId="37">
    <w:nsid w:val="6C053B16"/>
    <w:multiLevelType w:val="hybridMultilevel"/>
    <w:lvl w:ilvl="0">
      <w:lvlJc w:val="left"/>
      <w:lvlText w:val="(%1)"/>
      <w:numFmt w:val="lowerLetter"/>
      <w:start w:val="4"/>
    </w:lvl>
  </w:abstractNum>
  <w:abstractNum w:abstractNumId="38">
    <w:nsid w:val="4F294393"/>
    <w:multiLevelType w:val="hybridMultilevel"/>
    <w:lvl w:ilvl="0">
      <w:lvlJc w:val="left"/>
      <w:lvlText w:val="(%1)"/>
      <w:numFmt w:val="lowerLetter"/>
      <w:start w:val="1"/>
    </w:lvl>
    <w:lvl w:ilvl="1">
      <w:lvlJc w:val="left"/>
      <w:lvlText w:val="(%2)"/>
      <w:numFmt w:val="lowerRoman"/>
      <w:start w:val="1"/>
    </w:lvl>
  </w:abstractNum>
  <w:abstractNum w:abstractNumId="39">
    <w:nsid w:val="5243BFAC"/>
    <w:multiLevelType w:val="hybridMultilevel"/>
    <w:lvl w:ilvl="0">
      <w:lvlJc w:val="left"/>
      <w:lvlText w:val="(%1)"/>
      <w:numFmt w:val="lowerLetter"/>
      <w:start w:val="1"/>
    </w:lvl>
  </w:abstractNum>
  <w:abstractNum w:abstractNumId="40">
    <w:nsid w:val="425EB207"/>
    <w:multiLevelType w:val="hybridMultilevel"/>
    <w:lvl w:ilvl="0">
      <w:lvlJc w:val="left"/>
      <w:lvlText w:val="%1."/>
      <w:numFmt w:val="decimal"/>
      <w:start w:val="1"/>
    </w:lvl>
  </w:abstractNum>
  <w:abstractNum w:abstractNumId="41">
    <w:nsid w:val="334A6F1F"/>
    <w:multiLevelType w:val="hybridMultilevel"/>
    <w:lvl w:ilvl="0">
      <w:lvlJc w:val="left"/>
      <w:lvlText w:val="%1."/>
      <w:numFmt w:val="decimal"/>
      <w:start w:val="1"/>
    </w:lvl>
  </w:abstractNum>
  <w:abstractNum w:abstractNumId="42">
    <w:nsid w:val="2E5B12B8"/>
    <w:multiLevelType w:val="hybridMultilevel"/>
    <w:lvl w:ilvl="0">
      <w:lvlJc w:val="left"/>
      <w:lvlText w:val="(%1)"/>
      <w:numFmt w:val="lowerLetter"/>
      <w:start w:val="1"/>
    </w:lvl>
  </w:abstractNum>
  <w:abstractNum w:abstractNumId="43">
    <w:nsid w:val="5C03D76D"/>
    <w:multiLevelType w:val="hybridMultilevel"/>
    <w:lvl w:ilvl="0">
      <w:lvlJc w:val="left"/>
      <w:lvlText w:val="(%1)"/>
      <w:numFmt w:val="lowerLetter"/>
      <w:start w:val="3"/>
    </w:lvl>
  </w:abstractNum>
  <w:abstractNum w:abstractNumId="44">
    <w:nsid w:val="66A48D11"/>
    <w:multiLevelType w:val="hybridMultilevel"/>
    <w:lvl w:ilvl="0">
      <w:lvlJc w:val="left"/>
      <w:lvlText w:val="(%1)"/>
      <w:numFmt w:val="lowerLetter"/>
      <w:start w:val="1"/>
    </w:lvl>
  </w:abstractNum>
  <w:abstractNum w:abstractNumId="45">
    <w:nsid w:val="56C28E34"/>
    <w:multiLevelType w:val="hybridMultilevel"/>
    <w:lvl w:ilvl="0">
      <w:lvlJc w:val="left"/>
      <w:lvlText w:val="(%1)"/>
      <w:numFmt w:val="lowerLetter"/>
      <w:start w:val="1"/>
    </w:lvl>
  </w:abstractNum>
  <w:abstractNum w:abstractNumId="46">
    <w:nsid w:val="13916F2D"/>
    <w:multiLevelType w:val="hybridMultilevel"/>
    <w:lvl w:ilvl="0">
      <w:lvlJc w:val="left"/>
      <w:lvlText w:val="(%1)"/>
      <w:numFmt w:val="lowerLetter"/>
      <w:start w:val="1"/>
    </w:lvl>
  </w:abstractNum>
  <w:abstractNum w:abstractNumId="47">
    <w:nsid w:val="435D38D"/>
    <w:multiLevelType w:val="hybridMultilevel"/>
    <w:lvl w:ilvl="0">
      <w:lvlJc w:val="left"/>
      <w:lvlText w:val="(%1)"/>
      <w:numFmt w:val="lowerRoman"/>
      <w:start w:val="1"/>
    </w:lvl>
  </w:abstractNum>
  <w:abstractNum w:abstractNumId="48">
    <w:nsid w:val="822C0EF"/>
    <w:multiLevelType w:val="hybridMultilevel"/>
    <w:lvl w:ilvl="0">
      <w:lvlJc w:val="left"/>
      <w:lvlText w:val="(%1)"/>
      <w:numFmt w:val="lowerLetter"/>
      <w:start w:val="1"/>
    </w:lvl>
  </w:abstractNum>
  <w:abstractNum w:abstractNumId="49">
    <w:nsid w:val="57C5BB4F"/>
    <w:multiLevelType w:val="hybridMultilevel"/>
    <w:lvl w:ilvl="0">
      <w:lvlJc w:val="left"/>
      <w:lvlText w:val="(%1)"/>
      <w:numFmt w:val="lowerLetter"/>
      <w:start w:val="2"/>
    </w:lvl>
  </w:abstractNum>
  <w:abstractNum w:abstractNumId="50">
    <w:nsid w:val="1803D089"/>
    <w:multiLevelType w:val="hybridMultilevel"/>
    <w:lvl w:ilvl="0">
      <w:lvlJc w:val="left"/>
      <w:lvlText w:val="(%1)"/>
      <w:numFmt w:val="lowerLetter"/>
      <w:start w:val="1"/>
    </w:lvl>
  </w:abstractNum>
  <w:abstractNum w:abstractNumId="51">
    <w:nsid w:val="4F3A06D4"/>
    <w:multiLevelType w:val="hybridMultilevel"/>
    <w:lvl w:ilvl="0">
      <w:lvlJc w:val="left"/>
      <w:lvlText w:val="(%1)"/>
      <w:numFmt w:val="lowerLetter"/>
      <w:start w:val="1"/>
    </w:lvl>
  </w:abstractNum>
  <w:abstractNum w:abstractNumId="52">
    <w:nsid w:val="59A377B6"/>
    <w:multiLevelType w:val="hybridMultilevel"/>
    <w:lvl w:ilvl="0">
      <w:lvlJc w:val="left"/>
      <w:lvlText w:val="(%1)"/>
      <w:numFmt w:val="lowerLetter"/>
      <w:start w:val="1"/>
    </w:lvl>
  </w:abstractNum>
  <w:abstractNum w:abstractNumId="53">
    <w:nsid w:val="48AEB063"/>
    <w:multiLevelType w:val="hybridMultilevel"/>
    <w:lvl w:ilvl="0">
      <w:lvlJc w:val="left"/>
      <w:lvlText w:val="(%1)"/>
      <w:numFmt w:val="lowerLetter"/>
      <w:start w:val="1"/>
    </w:lvl>
  </w:abstractNum>
  <w:abstractNum w:abstractNumId="54">
    <w:nsid w:val="24E135"/>
    <w:multiLevelType w:val="hybridMultilevel"/>
    <w:lvl w:ilvl="0">
      <w:lvlJc w:val="left"/>
      <w:lvlText w:val="(%1)"/>
      <w:numFmt w:val="lowerLetter"/>
      <w:start w:val="2"/>
    </w:lvl>
  </w:abstractNum>
  <w:abstractNum w:abstractNumId="55">
    <w:nsid w:val="BB13C1"/>
    <w:multiLevelType w:val="hybridMultilevel"/>
    <w:lvl w:ilvl="0">
      <w:lvlJc w:val="left"/>
      <w:lvlText w:val="(%1)"/>
      <w:numFmt w:val="lowerLetter"/>
      <w:start w:val="1"/>
    </w:lvl>
  </w:abstractNum>
  <w:abstractNum w:abstractNumId="56">
    <w:nsid w:val="271210C7"/>
    <w:multiLevelType w:val="hybridMultilevel"/>
    <w:lvl w:ilvl="0">
      <w:lvlJc w:val="left"/>
      <w:lvlText w:val="(%1)"/>
      <w:numFmt w:val="lowerLetter"/>
      <w:start w:val="1"/>
    </w:lvl>
  </w:abstractNum>
  <w:abstractNum w:abstractNumId="57">
    <w:nsid w:val="217B22E4"/>
    <w:multiLevelType w:val="hybridMultilevel"/>
    <w:lvl w:ilvl="0">
      <w:lvlJc w:val="left"/>
      <w:lvlText w:val="(%1)"/>
      <w:numFmt w:val="lowerLetter"/>
      <w:start w:val="1"/>
    </w:lvl>
  </w:abstractNum>
  <w:abstractNum w:abstractNumId="58">
    <w:nsid w:val="53E31A24"/>
    <w:multiLevelType w:val="hybridMultilevel"/>
    <w:lvl w:ilvl="0">
      <w:lvlJc w:val="left"/>
      <w:lvlText w:val="(%1)"/>
      <w:numFmt w:val="lowerLetter"/>
      <w:start w:val="1"/>
    </w:lvl>
  </w:abstractNum>
  <w:abstractNum w:abstractNumId="59">
    <w:nsid w:val="6DC45E83"/>
    <w:multiLevelType w:val="hybridMultilevel"/>
    <w:lvl w:ilvl="0">
      <w:lvlJc w:val="left"/>
      <w:lvlText w:val="(%1)"/>
      <w:numFmt w:val="lowerLetter"/>
      <w:start w:val="4"/>
    </w:lvl>
  </w:abstractNum>
  <w:abstractNum w:abstractNumId="60">
    <w:nsid w:val="17304A67"/>
    <w:multiLevelType w:val="hybridMultilevel"/>
    <w:lvl w:ilvl="0">
      <w:lvlJc w:val="left"/>
      <w:lvlText w:val="(%1)"/>
      <w:numFmt w:val="lowerLetter"/>
      <w:start w:val="1"/>
    </w:lvl>
  </w:abstractNum>
  <w:abstractNum w:abstractNumId="61">
    <w:nsid w:val="2BB180D8"/>
    <w:multiLevelType w:val="hybridMultilevel"/>
    <w:lvl w:ilvl="0">
      <w:lvlJc w:val="left"/>
      <w:lvlText w:val="(%1)"/>
      <w:numFmt w:val="lowerLetter"/>
      <w:start w:val="1"/>
    </w:lvl>
  </w:abstractNum>
  <w:abstractNum w:abstractNumId="62">
    <w:nsid w:val="556B69ED"/>
    <w:multiLevelType w:val="hybridMultilevel"/>
    <w:lvl w:ilvl="0">
      <w:lvlJc w:val="left"/>
      <w:lvlText w:val="(%1)"/>
      <w:numFmt w:val="lowerLetter"/>
      <w:start w:val="2"/>
    </w:lvl>
  </w:abstractNum>
  <w:abstractNum w:abstractNumId="63">
    <w:nsid w:val="70836196"/>
    <w:multiLevelType w:val="hybridMultilevel"/>
    <w:lvl w:ilvl="0">
      <w:lvlJc w:val="left"/>
      <w:lvlText w:val="(%1)"/>
      <w:numFmt w:val="upperLetter"/>
      <w:start w:val="1"/>
    </w:lvl>
  </w:abstractNum>
  <w:abstractNum w:abstractNumId="64">
    <w:nsid w:val="539F7F12"/>
    <w:multiLevelType w:val="hybridMultilevel"/>
    <w:lvl w:ilvl="0">
      <w:lvlJc w:val="left"/>
      <w:lvlText w:val="(%1)"/>
      <w:numFmt w:val="lowerLetter"/>
      <w:start w:val="1"/>
    </w:lvl>
  </w:abstractNum>
  <w:abstractNum w:abstractNumId="65">
    <w:nsid w:val="2817E7EC"/>
    <w:multiLevelType w:val="hybridMultilevel"/>
    <w:lvl w:ilvl="0">
      <w:lvlJc w:val="left"/>
      <w:lvlText w:val="(%1)"/>
      <w:numFmt w:val="lowerLetter"/>
      <w:start w:val="7"/>
    </w:lvl>
  </w:abstractNum>
  <w:abstractNum w:abstractNumId="66">
    <w:nsid w:val="71482545"/>
    <w:multiLevelType w:val="hybridMultilevel"/>
    <w:lvl w:ilvl="0">
      <w:lvlJc w:val="left"/>
      <w:lvlText w:val="(%1)"/>
      <w:numFmt w:val="lowerLetter"/>
      <w:start w:val="1"/>
    </w:lvl>
  </w:abstractNum>
  <w:abstractNum w:abstractNumId="67">
    <w:nsid w:val="17D78639"/>
    <w:multiLevelType w:val="hybridMultilevel"/>
    <w:lvl w:ilvl="0">
      <w:lvlJc w:val="left"/>
      <w:lvlText w:val="(%1)"/>
      <w:numFmt w:val="lowerLetter"/>
      <w:start w:val="1"/>
    </w:lvl>
  </w:abstractNum>
  <w:abstractNum w:abstractNumId="68">
    <w:nsid w:val="141D2302"/>
    <w:multiLevelType w:val="hybridMultilevel"/>
    <w:lvl w:ilvl="0">
      <w:lvlJc w:val="left"/>
      <w:lvlText w:val="(%1)"/>
      <w:numFmt w:val="lowerLetter"/>
      <w:start w:val="1"/>
    </w:lvl>
    <w:lvl w:ilvl="1">
      <w:lvlJc w:val="left"/>
      <w:lvlText w:val="(%2)"/>
      <w:numFmt w:val="lowerLetter"/>
      <w:start w:val="9"/>
    </w:lvl>
  </w:abstractNum>
  <w:abstractNum w:abstractNumId="69">
    <w:nsid w:val="407168D8"/>
    <w:multiLevelType w:val="hybridMultilevel"/>
    <w:lvl w:ilvl="0">
      <w:lvlJc w:val="left"/>
      <w:lvlText w:val="%1"/>
      <w:numFmt w:val="lowerLetter"/>
      <w:start w:val="1"/>
    </w:lvl>
    <w:lvl w:ilvl="1">
      <w:lvlJc w:val="left"/>
      <w:lvlText w:val="(%2)"/>
      <w:numFmt w:val="lowerRoman"/>
      <w:start w:val="2"/>
    </w:lvl>
  </w:abstractNum>
  <w:abstractNum w:abstractNumId="70">
    <w:nsid w:val="6A1B45E5"/>
    <w:multiLevelType w:val="hybridMultilevel"/>
    <w:lvl w:ilvl="0">
      <w:lvlJc w:val="left"/>
      <w:lvlText w:val="(%1)"/>
      <w:numFmt w:val="lowerLetter"/>
      <w:start w:val="2"/>
    </w:lvl>
    <w:lvl w:ilvl="1">
      <w:lvlJc w:val="left"/>
      <w:lvlText w:val="%2"/>
      <w:numFmt w:val="lowerRoman"/>
      <w:start w:val="1"/>
    </w:lvl>
  </w:abstractNum>
  <w:abstractNum w:abstractNumId="71">
    <w:nsid w:val="567BD50A"/>
    <w:multiLevelType w:val="hybridMultilevel"/>
    <w:lvl w:ilvl="0">
      <w:lvlJc w:val="left"/>
      <w:lvlText w:val="(%1)"/>
      <w:numFmt w:val="lowerLetter"/>
      <w:start w:val="1"/>
    </w:lvl>
  </w:abstractNum>
  <w:abstractNum w:abstractNumId="72">
    <w:nsid w:val="73BBD7F8"/>
    <w:multiLevelType w:val="hybridMultilevel"/>
    <w:lvl w:ilvl="0">
      <w:lvlJc w:val="left"/>
      <w:lvlText w:val="(%1)"/>
      <w:numFmt w:val="lowerLetter"/>
      <w:start w:val="1"/>
    </w:lvl>
  </w:abstractNum>
  <w:abstractNum w:abstractNumId="73">
    <w:nsid w:val="1876589D"/>
    <w:multiLevelType w:val="hybridMultilevel"/>
    <w:lvl w:ilvl="0">
      <w:lvlJc w:val="left"/>
      <w:lvlText w:val="(%1)"/>
      <w:numFmt w:val="lowerLetter"/>
      <w:start w:val="1"/>
    </w:lvl>
  </w:abstractNum>
  <w:abstractNum w:abstractNumId="74">
    <w:nsid w:val="327FAC77"/>
    <w:multiLevelType w:val="hybridMultilevel"/>
    <w:lvl w:ilvl="0">
      <w:lvlJc w:val="left"/>
      <w:lvlText w:val="(%1)"/>
      <w:numFmt w:val="lowerLetter"/>
      <w:start w:val="1"/>
    </w:lvl>
  </w:abstractNum>
  <w:abstractNum w:abstractNumId="75">
    <w:nsid w:val="5A606509"/>
    <w:multiLevelType w:val="hybridMultilevel"/>
    <w:lvl w:ilvl="0">
      <w:lvlJc w:val="left"/>
      <w:lvlText w:val="(%1)"/>
      <w:numFmt w:val="lowerRoman"/>
      <w:start w:val="1"/>
    </w:lvl>
  </w:abstractNum>
  <w:abstractNum w:abstractNumId="76">
    <w:nsid w:val="6F38E6D1"/>
    <w:multiLevelType w:val="hybridMultilevel"/>
    <w:lvl w:ilvl="0">
      <w:lvlJc w:val="left"/>
      <w:lvlText w:val="(%1)"/>
      <w:numFmt w:val="lowerRoman"/>
      <w:start w:val="9"/>
    </w:lvl>
  </w:abstractNum>
  <w:abstractNum w:abstractNumId="77">
    <w:nsid w:val="46111BA5"/>
    <w:multiLevelType w:val="hybridMultilevel"/>
    <w:lvl w:ilvl="0">
      <w:lvlJc w:val="left"/>
      <w:lvlText w:val="(%1)"/>
      <w:numFmt w:val="lowerLetter"/>
      <w:start w:val="3"/>
    </w:lvl>
  </w:abstractNum>
  <w:abstractNum w:abstractNumId="78">
    <w:nsid w:val="5E963896"/>
    <w:multiLevelType w:val="hybridMultilevel"/>
    <w:lvl w:ilvl="0">
      <w:lvlJc w:val="left"/>
      <w:lvlText w:val="(%1)"/>
      <w:numFmt w:val="lowerLetter"/>
      <w:start w:val="1"/>
    </w:lvl>
  </w:abstractNum>
  <w:abstractNum w:abstractNumId="79">
    <w:nsid w:val="775BA7C1"/>
    <w:multiLevelType w:val="hybridMultilevel"/>
    <w:lvl w:ilvl="0">
      <w:lvlJc w:val="left"/>
      <w:lvlText w:val="(%1)"/>
      <w:numFmt w:val="lowerLetter"/>
      <w:start w:val="1"/>
    </w:lvl>
  </w:abstractNum>
  <w:abstractNum w:abstractNumId="80">
    <w:nsid w:val="1DD6D6F4"/>
    <w:multiLevelType w:val="hybridMultilevel"/>
    <w:lvl w:ilvl="0">
      <w:lvlJc w:val="left"/>
      <w:lvlText w:val="(%1)"/>
      <w:numFmt w:val="lowerLetter"/>
      <w:start w:val="1"/>
    </w:lvl>
  </w:abstractNum>
  <w:abstractNum w:abstractNumId="81">
    <w:nsid w:val="769A091F"/>
    <w:multiLevelType w:val="hybridMultilevel"/>
    <w:lvl w:ilvl="0">
      <w:lvlJc w:val="left"/>
      <w:lvlText w:val="(%1)"/>
      <w:numFmt w:val="lowerLetter"/>
      <w:start w:val="3"/>
    </w:lvl>
  </w:abstractNum>
  <w:abstractNum w:abstractNumId="82">
    <w:nsid w:val="4695AE95"/>
    <w:multiLevelType w:val="hybridMultilevel"/>
    <w:lvl w:ilvl="0">
      <w:lvlJc w:val="left"/>
      <w:lvlText w:val="(%1)"/>
      <w:numFmt w:val="lowerLetter"/>
      <w:start w:val="10"/>
    </w:lvl>
  </w:abstractNum>
  <w:abstractNum w:abstractNumId="83">
    <w:nsid w:val="777A4EAA"/>
    <w:multiLevelType w:val="hybridMultilevel"/>
    <w:lvl w:ilvl="0">
      <w:lvlJc w:val="left"/>
      <w:lvlText w:val="(%1)"/>
      <w:numFmt w:val="lowerLetter"/>
      <w:start w:val="20"/>
    </w:lvl>
  </w:abstractNum>
  <w:abstractNum w:abstractNumId="84">
    <w:nsid w:val="3F48B982"/>
    <w:multiLevelType w:val="hybridMultilevel"/>
    <w:lvl w:ilvl="0">
      <w:lvlJc w:val="left"/>
      <w:lvlText w:val="%1"/>
      <w:numFmt w:val="lowerLetter"/>
      <w:start w:val="1"/>
    </w:lvl>
    <w:lvl w:ilvl="1">
      <w:lvlJc w:val="left"/>
      <w:lvlText w:val="(%2)"/>
      <w:numFmt w:val="lowerLetter"/>
      <w:start w:val="1"/>
    </w:lvl>
  </w:abstractNum>
  <w:abstractNum w:abstractNumId="85">
    <w:nsid w:val="46BA8FCA"/>
    <w:multiLevelType w:val="hybridMultilevel"/>
    <w:lvl w:ilvl="0">
      <w:lvlJc w:val="left"/>
      <w:lvlText w:val="(%1)"/>
      <w:numFmt w:val="lowerLetter"/>
      <w:start w:val="35"/>
    </w:lvl>
    <w:lvl w:ilvl="1">
      <w:lvlJc w:val="left"/>
      <w:lvlText w:val="(%2)"/>
      <w:numFmt w:val="lowerLetter"/>
      <w:start w:val="4"/>
    </w:lvl>
  </w:abstractNum>
  <w:abstractNum w:abstractNumId="86">
    <w:nsid w:val="7835626C"/>
    <w:multiLevelType w:val="hybridMultilevel"/>
    <w:lvl w:ilvl="0">
      <w:lvlJc w:val="left"/>
      <w:lvlText w:val="%1"/>
      <w:numFmt w:val="lowerLetter"/>
      <w:start w:val="1"/>
    </w:lvl>
    <w:lvl w:ilvl="1">
      <w:lvlJc w:val="left"/>
      <w:lvlText w:val="(%2)"/>
      <w:numFmt w:val="lowerLetter"/>
      <w:start w:val="6"/>
    </w:lvl>
  </w:abstractNum>
  <w:abstractNum w:abstractNumId="87">
    <w:nsid w:val="665ACA49"/>
    <w:multiLevelType w:val="hybridMultilevel"/>
    <w:lvl w:ilvl="0">
      <w:lvlJc w:val="left"/>
      <w:lvlText w:val="(%1)"/>
      <w:numFmt w:val="lowerLetter"/>
      <w:start w:val="9"/>
    </w:lvl>
    <w:lvl w:ilvl="1">
      <w:lvlJc w:val="left"/>
      <w:lvlText w:val="(%2)"/>
      <w:numFmt w:val="lowerLetter"/>
      <w:start w:val="8"/>
    </w:lvl>
  </w:abstractNum>
  <w:abstractNum w:abstractNumId="88">
    <w:nsid w:val="6835B2AE"/>
    <w:multiLevelType w:val="hybridMultilevel"/>
    <w:lvl w:ilvl="0">
      <w:lvlJc w:val="left"/>
      <w:lvlText w:val="(%1)"/>
      <w:numFmt w:val="lowerLetter"/>
      <w:start w:val="1"/>
    </w:lvl>
  </w:abstractNum>
  <w:abstractNum w:abstractNumId="89">
    <w:nsid w:val="4C187C90"/>
    <w:multiLevelType w:val="hybridMultilevel"/>
    <w:lvl w:ilvl="0">
      <w:lvlJc w:val="left"/>
      <w:lvlText w:val="(%1)"/>
      <w:numFmt w:val="lowerLetter"/>
      <w:start w:val="1"/>
    </w:lvl>
  </w:abstractNum>
  <w:abstractNum w:abstractNumId="90">
    <w:nsid w:val="541F28CD"/>
    <w:multiLevelType w:val="hybridMultilevel"/>
    <w:lvl w:ilvl="0">
      <w:lvlJc w:val="left"/>
      <w:lvlText w:val="(%1)"/>
      <w:numFmt w:val="lowerLetter"/>
      <w:start w:val="3"/>
    </w:lvl>
  </w:abstractNum>
  <w:abstractNum w:abstractNumId="91">
    <w:nsid w:val="7F65FD16"/>
    <w:multiLevelType w:val="hybridMultilevel"/>
    <w:lvl w:ilvl="0">
      <w:lvlJc w:val="left"/>
      <w:lvlText w:val="(%1)"/>
      <w:numFmt w:val="lowerLetter"/>
      <w:start w:val="1"/>
    </w:lvl>
  </w:abstractNum>
  <w:abstractNum w:abstractNumId="92">
    <w:nsid w:val="77C9FD68"/>
    <w:multiLevelType w:val="hybridMultilevel"/>
    <w:lvl w:ilvl="0">
      <w:lvlJc w:val="left"/>
      <w:lvlText w:val="(%1)"/>
      <w:numFmt w:val="lowerLetter"/>
      <w:start w:val="5"/>
    </w:lvl>
  </w:abstractNum>
  <w:abstractNum w:abstractNumId="93">
    <w:nsid w:val="298A92BA"/>
    <w:multiLevelType w:val="hybridMultilevel"/>
    <w:lvl w:ilvl="0">
      <w:lvlJc w:val="left"/>
      <w:lvlText w:val="(%1)"/>
      <w:numFmt w:val="lowerLetter"/>
      <w:start w:val="1"/>
    </w:lvl>
  </w:abstractNum>
  <w:abstractNum w:abstractNumId="94">
    <w:nsid w:val="6FE95EAC"/>
    <w:multiLevelType w:val="hybridMultilevel"/>
    <w:lvl w:ilvl="0">
      <w:lvlJc w:val="left"/>
      <w:lvlText w:val="(%1)"/>
      <w:numFmt w:val="lowerLetter"/>
      <w:start w:val="1"/>
    </w:lvl>
  </w:abstractNum>
  <w:abstractNum w:abstractNumId="95">
    <w:nsid w:val="4B697C7A"/>
    <w:multiLevelType w:val="hybridMultilevel"/>
    <w:lvl w:ilvl="0">
      <w:lvlJc w:val="left"/>
      <w:lvlText w:val="(%1)"/>
      <w:numFmt w:val="lowerLetter"/>
      <w:start w:val="3"/>
    </w:lvl>
  </w:abstractNum>
  <w:abstractNum w:abstractNumId="96">
    <w:nsid w:val="51A27AA6"/>
    <w:multiLevelType w:val="hybridMultilevel"/>
    <w:lvl w:ilvl="0">
      <w:lvlJc w:val="left"/>
      <w:lvlText w:val="(%1)"/>
      <w:numFmt w:val="lowerLetter"/>
      <w:start w:val="1"/>
    </w:lvl>
    <w:lvl w:ilvl="1">
      <w:lvlJc w:val="left"/>
      <w:lvlText w:val="(%2)"/>
      <w:numFmt w:val="lowerRoman"/>
      <w:start w:val="1"/>
    </w:lvl>
  </w:abstractNum>
  <w:abstractNum w:abstractNumId="97">
    <w:nsid w:val="613183F2"/>
    <w:multiLevelType w:val="hybridMultilevel"/>
    <w:lvl w:ilvl="0">
      <w:lvlJc w:val="left"/>
      <w:lvlText w:val="(%1)"/>
      <w:numFmt w:val="lowerRoman"/>
      <w:start w:val="2"/>
    </w:lvl>
  </w:abstractNum>
  <w:abstractNum w:abstractNumId="98">
    <w:nsid w:val="634102B4"/>
    <w:multiLevelType w:val="hybridMultilevel"/>
    <w:lvl w:ilvl="0">
      <w:lvlJc w:val="left"/>
      <w:lvlText w:val="(%1)"/>
      <w:numFmt w:val="lowerLetter"/>
      <w:start w:val="1"/>
    </w:lvl>
  </w:abstractNum>
  <w:abstractNum w:abstractNumId="99">
    <w:nsid w:val="65BF9DA8"/>
    <w:multiLevelType w:val="hybridMultilevel"/>
    <w:lvl w:ilvl="0">
      <w:lvlJc w:val="left"/>
      <w:lvlText w:val="(%1)"/>
      <w:numFmt w:val="lowerLetter"/>
      <w:start w:val="1"/>
    </w:lvl>
  </w:abstractNum>
  <w:abstractNum w:abstractNumId="100">
    <w:nsid w:val="21A2ECCA"/>
    <w:multiLevelType w:val="hybridMultilevel"/>
    <w:lvl w:ilvl="0">
      <w:lvlJc w:val="left"/>
      <w:lvlText w:val="(%1)"/>
      <w:numFmt w:val="lowerLetter"/>
      <w:start w:val="1"/>
    </w:lvl>
  </w:abstractNum>
  <w:abstractNum w:abstractNumId="101">
    <w:nsid w:val="4D5C4899"/>
    <w:multiLevelType w:val="hybridMultilevel"/>
    <w:lvl w:ilvl="0">
      <w:lvlJc w:val="left"/>
      <w:lvlText w:val="(%1)"/>
      <w:numFmt w:val="lowerLetter"/>
      <w:start w:val="3"/>
    </w:lvl>
  </w:abstractNum>
  <w:abstractNum w:abstractNumId="102">
    <w:nsid w:val="3C3B72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3">
    <w:nsid w:val="155EC4C2"/>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104">
    <w:nsid w:val="65D2A137"/>
    <w:multiLevelType w:val="hybridMultilevel"/>
    <w:lvl w:ilvl="0">
      <w:lvlJc w:val="left"/>
      <w:lvlText w:val="%1"/>
      <w:numFmt w:val="lowerLetter"/>
      <w:start w:val="1"/>
    </w:lvl>
    <w:lvl w:ilvl="1">
      <w:lvlJc w:val="left"/>
      <w:lvlText w:val="(%2)"/>
      <w:numFmt w:val="lowerRoman"/>
      <w:start w:val="2"/>
    </w:lvl>
  </w:abstractNum>
  <w:abstractNum w:abstractNumId="105">
    <w:nsid w:val="6EBB1F2A"/>
    <w:multiLevelType w:val="hybridMultilevel"/>
    <w:lvl w:ilvl="0">
      <w:lvlJc w:val="left"/>
      <w:lvlText w:val="(%1)"/>
      <w:numFmt w:val="lowerLetter"/>
      <w:start w:val="3"/>
    </w:lvl>
    <w:lvl w:ilvl="1">
      <w:lvlJc w:val="left"/>
      <w:lvlText w:val="%2"/>
      <w:numFmt w:val="lowerRoman"/>
      <w:start w:val="1"/>
    </w:lvl>
  </w:abstractNum>
  <w:abstractNum w:abstractNumId="106">
    <w:nsid w:val="6FBF29CB"/>
    <w:multiLevelType w:val="hybridMultilevel"/>
    <w:lvl w:ilvl="0">
      <w:lvlJc w:val="left"/>
      <w:lvlText w:val="(%1)"/>
      <w:numFmt w:val="lowerLetter"/>
      <w:start w:val="2"/>
    </w:lvl>
  </w:abstractNum>
  <w:abstractNum w:abstractNumId="107">
    <w:nsid w:val="550B8808"/>
    <w:multiLevelType w:val="hybridMultilevel"/>
    <w:lvl w:ilvl="0">
      <w:lvlJc w:val="left"/>
      <w:lvlText w:val="(%1)"/>
      <w:numFmt w:val="lowerRoman"/>
      <w:start w:val="2"/>
    </w:lvl>
  </w:abstractNum>
  <w:abstractNum w:abstractNumId="108">
    <w:nsid w:val="34CC3ACF"/>
    <w:multiLevelType w:val="hybridMultilevel"/>
    <w:lvl w:ilvl="0">
      <w:lvlJc w:val="left"/>
      <w:lvlText w:val="(%1)"/>
      <w:numFmt w:val="lowerRoman"/>
      <w:start w:val="4"/>
    </w:lvl>
  </w:abstractNum>
  <w:abstractNum w:abstractNumId="109">
    <w:nsid w:val="4E556261"/>
    <w:multiLevelType w:val="hybridMultilevel"/>
    <w:lvl w:ilvl="0">
      <w:lvlJc w:val="left"/>
      <w:lvlText w:val="(%1)"/>
      <w:numFmt w:val="lowerLetter"/>
      <w:start w:val="1"/>
    </w:lvl>
  </w:abstractNum>
  <w:abstractNum w:abstractNumId="110">
    <w:nsid w:val="4C672FC9"/>
    <w:multiLevelType w:val="hybridMultilevel"/>
    <w:lvl w:ilvl="0">
      <w:lvlJc w:val="left"/>
      <w:lvlText w:val="(%1)"/>
      <w:numFmt w:val="lowerLetter"/>
      <w:start w:val="1"/>
    </w:lvl>
  </w:abstractNum>
  <w:abstractNum w:abstractNumId="111">
    <w:nsid w:val="52A311C3"/>
    <w:multiLevelType w:val="hybridMultilevel"/>
    <w:lvl w:ilvl="0">
      <w:lvlJc w:val="left"/>
      <w:lvlText w:val="(%1)"/>
      <w:numFmt w:val="lowerLetter"/>
      <w:start w:val="3"/>
    </w:lvl>
    <w:lvl w:ilvl="1">
      <w:lvlJc w:val="left"/>
      <w:lvlText w:val="(%2)"/>
      <w:numFmt w:val="lowerRoman"/>
      <w:start w:val="1"/>
    </w:lvl>
  </w:abstractNum>
  <w:abstractNum w:abstractNumId="112">
    <w:nsid w:val="44EF6B80"/>
    <w:multiLevelType w:val="hybridMultilevel"/>
    <w:lvl w:ilvl="0">
      <w:lvlJc w:val="left"/>
      <w:lvlText w:val="(%1)"/>
      <w:numFmt w:val="lowerLetter"/>
      <w:start w:val="4"/>
    </w:lvl>
  </w:abstractNum>
  <w:abstractNum w:abstractNumId="113">
    <w:nsid w:val="12FCDE5E"/>
    <w:multiLevelType w:val="hybridMultilevel"/>
    <w:lvl w:ilvl="0">
      <w:lvlJc w:val="left"/>
      <w:lvlText w:val="(%1)"/>
      <w:numFmt w:val="lowerLetter"/>
      <w:start w:val="1"/>
    </w:lvl>
  </w:abstractNum>
  <w:abstractNum w:abstractNumId="114">
    <w:nsid w:val="4A1D606E"/>
    <w:multiLevelType w:val="hybridMultilevel"/>
    <w:lvl w:ilvl="0">
      <w:lvlJc w:val="left"/>
      <w:lvlText w:val="(%1)"/>
      <w:numFmt w:val="lowerLetter"/>
      <w:start w:val="6"/>
    </w:lvl>
  </w:abstractNum>
  <w:abstractNum w:abstractNumId="115">
    <w:nsid w:val="4382503"/>
    <w:multiLevelType w:val="hybridMultilevel"/>
    <w:lvl w:ilvl="0">
      <w:lvlJc w:val="left"/>
      <w:lvlText w:val="(%1)"/>
      <w:numFmt w:val="lowerLetter"/>
      <w:start w:val="1"/>
    </w:lvl>
  </w:abstractNum>
  <w:abstractNum w:abstractNumId="116">
    <w:nsid w:val="59B76E28"/>
    <w:multiLevelType w:val="hybridMultilevel"/>
    <w:lvl w:ilvl="0">
      <w:lvlJc w:val="left"/>
      <w:lvlText w:val="(%1)"/>
      <w:numFmt w:val="lowerLetter"/>
      <w:start w:val="6"/>
    </w:lvl>
  </w:abstractNum>
  <w:abstractNum w:abstractNumId="117">
    <w:nsid w:val="4252C2DA"/>
    <w:multiLevelType w:val="hybridMultilevel"/>
    <w:lvl w:ilvl="0">
      <w:lvlJc w:val="left"/>
      <w:lvlText w:val="(%1)"/>
      <w:numFmt w:val="lowerLetter"/>
      <w:start w:val="1"/>
    </w:lvl>
  </w:abstractNum>
  <w:abstractNum w:abstractNumId="118">
    <w:nsid w:val="6A92EF4C"/>
    <w:multiLevelType w:val="hybridMultilevel"/>
    <w:lvl w:ilvl="0">
      <w:lvlJc w:val="left"/>
      <w:lvlText w:val="(%1)"/>
      <w:numFmt w:val="lowerLetter"/>
      <w:start w:val="5"/>
    </w:lvl>
  </w:abstractNum>
  <w:abstractNum w:abstractNumId="119">
    <w:nsid w:val="41ED20D7"/>
    <w:multiLevelType w:val="hybridMultilevel"/>
    <w:lvl w:ilvl="0">
      <w:lvlJc w:val="left"/>
      <w:lvlText w:val="(%1)"/>
      <w:numFmt w:val="lowerLetter"/>
      <w:start w:val="1"/>
    </w:lvl>
  </w:abstractNum>
  <w:abstractNum w:abstractNumId="120">
    <w:nsid w:val="E6B3F6A"/>
    <w:multiLevelType w:val="hybridMultilevel"/>
    <w:lvl w:ilvl="0">
      <w:lvlJc w:val="left"/>
      <w:lvlText w:val="%1"/>
      <w:numFmt w:val="lowerLetter"/>
      <w:start w:val="1"/>
    </w:lvl>
    <w:lvl w:ilvl="1">
      <w:lvlJc w:val="left"/>
      <w:lvlText w:val="(%2)"/>
      <w:numFmt w:val="lowerLetter"/>
      <w:start w:val="4"/>
    </w:lvl>
  </w:abstractNum>
  <w:abstractNum w:abstractNumId="121">
    <w:nsid w:val="3EB21819"/>
    <w:multiLevelType w:val="hybridMultilevel"/>
    <w:lvl w:ilvl="0">
      <w:lvlJc w:val="left"/>
      <w:lvlText w:val="(%1)"/>
      <w:numFmt w:val="lowerLetter"/>
      <w:start w:val="61"/>
    </w:lvl>
    <w:lvl w:ilvl="1">
      <w:lvlJc w:val="left"/>
      <w:lvlText w:val="(%2)"/>
      <w:numFmt w:val="lowerLetter"/>
      <w:start w:val="5"/>
    </w:lvl>
  </w:abstractNum>
  <w:abstractNum w:abstractNumId="122">
    <w:nsid w:val="41531DED"/>
    <w:multiLevelType w:val="hybridMultilevel"/>
    <w:lvl w:ilvl="0">
      <w:lvlJc w:val="left"/>
      <w:lvlText w:val="(%1)"/>
      <w:numFmt w:val="lowerLetter"/>
      <w:start w:val="10"/>
    </w:lvl>
  </w:abstractNum>
  <w:abstractNum w:abstractNumId="123">
    <w:nsid w:val="6353CD2"/>
    <w:multiLevelType w:val="hybridMultilevel"/>
    <w:lvl w:ilvl="0">
      <w:lvlJc w:val="left"/>
      <w:lvlText w:val="(%1)"/>
      <w:numFmt w:val="lowerLetter"/>
      <w:start w:val="1"/>
    </w:lvl>
  </w:abstractNum>
  <w:abstractNum w:abstractNumId="124">
    <w:nsid w:val="683CAAD3"/>
    <w:multiLevelType w:val="hybridMultilevel"/>
    <w:lvl w:ilvl="0">
      <w:lvlJc w:val="left"/>
      <w:lvlText w:val="(%1)"/>
      <w:numFmt w:val="lowerLetter"/>
      <w:start w:val="4"/>
    </w:lvl>
  </w:abstractNum>
  <w:abstractNum w:abstractNumId="125">
    <w:nsid w:val="313C7C99"/>
    <w:multiLevelType w:val="hybridMultilevel"/>
    <w:lvl w:ilvl="0">
      <w:lvlJc w:val="left"/>
      <w:lvlText w:val="(%1)"/>
      <w:numFmt w:val="lowerLetter"/>
      <w:start w:val="1"/>
    </w:lvl>
  </w:abstractNum>
  <w:abstractNum w:abstractNumId="126">
    <w:nsid w:val="519EB94C"/>
    <w:multiLevelType w:val="hybridMultilevel"/>
    <w:lvl w:ilvl="0">
      <w:lvlJc w:val="left"/>
      <w:lvlText w:val="(%1)"/>
      <w:numFmt w:val="lowerLetter"/>
      <w:start w:val="3"/>
    </w:lvl>
  </w:abstractNum>
  <w:abstractNum w:abstractNumId="127">
    <w:nsid w:val="39DF2579"/>
    <w:multiLevelType w:val="hybridMultilevel"/>
    <w:lvl w:ilvl="0">
      <w:lvlJc w:val="left"/>
      <w:lvlText w:val="(%1)"/>
      <w:numFmt w:val="lowerLetter"/>
      <w:start w:val="1"/>
    </w:lvl>
    <w:lvl w:ilvl="1">
      <w:lvlJc w:val="left"/>
      <w:lvlText w:val="(%2)"/>
      <w:numFmt w:val="lowerLetter"/>
      <w:start w:val="9"/>
    </w:lvl>
  </w:abstractNum>
  <w:abstractNum w:abstractNumId="128">
    <w:nsid w:val="126E008B"/>
    <w:multiLevelType w:val="hybridMultilevel"/>
    <w:lvl w:ilvl="0">
      <w:lvlJc w:val="left"/>
      <w:lvlText w:val="(%1)"/>
      <w:numFmt w:val="lowerRoman"/>
      <w:start w:val="2"/>
    </w:lvl>
  </w:abstractNum>
  <w:abstractNum w:abstractNumId="129">
    <w:nsid w:val="34DFBC00"/>
    <w:multiLevelType w:val="hybridMultilevel"/>
    <w:lvl w:ilvl="0">
      <w:lvlJc w:val="left"/>
      <w:lvlText w:val="(%1)"/>
      <w:numFmt w:val="lowerLetter"/>
      <w:start w:val="4"/>
    </w:lvl>
  </w:abstractNum>
  <w:abstractNum w:abstractNumId="130">
    <w:nsid w:val="1F9EC322"/>
    <w:multiLevelType w:val="hybridMultilevel"/>
    <w:lvl w:ilvl="0">
      <w:lvlJc w:val="left"/>
      <w:lvlText w:val="(%1)"/>
      <w:numFmt w:val="lowerLetter"/>
      <w:start w:val="7"/>
    </w:lvl>
  </w:abstractNum>
  <w:abstractNum w:abstractNumId="131">
    <w:nsid w:val="3410ED56"/>
    <w:multiLevelType w:val="hybridMultilevel"/>
    <w:lvl w:ilvl="0">
      <w:lvlJc w:val="left"/>
      <w:lvlText w:val="(%1)"/>
      <w:numFmt w:val="lowerLetter"/>
      <w:start w:val="1"/>
    </w:lvl>
  </w:abstractNum>
  <w:abstractNum w:abstractNumId="132">
    <w:nsid w:val="23C049A"/>
    <w:multiLevelType w:val="hybridMultilevel"/>
    <w:lvl w:ilvl="0">
      <w:lvlJc w:val="left"/>
      <w:lvlText w:val="(%1)"/>
      <w:numFmt w:val="lowerLetter"/>
      <w:start w:val="4"/>
    </w:lvl>
  </w:abstractNum>
  <w:abstractNum w:abstractNumId="133">
    <w:nsid w:val="5BDA35D4"/>
    <w:multiLevelType w:val="hybridMultilevel"/>
    <w:lvl w:ilvl="0">
      <w:lvlJc w:val="left"/>
      <w:lvlText w:val="(%1)"/>
      <w:numFmt w:val="lowerLetter"/>
      <w:start w:val="2"/>
    </w:lvl>
  </w:abstractNum>
  <w:abstractNum w:abstractNumId="134">
    <w:nsid w:val="496FB218"/>
    <w:multiLevelType w:val="hybridMultilevel"/>
    <w:lvl w:ilvl="0">
      <w:lvlJc w:val="left"/>
      <w:lvlText w:val="(%1)"/>
      <w:numFmt w:val="lowerLetter"/>
      <w:start w:val="1"/>
    </w:lvl>
  </w:abstractNum>
  <w:abstractNum w:abstractNumId="135">
    <w:nsid w:val="680EA5D1"/>
    <w:multiLevelType w:val="hybridMultilevel"/>
    <w:lvl w:ilvl="0">
      <w:lvlJc w:val="left"/>
      <w:lvlText w:val="(%1)"/>
      <w:numFmt w:val="lowerLetter"/>
      <w:start w:val="6"/>
    </w:lvl>
  </w:abstractNum>
  <w:abstractNum w:abstractNumId="136">
    <w:nsid w:val="4A9554FE"/>
    <w:multiLevelType w:val="hybridMultilevel"/>
    <w:lvl w:ilvl="0">
      <w:lvlJc w:val="left"/>
      <w:lvlText w:val="(%1)"/>
      <w:numFmt w:val="lowerLetter"/>
      <w:start w:val="1"/>
    </w:lvl>
  </w:abstractNum>
  <w:abstractNum w:abstractNumId="137">
    <w:nsid w:val="392EDBE4"/>
    <w:multiLevelType w:val="hybridMultilevel"/>
    <w:lvl w:ilvl="0">
      <w:lvlJc w:val="left"/>
      <w:lvlText w:val="(%1)"/>
      <w:numFmt w:val="lowerLetter"/>
      <w:start w:val="1"/>
    </w:lvl>
  </w:abstractNum>
  <w:abstractNum w:abstractNumId="138">
    <w:nsid w:val="3D1A2DD9"/>
    <w:multiLevelType w:val="hybridMultilevel"/>
    <w:lvl w:ilvl="0">
      <w:lvlJc w:val="left"/>
      <w:lvlText w:val="(%1)"/>
      <w:numFmt w:val="lowerLetter"/>
      <w:start w:val="5"/>
    </w:lvl>
  </w:abstractNum>
  <w:abstractNum w:abstractNumId="139">
    <w:nsid w:val="7F618FCD"/>
    <w:multiLevelType w:val="hybridMultilevel"/>
    <w:lvl w:ilvl="0">
      <w:lvlJc w:val="left"/>
      <w:lvlText w:val="(%1)"/>
      <w:numFmt w:val="lowerLetter"/>
      <w:start w:val="1"/>
    </w:lvl>
  </w:abstractNum>
  <w:abstractNum w:abstractNumId="140">
    <w:nsid w:val="7843E45"/>
    <w:multiLevelType w:val="hybridMultilevel"/>
    <w:lvl w:ilvl="0">
      <w:lvlJc w:val="left"/>
      <w:lvlText w:val="(%1)"/>
      <w:numFmt w:val="lowerLetter"/>
      <w:start w:val="1"/>
    </w:lvl>
  </w:abstractNum>
  <w:abstractNum w:abstractNumId="141">
    <w:nsid w:val="9815DA3"/>
    <w:multiLevelType w:val="hybridMultilevel"/>
    <w:lvl w:ilvl="0">
      <w:lvlJc w:val="left"/>
      <w:lvlText w:val="(%1)"/>
      <w:numFmt w:val="lowerLetter"/>
      <w:start w:val="1"/>
    </w:lvl>
  </w:abstractNum>
  <w:abstractNum w:abstractNumId="142">
    <w:nsid w:val="5204A191"/>
    <w:multiLevelType w:val="hybridMultilevel"/>
    <w:lvl w:ilvl="0">
      <w:lvlJc w:val="left"/>
      <w:lvlText w:val="(%1)"/>
      <w:numFmt w:val="lowerLetter"/>
      <w:start w:val="4"/>
    </w:lvl>
  </w:abstractNum>
  <w:abstractNum w:abstractNumId="143">
    <w:nsid w:val="4C73A9C6"/>
    <w:multiLevelType w:val="hybridMultilevel"/>
    <w:lvl w:ilvl="0">
      <w:lvlJc w:val="left"/>
      <w:lvlText w:val="(%1)"/>
      <w:numFmt w:val="decimal"/>
      <w:start w:val="1"/>
    </w:lvl>
  </w:abstractNum>
  <w:abstractNum w:abstractNumId="144">
    <w:nsid w:val="1C7E3C01"/>
    <w:multiLevelType w:val="hybridMultilevel"/>
    <w:lvl w:ilvl="0">
      <w:lvlJc w:val="left"/>
      <w:lvlText w:val="(%1)"/>
      <w:numFmt w:val="lowerLetter"/>
      <w:start w:val="1"/>
    </w:lvl>
  </w:abstractNum>
  <w:abstractNum w:abstractNumId="145">
    <w:nsid w:val="1C2201FF"/>
    <w:multiLevelType w:val="hybridMultilevel"/>
    <w:lvl w:ilvl="0">
      <w:lvlJc w:val="left"/>
      <w:lvlText w:val="(%1)"/>
      <w:numFmt w:val="lowerLetter"/>
      <w:start w:val="2"/>
    </w:lvl>
  </w:abstractNum>
  <w:abstractNum w:abstractNumId="146">
    <w:nsid w:val="50ABCEC9"/>
    <w:multiLevelType w:val="hybridMultilevel"/>
    <w:lvl w:ilvl="0">
      <w:lvlJc w:val="left"/>
      <w:lvlText w:val="(%1)"/>
      <w:numFmt w:val="lowerRoman"/>
      <w:start w:val="5"/>
    </w:lvl>
  </w:abstractNum>
  <w:abstractNum w:abstractNumId="147">
    <w:nsid w:val="7635AA2A"/>
    <w:multiLevelType w:val="hybridMultilevel"/>
    <w:lvl w:ilvl="0">
      <w:lvlJc w:val="left"/>
      <w:lvlText w:val="(%1)"/>
      <w:numFmt w:val="lowerLetter"/>
      <w:start w:val="1"/>
    </w:lvl>
  </w:abstractNum>
  <w:abstractNum w:abstractNumId="148">
    <w:nsid w:val="5E74C4D9"/>
    <w:multiLevelType w:val="hybridMultilevel"/>
    <w:lvl w:ilvl="0">
      <w:lvlJc w:val="left"/>
      <w:lvlText w:val="(%1)"/>
      <w:numFmt w:val="lowerLetter"/>
      <w:start w:val="2"/>
    </w:lvl>
  </w:abstractNum>
  <w:abstractNum w:abstractNumId="149">
    <w:nsid w:val="3B3EBE15"/>
    <w:multiLevelType w:val="hybridMultilevel"/>
    <w:lvl w:ilvl="0">
      <w:lvlJc w:val="left"/>
      <w:lvlText w:val="(%1)"/>
      <w:numFmt w:val="lowerLetter"/>
      <w:start w:val="1"/>
    </w:lvl>
    <w:lvl w:ilvl="1">
      <w:lvlJc w:val="left"/>
      <w:lvlText w:val="(%2)"/>
      <w:numFmt w:val="lowerRoman"/>
      <w:start w:val="1"/>
    </w:lvl>
  </w:abstractNum>
  <w:abstractNum w:abstractNumId="150">
    <w:nsid w:val="3822CB01"/>
    <w:multiLevelType w:val="hybridMultilevel"/>
    <w:lvl w:ilvl="0">
      <w:lvlJc w:val="left"/>
      <w:lvlText w:val="(%1)"/>
      <w:numFmt w:val="lowerLetter"/>
      <w:start w:val="1"/>
    </w:lvl>
  </w:abstractNum>
  <w:abstractNum w:abstractNumId="151">
    <w:nsid w:val="6CE00443"/>
    <w:multiLevelType w:val="hybridMultilevel"/>
    <w:lvl w:ilvl="0">
      <w:lvlJc w:val="left"/>
      <w:lvlText w:val="(%1)"/>
      <w:numFmt w:val="lowerLetter"/>
      <w:start w:val="1"/>
    </w:lvl>
  </w:abstractNum>
  <w:abstractNum w:abstractNumId="152">
    <w:nsid w:val="79F0D62F"/>
    <w:multiLevelType w:val="hybridMultilevel"/>
    <w:lvl w:ilvl="0">
      <w:lvlJc w:val="left"/>
      <w:lvlText w:val="(%1)"/>
      <w:numFmt w:val="lowerLetter"/>
      <w:start w:val="2"/>
    </w:lvl>
  </w:abstractNum>
  <w:abstractNum w:abstractNumId="153">
    <w:nsid w:val="7975E8EE"/>
    <w:multiLevelType w:val="hybridMultilevel"/>
    <w:lvl w:ilvl="0">
      <w:lvlJc w:val="left"/>
      <w:lvlText w:val="(%1)"/>
      <w:numFmt w:val="lowerLetter"/>
      <w:start w:val="1"/>
    </w:lvl>
  </w:abstractNum>
  <w:abstractNum w:abstractNumId="154">
    <w:nsid w:val="73154115"/>
    <w:multiLevelType w:val="hybridMultilevel"/>
    <w:lvl w:ilvl="0">
      <w:lvlJc w:val="left"/>
      <w:lvlText w:val="(%1)"/>
      <w:numFmt w:val="lowerLetter"/>
      <w:start w:val="4"/>
    </w:lvl>
  </w:abstractNum>
  <w:abstractNum w:abstractNumId="155">
    <w:nsid w:val="622D8102"/>
    <w:multiLevelType w:val="hybridMultilevel"/>
    <w:lvl w:ilvl="0">
      <w:lvlJc w:val="left"/>
      <w:lvlText w:val="(%1)"/>
      <w:numFmt w:val="lowerLetter"/>
      <w:start w:val="1"/>
    </w:lvl>
    <w:lvl w:ilvl="1">
      <w:lvlJc w:val="left"/>
      <w:lvlText w:val="(%2)"/>
      <w:numFmt w:val="lowerRoman"/>
      <w:start w:val="1"/>
    </w:lvl>
  </w:abstractNum>
  <w:abstractNum w:abstractNumId="156">
    <w:nsid w:val="2AB26587"/>
    <w:multiLevelType w:val="hybridMultilevel"/>
    <w:lvl w:ilvl="0">
      <w:lvlJc w:val="left"/>
      <w:lvlText w:val="(%1)"/>
      <w:numFmt w:val="lowerLetter"/>
      <w:start w:val="1"/>
    </w:lvl>
  </w:abstractNum>
  <w:abstractNum w:abstractNumId="157">
    <w:nsid w:val="44B3FA61"/>
    <w:multiLevelType w:val="hybridMultilevel"/>
    <w:lvl w:ilvl="0">
      <w:lvlJc w:val="left"/>
      <w:lvlText w:val="(%1)"/>
      <w:numFmt w:val="lowerLetter"/>
      <w:start w:val="1"/>
    </w:lvl>
    <w:lvl w:ilvl="1">
      <w:lvlJc w:val="left"/>
      <w:lvlText w:val="(%2)"/>
      <w:numFmt w:val="lowerLetter"/>
      <w:start w:val="9"/>
    </w:lvl>
  </w:abstractNum>
  <w:abstractNum w:abstractNumId="158">
    <w:nsid w:val="1C0CA67C"/>
    <w:multiLevelType w:val="hybridMultilevel"/>
    <w:lvl w:ilvl="0">
      <w:lvlJc w:val="left"/>
      <w:lvlText w:val="(%1)"/>
      <w:numFmt w:val="lowerRoman"/>
      <w:start w:val="2"/>
    </w:lvl>
  </w:abstractNum>
  <w:abstractNum w:abstractNumId="159">
    <w:nsid w:val="3D206613"/>
    <w:multiLevelType w:val="hybridMultilevel"/>
    <w:lvl w:ilvl="0">
      <w:lvlJc w:val="left"/>
      <w:lvlText w:val="(%1)"/>
      <w:numFmt w:val="lowerLetter"/>
      <w:start w:val="2"/>
    </w:lvl>
    <w:lvl w:ilvl="1">
      <w:lvlJc w:val="left"/>
      <w:lvlText w:val="(%2)"/>
      <w:numFmt w:val="lowerRoman"/>
      <w:start w:val="1"/>
    </w:lvl>
  </w:abstractNum>
  <w:abstractNum w:abstractNumId="160">
    <w:nsid w:val="7993B662"/>
    <w:multiLevelType w:val="hybridMultilevel"/>
    <w:lvl w:ilvl="0">
      <w:lvlJc w:val="left"/>
      <w:lvlText w:val="%1"/>
      <w:numFmt w:val="lowerLetter"/>
      <w:start w:val="1"/>
    </w:lvl>
    <w:lvl w:ilvl="1">
      <w:lvlJc w:val="left"/>
      <w:lvlText w:val="(%2)"/>
      <w:numFmt w:val="lowerRoman"/>
      <w:start w:val="3"/>
    </w:lvl>
  </w:abstractNum>
  <w:abstractNum w:abstractNumId="161">
    <w:nsid w:val="3BAB699E"/>
    <w:multiLevelType w:val="hybridMultilevel"/>
    <w:lvl w:ilvl="0">
      <w:lvlJc w:val="left"/>
      <w:lvlText w:val="(%1)"/>
      <w:numFmt w:val="lowerLetter"/>
      <w:start w:val="4"/>
    </w:lvl>
    <w:lvl w:ilvl="1">
      <w:lvlJc w:val="left"/>
      <w:lvlText w:val="%2"/>
      <w:numFmt w:val="lowerRoman"/>
      <w:start w:val="1"/>
    </w:lvl>
  </w:abstractNum>
  <w:abstractNum w:abstractNumId="162">
    <w:nsid w:val="71315369"/>
    <w:multiLevelType w:val="hybridMultilevel"/>
    <w:lvl w:ilvl="0">
      <w:lvlJc w:val="left"/>
      <w:lvlText w:val="(%1)"/>
      <w:numFmt w:val="lowerLetter"/>
      <w:start w:val="5"/>
    </w:lvl>
  </w:abstractNum>
  <w:abstractNum w:abstractNumId="163">
    <w:nsid w:val="7BCFBAFC"/>
    <w:multiLevelType w:val="hybridMultilevel"/>
    <w:lvl w:ilvl="0">
      <w:lvlJc w:val="left"/>
      <w:lvlText w:val="%1."/>
      <w:numFmt w:val="decimal"/>
      <w:start w:val="1"/>
    </w:lvl>
  </w:abstractNum>
  <w:abstractNum w:abstractNumId="164">
    <w:nsid w:val="17859F72"/>
    <w:multiLevelType w:val="hybridMultilevel"/>
    <w:lvl w:ilvl="0">
      <w:lvlJc w:val="left"/>
      <w:lvlText w:val="%1."/>
      <w:numFmt w:val="decimal"/>
      <w:start w:val="2"/>
    </w:lvl>
  </w:abstractNum>
  <w:abstractNum w:abstractNumId="165">
    <w:nsid w:val="3AA10581"/>
    <w:multiLevelType w:val="hybridMultilevel"/>
    <w:lvl w:ilvl="0">
      <w:lvlJc w:val="left"/>
      <w:lvlText w:val="%1."/>
      <w:numFmt w:val="decimal"/>
      <w:start w:val="3"/>
    </w:lvl>
  </w:abstractNum>
  <w:abstractNum w:abstractNumId="166">
    <w:nsid w:val="63DE60CD"/>
    <w:multiLevelType w:val="hybridMultilevel"/>
    <w:lvl w:ilvl="0">
      <w:lvlJc w:val="left"/>
      <w:lvlText w:val="(%1)"/>
      <w:numFmt w:val="lowerRoman"/>
      <w:start w:val="5"/>
    </w:lvl>
  </w:abstractNum>
  <w:abstractNum w:abstractNumId="167">
    <w:nsid w:val="621AF471"/>
    <w:multiLevelType w:val="hybridMultilevel"/>
    <w:lvl w:ilvl="0">
      <w:lvlJc w:val="left"/>
      <w:lvlText w:val="(%1)"/>
      <w:numFmt w:val="lowerRoman"/>
      <w:start w:val="8"/>
    </w:lvl>
  </w:abstractNum>
  <w:abstractNum w:abstractNumId="168">
    <w:nsid w:val="73CFE165"/>
    <w:multiLevelType w:val="hybridMultilevel"/>
    <w:lvl w:ilvl="0">
      <w:lvlJc w:val="left"/>
      <w:lvlText w:val="%1."/>
      <w:numFmt w:val="decimal"/>
      <w:start w:val="4"/>
    </w:lvl>
  </w:abstractNum>
  <w:abstractNum w:abstractNumId="169">
    <w:nsid w:val="20F88EA6"/>
    <w:multiLevelType w:val="hybridMultilevel"/>
    <w:lvl w:ilvl="0">
      <w:lvlJc w:val="left"/>
      <w:lvlText w:val="%1."/>
      <w:numFmt w:val="decimal"/>
      <w:start w:val="6"/>
    </w:lvl>
  </w:abstractNum>
  <w:abstractNum w:abstractNumId="170">
    <w:nsid w:val="617C843E"/>
    <w:multiLevelType w:val="hybridMultilevel"/>
    <w:lvl w:ilvl="0">
      <w:lvlJc w:val="left"/>
      <w:lvlText w:val="%1."/>
      <w:numFmt w:val="decimal"/>
      <w:start w:val="7"/>
    </w:lvl>
  </w:abstractNum>
  <w:abstractNum w:abstractNumId="171">
    <w:nsid w:val="7B541FAB"/>
    <w:multiLevelType w:val="hybridMultilevel"/>
    <w:lvl w:ilvl="0">
      <w:lvlJc w:val="left"/>
      <w:lvlText w:val="%1."/>
      <w:numFmt w:val="decimal"/>
      <w:start w:val="9"/>
    </w:lvl>
  </w:abstractNum>
  <w:abstractNum w:abstractNumId="172">
    <w:nsid w:val="2A79EC49"/>
    <w:multiLevelType w:val="hybridMultilevel"/>
    <w:lvl w:ilvl="0">
      <w:lvlJc w:val="left"/>
      <w:lvlText w:val="%1."/>
      <w:numFmt w:val="decimal"/>
      <w:start w:val="10"/>
    </w:lvl>
  </w:abstractNum>
  <w:abstractNum w:abstractNumId="173">
    <w:nsid w:val="338125CF"/>
    <w:multiLevelType w:val="hybridMultilevel"/>
    <w:lvl w:ilvl="0">
      <w:lvlJc w:val="left"/>
      <w:lvlText w:val="►"/>
      <w:numFmt w:val="bullet"/>
      <w:start w:val="1"/>
    </w:lvl>
  </w:abstractNum>
  <w:abstractNum w:abstractNumId="174">
    <w:nsid w:val="47C7C971"/>
    <w:multiLevelType w:val="hybridMultilevel"/>
    <w:lvl w:ilvl="0">
      <w:lvlJc w:val="left"/>
      <w:lvlText w:val="%1."/>
      <w:numFmt w:val="decimal"/>
      <w:start w:val="1"/>
    </w:lvl>
  </w:abstractNum>
  <w:abstractNum w:abstractNumId="175">
    <w:nsid w:val="46F8284B"/>
    <w:multiLevelType w:val="hybridMultilevel"/>
    <w:lvl w:ilvl="0">
      <w:lvlJc w:val="left"/>
      <w:lvlText w:val="%1."/>
      <w:numFmt w:val="decimal"/>
      <w:start w:val="3"/>
    </w:lvl>
  </w:abstractNum>
  <w:abstractNum w:abstractNumId="176">
    <w:nsid w:val="4FA327CE"/>
    <w:multiLevelType w:val="hybridMultilevel"/>
    <w:lvl w:ilvl="0">
      <w:lvlJc w:val="left"/>
      <w:lvlText w:val="(%1)"/>
      <w:numFmt w:val="lowerLetter"/>
      <w:start w:val="1"/>
    </w:lvl>
  </w:abstractNum>
  <w:abstractNum w:abstractNumId="177">
    <w:nsid w:val="1873983A"/>
    <w:multiLevelType w:val="hybridMultilevel"/>
    <w:lvl w:ilvl="0">
      <w:lvlJc w:val="left"/>
      <w:lvlText w:val="(%1)"/>
      <w:numFmt w:val="lowerLetter"/>
      <w:start w:val="2"/>
    </w:lvl>
  </w:abstractNum>
  <w:abstractNum w:abstractNumId="178">
    <w:nsid w:val="3D2DD275"/>
    <w:multiLevelType w:val="hybridMultilevel"/>
    <w:lvl w:ilvl="0">
      <w:lvlJc w:val="left"/>
      <w:lvlText w:val="%1."/>
      <w:numFmt w:val="decimal"/>
      <w:start w:val="4"/>
    </w:lvl>
  </w:abstractNum>
  <w:abstractNum w:abstractNumId="179">
    <w:nsid w:val="2E17ECA7"/>
    <w:multiLevelType w:val="hybridMultilevel"/>
    <w:lvl w:ilvl="0">
      <w:lvlJc w:val="left"/>
      <w:lvlText w:val="%1."/>
      <w:numFmt w:val="decimal"/>
      <w:start w:val="5"/>
    </w:lvl>
  </w:abstractNum>
  <w:abstractNum w:abstractNumId="180">
    <w:nsid w:val="53B2564F"/>
    <w:multiLevelType w:val="hybridMultilevel"/>
    <w:lvl w:ilvl="0">
      <w:lvlJc w:val="left"/>
      <w:lvlText w:val="%1."/>
      <w:numFmt w:val="decimal"/>
      <w:start w:val="6"/>
    </w:lvl>
  </w:abstractNum>
  <w:abstractNum w:abstractNumId="181">
    <w:nsid w:val="75509D76"/>
    <w:multiLevelType w:val="hybridMultilevel"/>
    <w:lvl w:ilvl="0">
      <w:lvlJc w:val="left"/>
      <w:lvlText w:val="%1."/>
      <w:numFmt w:val="decimal"/>
      <w:start w:val="2"/>
    </w:lvl>
  </w:abstractNum>
  <w:abstractNum w:abstractNumId="182">
    <w:nsid w:val="1AF7F0EA"/>
    <w:multiLevelType w:val="hybridMultilevel"/>
    <w:lvl w:ilvl="0">
      <w:lvlJc w:val="left"/>
      <w:lvlText w:val="%1."/>
      <w:numFmt w:val="decimal"/>
      <w:start w:val="4"/>
    </w:lvl>
  </w:abstractNum>
  <w:abstractNum w:abstractNumId="183">
    <w:nsid w:val="4DA32C7E"/>
    <w:multiLevelType w:val="hybridMultilevel"/>
    <w:lvl w:ilvl="0">
      <w:lvlJc w:val="left"/>
      <w:lvlText w:val="%1."/>
      <w:numFmt w:val="decimal"/>
      <w:start w:val="7"/>
    </w:lvl>
  </w:abstractNum>
  <w:abstractNum w:abstractNumId="184">
    <w:nsid w:val="6EC68664"/>
    <w:multiLevelType w:val="hybridMultilevel"/>
    <w:lvl w:ilvl="0">
      <w:lvlJc w:val="left"/>
      <w:lvlText w:val="%1."/>
      <w:numFmt w:val="decimal"/>
      <w:start w:val="2"/>
    </w:lvl>
  </w:abstractNum>
  <w:abstractNum w:abstractNumId="185">
    <w:nsid w:val="E0D31FF"/>
    <w:multiLevelType w:val="hybridMultilevel"/>
    <w:lvl w:ilvl="0">
      <w:lvlJc w:val="left"/>
      <w:lvlText w:val="%1."/>
      <w:numFmt w:val="decimal"/>
      <w:start w:val="3"/>
    </w:lvl>
  </w:abstractNum>
  <w:abstractNum w:abstractNumId="186">
    <w:nsid w:val="2FD0AD81"/>
    <w:multiLevelType w:val="hybridMultilevel"/>
    <w:lvl w:ilvl="0">
      <w:lvlJc w:val="left"/>
      <w:lvlText w:val="%1."/>
      <w:numFmt w:val="decimal"/>
      <w:start w:val="4"/>
    </w:lvl>
  </w:abstractNum>
  <w:abstractNum w:abstractNumId="187">
    <w:nsid w:val="1978EBEB"/>
    <w:multiLevelType w:val="hybridMultilevel"/>
    <w:lvl w:ilvl="0">
      <w:lvlJc w:val="left"/>
      <w:lvlText w:val="%1."/>
      <w:numFmt w:val="decimal"/>
      <w:start w:val="8"/>
    </w:lvl>
  </w:abstractNum>
  <w:abstractNum w:abstractNumId="188">
    <w:nsid w:val="52C12C61"/>
    <w:multiLevelType w:val="hybridMultilevel"/>
    <w:lvl w:ilvl="0">
      <w:lvlJc w:val="left"/>
      <w:lvlText w:val="%1."/>
      <w:numFmt w:val="decimal"/>
      <w:start w:val="2"/>
    </w:lvl>
  </w:abstractNum>
  <w:abstractNum w:abstractNumId="189">
    <w:nsid w:val="4BDD53FD"/>
    <w:multiLevelType w:val="hybridMultilevel"/>
    <w:lvl w:ilvl="0">
      <w:lvlJc w:val="left"/>
      <w:lvlText w:val="%1."/>
      <w:numFmt w:val="decimal"/>
      <w:start w:val="4"/>
    </w:lvl>
  </w:abstractNum>
  <w:abstractNum w:abstractNumId="190">
    <w:nsid w:val="569951FE"/>
    <w:multiLevelType w:val="hybridMultilevel"/>
    <w:lvl w:ilvl="0">
      <w:lvlJc w:val="left"/>
      <w:lvlText w:val="%1."/>
      <w:numFmt w:val="decimal"/>
      <w:start w:val="11"/>
    </w:lvl>
  </w:abstractNum>
  <w:abstractNum w:abstractNumId="191">
    <w:nsid w:val="4C54E2C3"/>
    <w:multiLevelType w:val="hybridMultilevel"/>
    <w:lvl w:ilvl="0">
      <w:lvlJc w:val="left"/>
      <w:lvlText w:val="%1."/>
      <w:numFmt w:val="decimal"/>
      <w:start w:val="2"/>
    </w:lvl>
  </w:abstractNum>
  <w:abstractNum w:abstractNumId="192">
    <w:nsid w:val="788BD9B"/>
    <w:multiLevelType w:val="hybridMultilevel"/>
    <w:lvl w:ilvl="0">
      <w:lvlJc w:val="left"/>
      <w:lvlText w:val="%1."/>
      <w:numFmt w:val="decimal"/>
      <w:start w:val="4"/>
    </w:lvl>
  </w:abstractNum>
  <w:abstractNum w:abstractNumId="193">
    <w:nsid w:val="47CAA567"/>
    <w:multiLevelType w:val="hybridMultilevel"/>
    <w:lvl w:ilvl="0">
      <w:lvlJc w:val="left"/>
      <w:lvlText w:val="%1."/>
      <w:numFmt w:val="decimal"/>
      <w:start w:val="11"/>
    </w:lvl>
  </w:abstractNum>
  <w:abstractNum w:abstractNumId="194">
    <w:nsid w:val="48249DBF"/>
    <w:multiLevelType w:val="hybridMultilevel"/>
    <w:lvl w:ilvl="0">
      <w:lvlJc w:val="left"/>
      <w:lvlText w:val="%1."/>
      <w:numFmt w:val="decimal"/>
      <w:start w:val="1"/>
    </w:lvl>
  </w:abstractNum>
  <w:abstractNum w:abstractNumId="195">
    <w:nsid w:val="1F0E5D0D"/>
    <w:multiLevelType w:val="hybridMultilevel"/>
    <w:lvl w:ilvl="0">
      <w:lvlJc w:val="left"/>
      <w:lvlText w:val="%1."/>
      <w:numFmt w:val="decimal"/>
      <w:start w:val="6"/>
    </w:lvl>
  </w:abstractNum>
  <w:abstractNum w:abstractNumId="196">
    <w:nsid w:val="26BAAE9"/>
    <w:multiLevelType w:val="hybridMultilevel"/>
    <w:lvl w:ilvl="0">
      <w:lvlJc w:val="left"/>
      <w:lvlText w:val="%1."/>
      <w:numFmt w:val="decimal"/>
      <w:start w:val="1"/>
    </w:lvl>
    <w:lvl w:ilvl="1">
      <w:lvlJc w:val="left"/>
      <w:lvlText w:val="(%2)"/>
      <w:numFmt w:val="upperLetter"/>
      <w:start w:val="1"/>
    </w:lvl>
  </w:abstractNum>
  <w:abstractNum w:abstractNumId="197">
    <w:nsid w:val="2C02FE8C"/>
    <w:multiLevelType w:val="hybridMultilevel"/>
    <w:lvl w:ilvl="0">
      <w:lvlJc w:val="left"/>
      <w:lvlText w:val="(%1)"/>
      <w:numFmt w:val="lowerRoman"/>
      <w:start w:val="1"/>
    </w:lvl>
  </w:abstractNum>
  <w:abstractNum w:abstractNumId="198">
    <w:nsid w:val="129517E"/>
    <w:multiLevelType w:val="hybridMultilevel"/>
    <w:lvl w:ilvl="0">
      <w:lvlJc w:val="left"/>
      <w:lvlText w:val="(%1)"/>
      <w:numFmt w:val="upperLetter"/>
      <w:start w:val="2"/>
    </w:lvl>
    <w:lvl w:ilvl="1">
      <w:lvlJc w:val="left"/>
      <w:lvlText w:val="(%2)"/>
      <w:numFmt w:val="lowerRoman"/>
      <w:start w:val="1"/>
    </w:lvl>
  </w:abstractNum>
  <w:abstractNum w:abstractNumId="199">
    <w:nsid w:val="763B8C4E"/>
    <w:multiLevelType w:val="hybridMultilevel"/>
    <w:lvl w:ilvl="0">
      <w:lvlJc w:val="left"/>
      <w:lvlText w:val="%1"/>
      <w:numFmt w:val="upperLetter"/>
      <w:start w:val="1"/>
    </w:lvl>
    <w:lvl w:ilvl="1">
      <w:lvlJc w:val="left"/>
      <w:lvlText w:val="(%2)"/>
      <w:numFmt w:val="lowerRoman"/>
      <w:start w:val="3"/>
    </w:lvl>
  </w:abstractNum>
  <w:abstractNum w:abstractNumId="200">
    <w:nsid w:val="4CFB8D32"/>
    <w:multiLevelType w:val="hybridMultilevel"/>
    <w:lvl w:ilvl="0">
      <w:lvlJc w:val="left"/>
      <w:lvlText w:val="(%1)"/>
      <w:numFmt w:val="upperLetter"/>
      <w:start w:val="3"/>
    </w:lvl>
    <w:lvl w:ilvl="1">
      <w:lvlJc w:val="left"/>
      <w:lvlText w:val="(%2)"/>
      <w:numFmt w:val="lowerRoman"/>
      <w:start w:val="1"/>
    </w:lvl>
  </w:abstractNum>
  <w:abstractNum w:abstractNumId="201">
    <w:nsid w:val="62A5D5BD"/>
    <w:multiLevelType w:val="hybridMultilevel"/>
    <w:lvl w:ilvl="0">
      <w:lvlJc w:val="left"/>
      <w:lvlText w:val="%1"/>
      <w:numFmt w:val="decimal"/>
      <w:start w:val="1"/>
    </w:lvl>
    <w:lvl w:ilvl="1">
      <w:lvlJc w:val="left"/>
      <w:lvlText w:val="(%2)"/>
      <w:numFmt w:val="upperLetter"/>
      <w:start w:val="5"/>
    </w:lvl>
  </w:abstractNum>
  <w:abstractNum w:abstractNumId="202">
    <w:nsid w:val="718FABF9"/>
    <w:multiLevelType w:val="hybridMultilevel"/>
    <w:lvl w:ilvl="0">
      <w:lvlJc w:val="left"/>
      <w:lvlText w:val="%1."/>
      <w:numFmt w:val="decimal"/>
      <w:start w:val="3"/>
    </w:lvl>
    <w:lvl w:ilvl="1">
      <w:lvlJc w:val="left"/>
      <w:lvlText w:val="%2"/>
      <w:numFmt w:val="upperLetter"/>
      <w:start w:val="1"/>
    </w:lvl>
  </w:abstractNum>
  <w:abstractNum w:abstractNumId="203">
    <w:nsid w:val="7775797C"/>
    <w:multiLevelType w:val="hybridMultilevel"/>
    <w:lvl w:ilvl="0">
      <w:lvlJc w:val="left"/>
      <w:lvlText w:val="%1."/>
      <w:numFmt w:val="decimal"/>
      <w:start w:val="4"/>
    </w:lvl>
  </w:abstractNum>
  <w:abstractNum w:abstractNumId="204">
    <w:nsid w:val="1626FB8C"/>
    <w:multiLevelType w:val="hybridMultilevel"/>
    <w:lvl w:ilvl="0">
      <w:lvlJc w:val="left"/>
      <w:lvlText w:val="(%1)"/>
      <w:numFmt w:val="upperLetter"/>
      <w:start w:val="1"/>
    </w:lvl>
  </w:abstractNum>
  <w:abstractNum w:abstractNumId="205">
    <w:nsid w:val="3957756A"/>
    <w:multiLevelType w:val="hybridMultilevel"/>
    <w:lvl w:ilvl="0">
      <w:lvlJc w:val="left"/>
      <w:lvlText w:val="%1"/>
      <w:numFmt w:val="decimal"/>
      <w:start w:val="1"/>
    </w:lvl>
    <w:lvl w:ilvl="1">
      <w:lvlJc w:val="left"/>
      <w:lvlText w:val="(%2)"/>
      <w:numFmt w:val="upperLetter"/>
      <w:start w:val="2"/>
    </w:lvl>
  </w:abstractNum>
  <w:abstractNum w:abstractNumId="206">
    <w:nsid w:val="3E6DA1C7"/>
    <w:multiLevelType w:val="hybridMultilevel"/>
    <w:lvl w:ilvl="0">
      <w:lvlJc w:val="left"/>
      <w:lvlText w:val="%1."/>
      <w:numFmt w:val="decimal"/>
      <w:start w:val="5"/>
    </w:lvl>
    <w:lvl w:ilvl="1">
      <w:lvlJc w:val="left"/>
      <w:lvlText w:val="%2"/>
      <w:numFmt w:val="upperLetter"/>
      <w:start w:val="1"/>
    </w:lvl>
  </w:abstractNum>
  <w:abstractNum w:abstractNumId="207">
    <w:nsid w:val="65CA235B"/>
    <w:multiLevelType w:val="hybridMultilevel"/>
    <w:lvl w:ilvl="0">
      <w:lvlJc w:val="left"/>
      <w:lvlText w:val="(%1)"/>
      <w:numFmt w:val="upperLetter"/>
      <w:start w:val="1"/>
    </w:lvl>
  </w:abstractNum>
  <w:abstractNum w:abstractNumId="208">
    <w:nsid w:val="51CB0DA4"/>
    <w:multiLevelType w:val="hybridMultilevel"/>
    <w:lvl w:ilvl="0">
      <w:lvlJc w:val="left"/>
      <w:lvlText w:val="%1"/>
      <w:numFmt w:val="decimal"/>
      <w:start w:val="1"/>
    </w:lvl>
    <w:lvl w:ilvl="1">
      <w:lvlJc w:val="left"/>
      <w:lvlText w:val="(%2)"/>
      <w:numFmt w:val="upperLetter"/>
      <w:start w:val="4"/>
    </w:lvl>
  </w:abstractNum>
  <w:abstractNum w:abstractNumId="209">
    <w:nsid w:val="7B9B743C"/>
    <w:multiLevelType w:val="hybridMultilevel"/>
    <w:lvl w:ilvl="0">
      <w:lvlJc w:val="left"/>
      <w:lvlText w:val="%1."/>
      <w:numFmt w:val="decimal"/>
      <w:start w:val="6"/>
    </w:lvl>
    <w:lvl w:ilvl="1">
      <w:lvlJc w:val="left"/>
      <w:lvlText w:val="%2"/>
      <w:numFmt w:val="upperLetter"/>
      <w:start w:val="1"/>
    </w:lvl>
  </w:abstractNum>
  <w:abstractNum w:abstractNumId="210">
    <w:nsid w:val="13E21002"/>
    <w:multiLevelType w:val="hybridMultilevel"/>
    <w:lvl w:ilvl="0">
      <w:lvlJc w:val="left"/>
      <w:lvlText w:val="%1."/>
      <w:numFmt w:val="decimal"/>
      <w:start w:val="7"/>
    </w:lvl>
  </w:abstractNum>
  <w:abstractNum w:abstractNumId="211">
    <w:nsid w:val="257D63F4"/>
    <w:multiLevelType w:val="hybridMultilevel"/>
    <w:lvl w:ilvl="0">
      <w:lvlJc w:val="left"/>
      <w:lvlText w:val="%1."/>
      <w:numFmt w:val="decimal"/>
      <w:start w:val="8"/>
    </w:lvl>
  </w:abstractNum>
  <w:abstractNum w:abstractNumId="212">
    <w:nsid w:val="70EC11B2"/>
    <w:multiLevelType w:val="hybridMultilevel"/>
    <w:lvl w:ilvl="0">
      <w:lvlJc w:val="left"/>
      <w:lvlText w:val="%1."/>
      <w:numFmt w:val="decimal"/>
      <w:start w:val="9"/>
    </w:lvl>
  </w:abstractNum>
  <w:abstractNum w:abstractNumId="213">
    <w:nsid w:val="2EDA00ED"/>
    <w:multiLevelType w:val="hybridMultilevel"/>
    <w:lvl w:ilvl="0">
      <w:lvlJc w:val="left"/>
      <w:lvlText w:val="%1."/>
      <w:numFmt w:val="decimal"/>
      <w:start w:val="10"/>
    </w:lvl>
  </w:abstractNum>
  <w:abstractNum w:abstractNumId="214">
    <w:nsid w:val="73209072"/>
    <w:multiLevelType w:val="hybridMultilevel"/>
    <w:lvl w:ilvl="0">
      <w:lvlJc w:val="left"/>
      <w:lvlText w:val="%1."/>
      <w:numFmt w:val="decimal"/>
      <w:start w:val="11"/>
    </w:lvl>
  </w:abstractNum>
  <w:abstractNum w:abstractNumId="215">
    <w:nsid w:val="5FB29816"/>
    <w:multiLevelType w:val="hybridMultilevel"/>
    <w:lvl w:ilvl="0">
      <w:lvlJc w:val="left"/>
      <w:lvlText w:val="%1."/>
      <w:numFmt w:val="decimal"/>
      <w:start w:val="12"/>
    </w:lvl>
  </w:abstractNum>
  <w:abstractNum w:abstractNumId="216">
    <w:nsid w:val="3CE732EC"/>
    <w:multiLevelType w:val="hybridMultilevel"/>
    <w:lvl w:ilvl="0">
      <w:lvlJc w:val="left"/>
      <w:lvlText w:val="%1."/>
      <w:numFmt w:val="decimal"/>
      <w:start w:val="13"/>
    </w:lvl>
  </w:abstractNum>
  <w:abstractNum w:abstractNumId="217">
    <w:nsid w:val="22F13DF3"/>
    <w:multiLevelType w:val="hybridMultilevel"/>
    <w:lvl w:ilvl="0">
      <w:lvlJc w:val="left"/>
      <w:lvlText w:val="%1."/>
      <w:numFmt w:val="decimal"/>
      <w:start w:val="14"/>
    </w:lvl>
  </w:abstractNum>
  <w:abstractNum w:abstractNumId="218">
    <w:nsid w:val="792B8401"/>
    <w:multiLevelType w:val="hybridMultilevel"/>
    <w:lvl w:ilvl="0">
      <w:lvlJc w:val="left"/>
      <w:lvlText w:val="%1."/>
      <w:numFmt w:val="decimal"/>
      <w:start w:val="15"/>
    </w:lvl>
    <w:lvl w:ilvl="1">
      <w:lvlJc w:val="left"/>
      <w:lvlText w:val="(%2)"/>
      <w:numFmt w:val="upperLetter"/>
      <w:start w:val="1"/>
    </w:lvl>
  </w:abstractNum>
  <w:abstractNum w:abstractNumId="219">
    <w:nsid w:val="FA85F4D"/>
    <w:multiLevelType w:val="hybridMultilevel"/>
    <w:lvl w:ilvl="0">
      <w:lvlJc w:val="left"/>
      <w:lvlText w:val="%1."/>
      <w:numFmt w:val="decimal"/>
      <w:start w:val="17"/>
    </w:lvl>
  </w:abstractNum>
  <w:abstractNum w:abstractNumId="220">
    <w:nsid w:val="6ECE91F0"/>
    <w:multiLevelType w:val="hybridMultilevel"/>
    <w:lvl w:ilvl="0">
      <w:lvlJc w:val="left"/>
      <w:lvlText w:val="%1."/>
      <w:numFmt w:val="decimal"/>
      <w:start w:val="1"/>
    </w:lvl>
  </w:abstractNum>
  <w:abstractNum w:abstractNumId="221">
    <w:nsid w:val="4FC4D600"/>
    <w:multiLevelType w:val="hybridMultilevel"/>
    <w:lvl w:ilvl="0">
      <w:lvlJc w:val="left"/>
      <w:lvlText w:val="%1."/>
      <w:numFmt w:val="upperLetter"/>
      <w:start w:val="1"/>
    </w:lvl>
  </w:abstractNum>
  <w:abstractNum w:abstractNumId="222">
    <w:nsid w:val="5BFD4210"/>
    <w:multiLevelType w:val="hybridMultilevel"/>
    <w:lvl w:ilvl="0">
      <w:lvlJc w:val="left"/>
      <w:lvlText w:val="%1."/>
      <w:numFmt w:val="decimal"/>
      <w:start w:val="5"/>
    </w:lvl>
  </w:abstractNum>
  <w:abstractNum w:abstractNumId="223">
    <w:nsid w:val="76574F8B"/>
    <w:multiLevelType w:val="hybridMultilevel"/>
    <w:lvl w:ilvl="0">
      <w:lvlJc w:val="left"/>
      <w:lvlText w:val="%1."/>
      <w:numFmt w:val="upperLetter"/>
      <w:start w:val="1"/>
    </w:lvl>
  </w:abstractNum>
  <w:abstractNum w:abstractNumId="224">
    <w:nsid w:val="178F7B67"/>
    <w:multiLevelType w:val="hybridMultilevel"/>
    <w:lvl w:ilvl="0">
      <w:lvlJc w:val="left"/>
      <w:lvlText w:val="%1."/>
      <w:numFmt w:val="upperLetter"/>
      <w:start w:val="5"/>
    </w:lvl>
  </w:abstractNum>
  <w:abstractNum w:abstractNumId="225">
    <w:nsid w:val="2421DFCF"/>
    <w:multiLevelType w:val="hybridMultilevel"/>
    <w:lvl w:ilvl="0">
      <w:lvlJc w:val="left"/>
      <w:lvlText w:val="%1."/>
      <w:numFmt w:val="decimal"/>
      <w:start w:val="2"/>
    </w:lvl>
  </w:abstractNum>
  <w:abstractNum w:abstractNumId="226">
    <w:nsid w:val="1565AC99"/>
    <w:multiLevelType w:val="hybridMultilevel"/>
    <w:lvl w:ilvl="0">
      <w:lvlJc w:val="left"/>
      <w:lvlText w:val="%1."/>
      <w:numFmt w:val="decimal"/>
      <w:start w:val="3"/>
    </w:lvl>
  </w:abstractNum>
  <w:abstractNum w:abstractNumId="227">
    <w:nsid w:val="19FB2650"/>
    <w:multiLevelType w:val="hybridMultilevel"/>
    <w:lvl w:ilvl="0">
      <w:lvlJc w:val="left"/>
      <w:lvlText w:val="%1."/>
      <w:numFmt w:val="upperLetter"/>
      <w:start w:val="1"/>
    </w:lvl>
  </w:abstractNum>
  <w:abstractNum w:abstractNumId="228">
    <w:nsid w:val="5024DE5B"/>
    <w:multiLevelType w:val="hybridMultilevel"/>
    <w:lvl w:ilvl="0">
      <w:lvlJc w:val="left"/>
      <w:lvlText w:val="%1."/>
      <w:numFmt w:val="decimal"/>
      <w:start w:val="4"/>
    </w:lvl>
  </w:abstractNum>
  <w:abstractNum w:abstractNumId="229">
    <w:nsid w:val="168EFE17"/>
    <w:multiLevelType w:val="hybridMultilevel"/>
    <w:lvl w:ilvl="0">
      <w:lvlJc w:val="left"/>
      <w:lvlText w:val="%1."/>
      <w:numFmt w:val="decimal"/>
      <w:start w:val="5"/>
    </w:lvl>
  </w:abstractNum>
  <w:abstractNum w:abstractNumId="230">
    <w:nsid w:val="1036B29F"/>
    <w:multiLevelType w:val="hybridMultilevel"/>
    <w:lvl w:ilvl="0">
      <w:lvlJc w:val="left"/>
      <w:lvlText w:val="%1."/>
      <w:numFmt w:val="decimal"/>
      <w:start w:val="1"/>
    </w:lvl>
  </w:abstractNum>
  <w:abstractNum w:abstractNumId="231">
    <w:nsid w:val="1D206B8E"/>
    <w:multiLevelType w:val="hybridMultilevel"/>
    <w:lvl w:ilvl="0">
      <w:lvlJc w:val="left"/>
      <w:lvlText w:val="%1."/>
      <w:numFmt w:val="decimal"/>
      <w:start w:val="7"/>
    </w:lvl>
  </w:abstractNum>
  <w:abstractNum w:abstractNumId="232">
    <w:nsid w:val="7934D3D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33">
    <w:nsid w:val="1C65E98"/>
    <w:multiLevelType w:val="hybridMultilevel"/>
    <w:lvl w:ilvl="0">
      <w:lvlJc w:val="left"/>
      <w:lvlText w:val="(%1)"/>
      <w:numFmt w:val="lowerRoman"/>
      <w:start w:val="2"/>
    </w:lvl>
  </w:abstractNum>
  <w:abstractNum w:abstractNumId="234">
    <w:nsid w:val="1495E50A"/>
    <w:multiLevelType w:val="hybridMultilevel"/>
    <w:lvl w:ilvl="0">
      <w:lvlJc w:val="left"/>
      <w:lvlText w:val="%1."/>
      <w:numFmt w:val="upperLetter"/>
      <w:start w:val="2"/>
    </w:lvl>
    <w:lvl w:ilvl="1">
      <w:lvlJc w:val="left"/>
      <w:lvlText w:val="(%2)"/>
      <w:numFmt w:val="lowerRoman"/>
      <w:start w:val="1"/>
    </w:lvl>
  </w:abstractNum>
  <w:abstractNum w:abstractNumId="235">
    <w:nsid w:val="F5BCF61"/>
    <w:multiLevelType w:val="hybridMultilevel"/>
    <w:lvl w:ilvl="0">
      <w:lvlJc w:val="left"/>
      <w:lvlText w:val="%1"/>
      <w:numFmt w:val="upperLetter"/>
      <w:start w:val="1"/>
    </w:lvl>
    <w:lvl w:ilvl="1">
      <w:lvlJc w:val="left"/>
      <w:lvlText w:val="(%2)"/>
      <w:numFmt w:val="lowerRoman"/>
      <w:start w:val="4"/>
    </w:lvl>
  </w:abstractNum>
  <w:abstractNum w:abstractNumId="236">
    <w:nsid w:val="3B1DD403"/>
    <w:multiLevelType w:val="hybridMultilevel"/>
    <w:lvl w:ilvl="0">
      <w:lvlJc w:val="left"/>
      <w:lvlText w:val="%1."/>
      <w:numFmt w:val="upperLetter"/>
      <w:start w:val="3"/>
    </w:lvl>
    <w:lvl w:ilvl="1">
      <w:lvlJc w:val="left"/>
      <w:lvlText w:val="(%2)"/>
      <w:numFmt w:val="lowerRoman"/>
      <w:start w:val="1"/>
    </w:lvl>
  </w:abstractNum>
  <w:abstractNum w:abstractNumId="237">
    <w:nsid w:val="530386D1"/>
    <w:multiLevelType w:val="hybridMultilevel"/>
    <w:lvl w:ilvl="0">
      <w:lvlJc w:val="left"/>
      <w:lvlText w:val="%1."/>
      <w:numFmt w:val="upperLetter"/>
      <w:start w:val="5"/>
    </w:lvl>
  </w:abstractNum>
  <w:abstractNum w:abstractNumId="238">
    <w:nsid w:val="7525F2BC"/>
    <w:multiLevelType w:val="hybridMultilevel"/>
    <w:lvl w:ilvl="0">
      <w:lvlJc w:val="left"/>
      <w:lvlText w:val="%1"/>
      <w:numFmt w:val="decimal"/>
      <w:start w:val="1"/>
    </w:lvl>
    <w:lvl w:ilvl="1">
      <w:lvlJc w:val="left"/>
      <w:lvlText w:val="%2."/>
      <w:numFmt w:val="upperLetter"/>
      <w:start w:val="6"/>
    </w:lvl>
  </w:abstractNum>
  <w:abstractNum w:abstractNumId="239">
    <w:nsid w:val="CE8E1A7"/>
    <w:multiLevelType w:val="hybridMultilevel"/>
    <w:lvl w:ilvl="0">
      <w:lvlJc w:val="left"/>
      <w:lvlText w:val="%1."/>
      <w:numFmt w:val="decimal"/>
      <w:start w:val="3"/>
    </w:lvl>
    <w:lvl w:ilvl="1">
      <w:lvlJc w:val="left"/>
      <w:lvlText w:val="%2"/>
      <w:numFmt w:val="upperLetter"/>
      <w:start w:val="1"/>
    </w:lvl>
  </w:abstractNum>
  <w:abstractNum w:abstractNumId="240">
    <w:nsid w:val="4E9EFB0D"/>
    <w:multiLevelType w:val="hybridMultilevel"/>
    <w:lvl w:ilvl="0">
      <w:lvlJc w:val="left"/>
      <w:lvlText w:val="%1."/>
      <w:numFmt w:val="decimal"/>
      <w:start w:val="4"/>
    </w:lvl>
  </w:abstractNum>
  <w:abstractNum w:abstractNumId="241">
    <w:nsid w:val="90802BE"/>
    <w:multiLevelType w:val="hybridMultilevel"/>
    <w:lvl w:ilvl="0">
      <w:lvlJc w:val="left"/>
      <w:lvlText w:val="%1."/>
      <w:numFmt w:val="upperLetter"/>
      <w:start w:val="1"/>
    </w:lvl>
  </w:abstractNum>
  <w:abstractNum w:abstractNumId="242">
    <w:nsid w:val="3266459B"/>
    <w:multiLevelType w:val="hybridMultilevel"/>
    <w:lvl w:ilvl="0">
      <w:lvlJc w:val="left"/>
      <w:lvlText w:val="%1."/>
      <w:numFmt w:val="decimal"/>
      <w:start w:val="5"/>
    </w:lvl>
  </w:abstractNum>
  <w:abstractNum w:abstractNumId="243">
    <w:nsid w:val="3F8B0CBF"/>
    <w:multiLevelType w:val="hybridMultilevel"/>
    <w:lvl w:ilvl="0">
      <w:lvlJc w:val="left"/>
      <w:lvlText w:val="%1."/>
      <w:numFmt w:val="upperLetter"/>
      <w:start w:val="1"/>
    </w:lvl>
  </w:abstractNum>
  <w:abstractNum w:abstractNumId="244">
    <w:nsid w:val="37E203AB"/>
    <w:multiLevelType w:val="hybridMultilevel"/>
    <w:lvl w:ilvl="0">
      <w:lvlJc w:val="left"/>
      <w:lvlText w:val="%1"/>
      <w:numFmt w:val="decimal"/>
      <w:start w:val="1"/>
    </w:lvl>
    <w:lvl w:ilvl="1">
      <w:lvlJc w:val="left"/>
      <w:lvlText w:val="%2."/>
      <w:numFmt w:val="upperLetter"/>
      <w:start w:val="5"/>
    </w:lvl>
  </w:abstractNum>
  <w:abstractNum w:abstractNumId="245">
    <w:nsid w:val="2586D60E"/>
    <w:multiLevelType w:val="hybridMultilevel"/>
    <w:lvl w:ilvl="0">
      <w:lvlJc w:val="left"/>
      <w:lvlText w:val="%1."/>
      <w:numFmt w:val="decimal"/>
      <w:start w:val="6"/>
    </w:lvl>
    <w:lvl w:ilvl="1">
      <w:lvlJc w:val="left"/>
      <w:lvlText w:val="%2"/>
      <w:numFmt w:val="upperLetter"/>
      <w:start w:val="1"/>
    </w:lvl>
  </w:abstractNum>
  <w:abstractNum w:abstractNumId="246">
    <w:nsid w:val="1F3DA4D5"/>
    <w:multiLevelType w:val="hybridMultilevel"/>
    <w:lvl w:ilvl="0">
      <w:lvlJc w:val="left"/>
      <w:lvlText w:val="%1."/>
      <w:numFmt w:val="decimal"/>
      <w:start w:val="7"/>
    </w:lvl>
  </w:abstractNum>
  <w:abstractNum w:abstractNumId="247">
    <w:nsid w:val="74C93698"/>
    <w:multiLevelType w:val="hybridMultilevel"/>
    <w:lvl w:ilvl="0">
      <w:lvlJc w:val="left"/>
      <w:lvlText w:val="%1."/>
      <w:numFmt w:val="decimal"/>
      <w:start w:val="8"/>
    </w:lvl>
  </w:abstractNum>
  <w:abstractNum w:abstractNumId="248">
    <w:nsid w:val="48781401"/>
    <w:multiLevelType w:val="hybridMultilevel"/>
    <w:lvl w:ilvl="0">
      <w:lvlJc w:val="left"/>
      <w:lvlText w:val="%1."/>
      <w:numFmt w:val="decimal"/>
      <w:start w:val="9"/>
    </w:lvl>
  </w:abstractNum>
  <w:abstractNum w:abstractNumId="249">
    <w:nsid w:val="186928D6"/>
    <w:multiLevelType w:val="hybridMultilevel"/>
    <w:lvl w:ilvl="0">
      <w:lvlJc w:val="left"/>
      <w:lvlText w:val="%1."/>
      <w:numFmt w:val="decimal"/>
      <w:start w:val="10"/>
    </w:lvl>
  </w:abstractNum>
  <w:abstractNum w:abstractNumId="250">
    <w:nsid w:val="47195E5"/>
    <w:multiLevelType w:val="hybridMultilevel"/>
    <w:lvl w:ilvl="0">
      <w:lvlJc w:val="left"/>
      <w:lvlText w:val="%1."/>
      <w:numFmt w:val="decimal"/>
      <w:start w:val="11"/>
    </w:lvl>
  </w:abstractNum>
  <w:abstractNum w:abstractNumId="251">
    <w:nsid w:val="3746A5F2"/>
    <w:multiLevelType w:val="hybridMultilevel"/>
    <w:lvl w:ilvl="0">
      <w:lvlJc w:val="left"/>
      <w:lvlText w:val="%1."/>
      <w:numFmt w:val="decimal"/>
      <w:start w:val="12"/>
    </w:lvl>
  </w:abstractNum>
  <w:abstractNum w:abstractNumId="252">
    <w:nsid w:val="682DFED6"/>
    <w:multiLevelType w:val="hybridMultilevel"/>
    <w:lvl w:ilvl="0">
      <w:lvlJc w:val="left"/>
      <w:lvlText w:val="%1."/>
      <w:numFmt w:val="decimal"/>
      <w:start w:val="13"/>
    </w:lvl>
  </w:abstractNum>
  <w:abstractNum w:abstractNumId="253">
    <w:nsid w:val="606ED7F6"/>
    <w:multiLevelType w:val="hybridMultilevel"/>
    <w:lvl w:ilvl="0">
      <w:lvlJc w:val="left"/>
      <w:lvlText w:val="%1."/>
      <w:numFmt w:val="decimal"/>
      <w:start w:val="14"/>
    </w:lvl>
    <w:lvl w:ilvl="1">
      <w:lvlJc w:val="left"/>
      <w:lvlText w:val="%2."/>
      <w:numFmt w:val="upperLetter"/>
      <w:start w:val="1"/>
    </w:lvl>
  </w:abstractNum>
  <w:abstractNum w:abstractNumId="254">
    <w:nsid w:val="2D9DF57D"/>
    <w:multiLevelType w:val="hybridMultilevel"/>
    <w:lvl w:ilvl="0">
      <w:lvlJc w:val="left"/>
      <w:lvlText w:val="%1."/>
      <w:numFmt w:val="decimal"/>
      <w:start w:val="16"/>
    </w:lvl>
  </w:abstractNum>
  <w:abstractNum w:abstractNumId="255">
    <w:nsid w:val="7FBD7A3E"/>
    <w:multiLevelType w:val="hybridMultilevel"/>
    <w:lvl w:ilvl="0">
      <w:lvlJc w:val="left"/>
      <w:lvlText w:val="%1."/>
      <w:numFmt w:val="decimal"/>
      <w:start w:val="1"/>
    </w:lvl>
  </w:abstractNum>
  <w:abstractNum w:abstractNumId="256">
    <w:nsid w:val="490B7C5"/>
    <w:multiLevelType w:val="hybridMultilevel"/>
    <w:lvl w:ilvl="0">
      <w:lvlJc w:val="left"/>
      <w:lvlText w:val="%1."/>
      <w:numFmt w:val="decimal"/>
      <w:start w:val="2"/>
    </w:lvl>
  </w:abstractNum>
  <w:abstractNum w:abstractNumId="257">
    <w:nsid w:val="4303A216"/>
    <w:multiLevelType w:val="hybridMultilevel"/>
    <w:lvl w:ilvl="0">
      <w:lvlJc w:val="left"/>
      <w:lvlText w:val="%1."/>
      <w:numFmt w:val="upperLetter"/>
      <w:start w:val="1"/>
    </w:lvl>
  </w:abstractNum>
  <w:abstractNum w:abstractNumId="258">
    <w:nsid w:val="19B8A08E"/>
    <w:multiLevelType w:val="hybridMultilevel"/>
    <w:lvl w:ilvl="0">
      <w:lvlJc w:val="left"/>
      <w:lvlText w:val="%1."/>
      <w:numFmt w:val="decimal"/>
      <w:start w:val="5"/>
    </w:lvl>
  </w:abstractNum>
  <w:abstractNum w:abstractNumId="259">
    <w:nsid w:val="54B59621"/>
    <w:multiLevelType w:val="hybridMultilevel"/>
    <w:lvl w:ilvl="0">
      <w:lvlJc w:val="left"/>
      <w:lvlText w:val="%1."/>
      <w:numFmt w:val="upperLetter"/>
      <w:start w:val="1"/>
    </w:lvl>
  </w:abstractNum>
  <w:abstractNum w:abstractNumId="260">
    <w:nsid w:val="5992A02E"/>
    <w:multiLevelType w:val="hybridMultilevel"/>
    <w:lvl w:ilvl="0">
      <w:lvlJc w:val="left"/>
      <w:lvlText w:val="%1."/>
      <w:numFmt w:val="upperLetter"/>
      <w:start w:val="5"/>
    </w:lvl>
  </w:abstractNum>
  <w:abstractNum w:abstractNumId="261">
    <w:nsid w:val="29EF532D"/>
    <w:multiLevelType w:val="hybridMultilevel"/>
    <w:lvl w:ilvl="0">
      <w:lvlJc w:val="left"/>
      <w:lvlText w:val="%1."/>
      <w:numFmt w:val="decimal"/>
      <w:start w:val="3"/>
    </w:lvl>
  </w:abstractNum>
  <w:abstractNum w:abstractNumId="262">
    <w:nsid w:val="71D601AF"/>
    <w:multiLevelType w:val="hybridMultilevel"/>
    <w:lvl w:ilvl="0">
      <w:lvlJc w:val="left"/>
      <w:lvlText w:val="%1."/>
      <w:numFmt w:val="upperLetter"/>
      <w:start w:val="1"/>
    </w:lvl>
  </w:abstractNum>
  <w:abstractNum w:abstractNumId="263">
    <w:nsid w:val="52C77402"/>
    <w:multiLevelType w:val="hybridMultilevel"/>
    <w:lvl w:ilvl="0">
      <w:lvlJc w:val="left"/>
      <w:lvlText w:val="%1."/>
      <w:numFmt w:val="decimal"/>
      <w:start w:val="4"/>
    </w:lvl>
  </w:abstractNum>
  <w:abstractNum w:abstractNumId="264">
    <w:nsid w:val="2BB5B1C6"/>
    <w:multiLevelType w:val="hybridMultilevel"/>
    <w:lvl w:ilvl="0">
      <w:lvlJc w:val="left"/>
      <w:lvlText w:val="%1."/>
      <w:numFmt w:val="decimal"/>
      <w:start w:val="5"/>
    </w:lvl>
  </w:abstractNum>
  <w:abstractNum w:abstractNumId="265">
    <w:nsid w:val="66BE6B9"/>
    <w:multiLevelType w:val="hybridMultilevel"/>
    <w:lvl w:ilvl="0">
      <w:lvlJc w:val="left"/>
      <w:lvlText w:val="%1."/>
      <w:numFmt w:val="decimal"/>
      <w:start w:val="1"/>
    </w:lvl>
  </w:abstractNum>
  <w:abstractNum w:abstractNumId="266">
    <w:nsid w:val="62234363"/>
    <w:multiLevelType w:val="hybridMultilevel"/>
    <w:lvl w:ilvl="0">
      <w:lvlJc w:val="left"/>
      <w:lvlText w:val="%1."/>
      <w:numFmt w:val="decimal"/>
      <w:start w:val="7"/>
    </w:lvl>
  </w:abstractNum>
  <w:abstractNum w:abstractNumId="267">
    <w:nsid w:val="66D385C9"/>
    <w:multiLevelType w:val="hybridMultilevel"/>
    <w:lvl w:ilvl="0">
      <w:lvlJc w:val="left"/>
      <w:lvlText w:val="●"/>
      <w:numFmt w:val="bullet"/>
      <w:start w:val="1"/>
    </w:lvl>
  </w:abstractNum>
  <w:abstractNum w:abstractNumId="268">
    <w:nsid w:val="596F6D8A"/>
    <w:multiLevelType w:val="hybridMultilevel"/>
    <w:lvl w:ilvl="0">
      <w:lvlJc w:val="left"/>
      <w:lvlText w:val="●"/>
      <w:numFmt w:val="bullet"/>
      <w:start w:val="1"/>
    </w:lvl>
  </w:abstractNum>
  <w:abstractNum w:abstractNumId="269">
    <w:nsid w:val="5749361F"/>
    <w:multiLevelType w:val="hybridMultilevel"/>
    <w:lvl w:ilvl="0">
      <w:lvlJc w:val="left"/>
      <w:lvlText w:val="(%1)"/>
      <w:numFmt w:val="lowerRoman"/>
      <w:start w:val="1"/>
    </w:lvl>
  </w:abstractNum>
  <w:abstractNum w:abstractNumId="270">
    <w:nsid w:val="73BC6770"/>
    <w:multiLevelType w:val="hybridMultilevel"/>
    <w:lvl w:ilvl="0">
      <w:lvlJc w:val="left"/>
      <w:lvlText w:val="%1:"/>
      <w:numFmt w:val="upperLetter"/>
      <w:start w:val="17"/>
    </w:lvl>
  </w:abstractNum>
  <w:abstractNum w:abstractNumId="271">
    <w:nsid w:val="280E6897"/>
    <w:multiLevelType w:val="hybridMultilevel"/>
    <w:lvl w:ilvl="0">
      <w:lvlJc w:val="left"/>
      <w:lvlText w:val="%1:"/>
      <w:numFmt w:val="upperLetter"/>
      <w:start w:val="1"/>
    </w:lvl>
  </w:abstractNum>
  <w:abstractNum w:abstractNumId="272">
    <w:nsid w:val="605138DE"/>
    <w:multiLevelType w:val="hybridMultilevel"/>
    <w:lvl w:ilvl="0">
      <w:lvlJc w:val="left"/>
      <w:lvlText w:val="%1:"/>
      <w:numFmt w:val="upperLetter"/>
      <w:start w:val="17"/>
    </w:lvl>
  </w:abstractNum>
  <w:abstractNum w:abstractNumId="273">
    <w:nsid w:val="2622AD0C"/>
    <w:multiLevelType w:val="hybridMultilevel"/>
    <w:lvl w:ilvl="0">
      <w:lvlJc w:val="left"/>
      <w:lvlText w:val="%1:"/>
      <w:numFmt w:val="upperLetter"/>
      <w:start w:val="1"/>
    </w:lvl>
  </w:abstractNum>
  <w:abstractNum w:abstractNumId="274">
    <w:nsid w:val="67997556"/>
    <w:multiLevelType w:val="hybridMultilevel"/>
    <w:lvl w:ilvl="0">
      <w:lvlJc w:val="left"/>
      <w:lvlText w:val="%1:"/>
      <w:numFmt w:val="upperLetter"/>
      <w:start w:val="17"/>
    </w:lvl>
  </w:abstractNum>
  <w:abstractNum w:abstractNumId="275">
    <w:nsid w:val="18333C89"/>
    <w:multiLevelType w:val="hybridMultilevel"/>
    <w:lvl w:ilvl="0">
      <w:lvlJc w:val="left"/>
      <w:lvlText w:val="%1:"/>
      <w:numFmt w:val="upperLetter"/>
      <w:start w:val="1"/>
    </w:lvl>
  </w:abstractNum>
  <w:abstractNum w:abstractNumId="276">
    <w:nsid w:val="4BA9831A"/>
    <w:multiLevelType w:val="hybridMultilevel"/>
    <w:lvl w:ilvl="0">
      <w:lvlJc w:val="left"/>
      <w:lvlText w:val="%1:"/>
      <w:numFmt w:val="upperLetter"/>
      <w:start w:val="17"/>
    </w:lvl>
  </w:abstractNum>
  <w:abstractNum w:abstractNumId="277">
    <w:nsid w:val="6D71A2B"/>
    <w:multiLevelType w:val="hybridMultilevel"/>
    <w:lvl w:ilvl="0">
      <w:lvlJc w:val="left"/>
      <w:lvlText w:val="%1:"/>
      <w:numFmt w:val="upperLetter"/>
      <w:start w:val="17"/>
    </w:lvl>
  </w:abstractNum>
  <w:abstractNum w:abstractNumId="278">
    <w:nsid w:val="CFC7321"/>
    <w:multiLevelType w:val="hybridMultilevel"/>
    <w:lvl w:ilvl="0">
      <w:lvlJc w:val="left"/>
      <w:lvlText w:val="%1:"/>
      <w:numFmt w:val="upperLetter"/>
      <w:start w:val="1"/>
    </w:lvl>
  </w:abstractNum>
  <w:abstractNum w:abstractNumId="279">
    <w:nsid w:val="1421971B"/>
    <w:multiLevelType w:val="hybridMultilevel"/>
    <w:lvl w:ilvl="0">
      <w:lvlJc w:val="left"/>
      <w:lvlText w:val="%1:"/>
      <w:numFmt w:val="upperLetter"/>
      <w:start w:val="17"/>
    </w:lvl>
  </w:abstractNum>
  <w:abstractNum w:abstractNumId="280">
    <w:nsid w:val="1F404301"/>
    <w:multiLevelType w:val="hybridMultilevel"/>
    <w:lvl w:ilvl="0">
      <w:lvlJc w:val="left"/>
      <w:lvlText w:val="%1:"/>
      <w:numFmt w:val="upperLetter"/>
      <w:start w:val="1"/>
    </w:lvl>
  </w:abstractNum>
  <w:abstractNum w:abstractNumId="281">
    <w:nsid w:val="116E0907"/>
    <w:multiLevelType w:val="hybridMultilevel"/>
    <w:lvl w:ilvl="0">
      <w:lvlJc w:val="left"/>
      <w:lvlText w:val="%1:"/>
      <w:numFmt w:val="upperLetter"/>
      <w:start w:val="17"/>
    </w:lvl>
  </w:abstractNum>
  <w:abstractNum w:abstractNumId="282">
    <w:nsid w:val="4B683D0D"/>
    <w:multiLevelType w:val="hybridMultilevel"/>
    <w:lvl w:ilvl="0">
      <w:lvlJc w:val="left"/>
      <w:lvlText w:val="%1:"/>
      <w:numFmt w:val="upperLetter"/>
      <w:start w:val="1"/>
    </w:lvl>
  </w:abstractNum>
  <w:abstractNum w:abstractNumId="283">
    <w:nsid w:val="76E41D8"/>
    <w:multiLevelType w:val="hybridMultilevel"/>
    <w:lvl w:ilvl="0">
      <w:lvlJc w:val="left"/>
      <w:lvlText w:val="%1:"/>
      <w:numFmt w:val="upperLetter"/>
      <w:start w:val="17"/>
    </w:lvl>
  </w:abstractNum>
  <w:abstractNum w:abstractNumId="284">
    <w:nsid w:val="71DCE0FD"/>
    <w:multiLevelType w:val="hybridMultilevel"/>
    <w:lvl w:ilvl="0">
      <w:lvlJc w:val="left"/>
      <w:lvlText w:val="%1:"/>
      <w:numFmt w:val="upperLetter"/>
      <w:start w:val="1"/>
    </w:lvl>
  </w:abstractNum>
  <w:abstractNum w:abstractNumId="285">
    <w:nsid w:val="7906328B"/>
    <w:multiLevelType w:val="hybridMultilevel"/>
    <w:lvl w:ilvl="0">
      <w:lvlJc w:val="left"/>
      <w:lvlText w:val="%1:"/>
      <w:numFmt w:val="upperLetter"/>
      <w:start w:val="17"/>
    </w:lvl>
  </w:abstractNum>
  <w:abstractNum w:abstractNumId="286">
    <w:nsid w:val="72BBC16"/>
    <w:multiLevelType w:val="hybridMultilevel"/>
    <w:lvl w:ilvl="0">
      <w:lvlJc w:val="left"/>
      <w:lvlText w:val="%1:"/>
      <w:numFmt w:val="upperLetter"/>
      <w:start w:val="1"/>
    </w:lvl>
  </w:abstractNum>
  <w:abstractNum w:abstractNumId="287">
    <w:nsid w:val="766D98C2"/>
    <w:multiLevelType w:val="hybridMultilevel"/>
    <w:lvl w:ilvl="0">
      <w:lvlJc w:val="left"/>
      <w:lvlText w:val="%1:"/>
      <w:numFmt w:val="upperLetter"/>
      <w:start w:val="17"/>
    </w:lvl>
  </w:abstractNum>
  <w:abstractNum w:abstractNumId="288">
    <w:nsid w:val="3C09D4A1"/>
    <w:multiLevelType w:val="hybridMultilevel"/>
    <w:lvl w:ilvl="0">
      <w:lvlJc w:val="left"/>
      <w:lvlText w:val="%1:"/>
      <w:numFmt w:val="upperLetter"/>
      <w:start w:val="1"/>
    </w:lvl>
  </w:abstractNum>
  <w:abstractNum w:abstractNumId="289">
    <w:nsid w:val="20E45CA4"/>
    <w:multiLevelType w:val="hybridMultilevel"/>
    <w:lvl w:ilvl="0">
      <w:lvlJc w:val="left"/>
      <w:lvlText w:val="%1:"/>
      <w:numFmt w:val="upperLetter"/>
      <w:start w:val="17"/>
    </w:lvl>
  </w:abstractNum>
  <w:abstractNum w:abstractNumId="290">
    <w:nsid w:val="4B232EE3"/>
    <w:multiLevelType w:val="hybridMultilevel"/>
    <w:lvl w:ilvl="0">
      <w:lvlJc w:val="left"/>
      <w:lvlText w:val="%1:"/>
      <w:numFmt w:val="upperLetter"/>
      <w:start w:val="1"/>
    </w:lvl>
  </w:abstractNum>
  <w:abstractNum w:abstractNumId="291">
    <w:nsid w:val="159C74CF"/>
    <w:multiLevelType w:val="hybridMultilevel"/>
    <w:lvl w:ilvl="0">
      <w:lvlJc w:val="left"/>
      <w:lvlText w:val="%1:"/>
      <w:numFmt w:val="upperLetter"/>
      <w:start w:val="17"/>
    </w:lvl>
  </w:abstractNum>
  <w:abstractNum w:abstractNumId="292">
    <w:nsid w:val="4AD3AFD2"/>
    <w:multiLevelType w:val="hybridMultilevel"/>
    <w:lvl w:ilvl="0">
      <w:lvlJc w:val="left"/>
      <w:lvlText w:val="%1:"/>
      <w:numFmt w:val="upperLetter"/>
      <w:start w:val="1"/>
    </w:lvl>
  </w:abstractNum>
  <w:abstractNum w:abstractNumId="293">
    <w:nsid w:val="3CF93092"/>
    <w:multiLevelType w:val="hybridMultilevel"/>
    <w:lvl w:ilvl="0">
      <w:lvlJc w:val="left"/>
      <w:lvlText w:val="%1:"/>
      <w:numFmt w:val="upperLetter"/>
      <w:start w:val="17"/>
    </w:lvl>
  </w:abstractNum>
  <w:abstractNum w:abstractNumId="294">
    <w:nsid w:val="6863E8D2"/>
    <w:multiLevelType w:val="hybridMultilevel"/>
    <w:lvl w:ilvl="0">
      <w:lvlJc w:val="left"/>
      <w:lvlText w:val="%1:"/>
      <w:numFmt w:val="upperLetter"/>
      <w:start w:val="1"/>
    </w:lvl>
  </w:abstractNum>
  <w:abstractNum w:abstractNumId="295">
    <w:nsid w:val="76896198"/>
    <w:multiLevelType w:val="hybridMultilevel"/>
    <w:lvl w:ilvl="0">
      <w:lvlJc w:val="left"/>
      <w:lvlText w:val="%1:"/>
      <w:numFmt w:val="upperLetter"/>
      <w:start w:val="17"/>
    </w:lvl>
  </w:abstractNum>
  <w:abstractNum w:abstractNumId="296">
    <w:nsid w:val="4365174B"/>
    <w:multiLevelType w:val="hybridMultilevel"/>
    <w:lvl w:ilvl="0">
      <w:lvlJc w:val="left"/>
      <w:lvlText w:val="%1:"/>
      <w:numFmt w:val="upperLetter"/>
      <w:start w:val="1"/>
    </w:lvl>
  </w:abstractNum>
  <w:abstractNum w:abstractNumId="297">
    <w:nsid w:val="4A872C35"/>
    <w:multiLevelType w:val="hybridMultilevel"/>
    <w:lvl w:ilvl="0">
      <w:lvlJc w:val="left"/>
      <w:lvlText w:val="%1:"/>
      <w:numFmt w:val="upperLetter"/>
      <w:start w:val="17"/>
    </w:lvl>
  </w:abstractNum>
  <w:abstractNum w:abstractNumId="298">
    <w:nsid w:val="5D5CE761"/>
    <w:multiLevelType w:val="hybridMultilevel"/>
    <w:lvl w:ilvl="0">
      <w:lvlJc w:val="left"/>
      <w:lvlText w:val="%1:"/>
      <w:numFmt w:val="upperLetter"/>
      <w:start w:val="1"/>
    </w:lvl>
  </w:abstractNum>
  <w:abstractNum w:abstractNumId="299">
    <w:nsid w:val="1CD484D5"/>
    <w:multiLevelType w:val="hybridMultilevel"/>
    <w:lvl w:ilvl="0">
      <w:lvlJc w:val="left"/>
      <w:lvlText w:val="%1:"/>
      <w:numFmt w:val="upperLetter"/>
      <w:start w:val="17"/>
    </w:lvl>
  </w:abstractNum>
  <w:abstractNum w:abstractNumId="300">
    <w:nsid w:val="21D06255"/>
    <w:multiLevelType w:val="hybridMultilevel"/>
    <w:lvl w:ilvl="0">
      <w:lvlJc w:val="left"/>
      <w:lvlText w:val="%1:"/>
      <w:numFmt w:val="upperLetter"/>
      <w:start w:val="1"/>
    </w:lvl>
  </w:abstractNum>
  <w:abstractNum w:abstractNumId="301">
    <w:nsid w:val="51194ED1"/>
    <w:multiLevelType w:val="hybridMultilevel"/>
    <w:lvl w:ilvl="0">
      <w:lvlJc w:val="left"/>
      <w:lvlText w:val="%1:"/>
      <w:numFmt w:val="upperLetter"/>
      <w:start w:val="17"/>
    </w:lvl>
  </w:abstractNum>
  <w:abstractNum w:abstractNumId="302">
    <w:nsid w:val="44E2ED6C"/>
    <w:multiLevelType w:val="hybridMultilevel"/>
    <w:lvl w:ilvl="0">
      <w:lvlJc w:val="left"/>
      <w:lvlText w:val="%1:"/>
      <w:numFmt w:val="upperLetter"/>
      <w:start w:val="1"/>
    </w:lvl>
  </w:abstractNum>
  <w:abstractNum w:abstractNumId="303">
    <w:nsid w:val="2219B33"/>
    <w:multiLevelType w:val="hybridMultilevel"/>
    <w:lvl w:ilvl="0">
      <w:lvlJc w:val="left"/>
      <w:lvlText w:val="%1:"/>
      <w:numFmt w:val="upperLetter"/>
      <w:start w:val="17"/>
    </w:lvl>
  </w:abstractNum>
  <w:abstractNum w:abstractNumId="304">
    <w:nsid w:val="773BFBDD"/>
    <w:multiLevelType w:val="hybridMultilevel"/>
    <w:lvl w:ilvl="0">
      <w:lvlJc w:val="left"/>
      <w:lvlText w:val="%1:"/>
      <w:numFmt w:val="upperLetter"/>
      <w:start w:val="1"/>
    </w:lvl>
  </w:abstractNum>
  <w:abstractNum w:abstractNumId="305">
    <w:nsid w:val="2C7C62C2"/>
    <w:multiLevelType w:val="hybridMultilevel"/>
    <w:lvl w:ilvl="0">
      <w:lvlJc w:val="left"/>
      <w:lvlText w:val="%1:"/>
      <w:numFmt w:val="upperLetter"/>
      <w:start w:val="17"/>
    </w:lvl>
  </w:abstractNum>
  <w:abstractNum w:abstractNumId="306">
    <w:nsid w:val="1A54D7BC"/>
    <w:multiLevelType w:val="hybridMultilevel"/>
    <w:lvl w:ilvl="0">
      <w:lvlJc w:val="left"/>
      <w:lvlText w:val="%1:"/>
      <w:numFmt w:val="upperLetter"/>
      <w:start w:val="1"/>
    </w:lvl>
  </w:abstractNum>
  <w:abstractNum w:abstractNumId="307">
    <w:nsid w:val="42E57EF7"/>
    <w:multiLevelType w:val="hybridMultilevel"/>
    <w:lvl w:ilvl="0">
      <w:lvlJc w:val="left"/>
      <w:lvlText w:val="%1:"/>
      <w:numFmt w:val="upperLetter"/>
      <w:start w:val="17"/>
    </w:lvl>
  </w:abstractNum>
  <w:abstractNum w:abstractNumId="308">
    <w:nsid w:val="33537CED"/>
    <w:multiLevelType w:val="hybridMultilevel"/>
    <w:lvl w:ilvl="0">
      <w:lvlJc w:val="left"/>
      <w:lvlText w:val="%1:"/>
      <w:numFmt w:val="upperLetter"/>
      <w:start w:val="1"/>
    </w:lvl>
  </w:abstractNum>
  <w:abstractNum w:abstractNumId="309">
    <w:nsid w:val="27514ADE"/>
    <w:multiLevelType w:val="hybridMultilevel"/>
    <w:lvl w:ilvl="0">
      <w:lvlJc w:val="left"/>
      <w:lvlText w:val="●"/>
      <w:numFmt w:val="bullet"/>
      <w:start w:val="1"/>
    </w:lvl>
  </w:abstractNum>
  <w:abstractNum w:abstractNumId="310">
    <w:nsid w:val="57071613"/>
    <w:multiLevelType w:val="hybridMultilevel"/>
    <w:lvl w:ilvl="0">
      <w:lvlJc w:val="left"/>
      <w:lvlText w:val="•"/>
      <w:numFmt w:val="bullet"/>
      <w:start w:val="1"/>
    </w:lvl>
  </w:abstractNum>
  <w:abstractNum w:abstractNumId="311">
    <w:nsid w:val="5293BFEF"/>
    <w:multiLevelType w:val="hybridMultilevel"/>
    <w:lvl w:ilvl="0">
      <w:lvlJc w:val="left"/>
      <w:lvlText w:val="•"/>
      <w:numFmt w:val="bullet"/>
      <w:start w:val="1"/>
    </w:lvl>
  </w:abstractNum>
  <w:abstractNum w:abstractNumId="312">
    <w:nsid w:val="38BF53E5"/>
    <w:multiLevelType w:val="hybridMultilevel"/>
    <w:lvl w:ilvl="0">
      <w:lvlJc w:val="left"/>
      <w:lvlText w:val="•"/>
      <w:numFmt w:val="bullet"/>
      <w:start w:val="1"/>
    </w:lvl>
  </w:abstractNum>
  <w:abstractNum w:abstractNumId="313">
    <w:nsid w:val="226F5320"/>
    <w:multiLevelType w:val="hybridMultilevel"/>
    <w:lvl w:ilvl="0">
      <w:lvlJc w:val="left"/>
      <w:lvlText w:val="•"/>
      <w:numFmt w:val="bullet"/>
      <w:start w:val="1"/>
    </w:lvl>
  </w:abstractNum>
  <w:abstractNum w:abstractNumId="314">
    <w:nsid w:val="5A0201C7"/>
    <w:multiLevelType w:val="hybridMultilevel"/>
    <w:lvl w:ilvl="0">
      <w:lvlJc w:val="left"/>
      <w:lvlText w:val="(%1)"/>
      <w:numFmt w:val="decimal"/>
      <w:start w:val="1"/>
    </w:lvl>
  </w:abstractNum>
  <w:abstractNum w:abstractNumId="315">
    <w:nsid w:val="2A9C34E2"/>
    <w:multiLevelType w:val="hybridMultilevel"/>
    <w:lvl w:ilvl="0">
      <w:lvlJc w:val="left"/>
      <w:lvlText w:val="(%1)"/>
      <w:numFmt w:val="decimal"/>
      <w:start w:val="2"/>
    </w:lvl>
  </w:abstractNum>
  <w:abstractNum w:abstractNumId="316">
    <w:nsid w:val="1B7585AB"/>
    <w:multiLevelType w:val="hybridMultilevel"/>
    <w:lvl w:ilvl="0">
      <w:lvlJc w:val="left"/>
      <w:lvlText w:val="●"/>
      <w:numFmt w:val="bullet"/>
      <w:start w:val="1"/>
    </w:lvl>
  </w:abstractNum>
  <w:abstractNum w:abstractNumId="317">
    <w:nsid w:val="612DBDDD"/>
    <w:multiLevelType w:val="hybridMultilevel"/>
    <w:lvl w:ilvl="0">
      <w:lvlJc w:val="left"/>
      <w:lvlText w:val="●"/>
      <w:numFmt w:val="bullet"/>
      <w:start w:val="1"/>
    </w:lvl>
  </w:abstractNum>
  <w:abstractNum w:abstractNumId="318">
    <w:nsid w:val="2109CDA4"/>
    <w:multiLevelType w:val="hybridMultilevel"/>
    <w:lvl w:ilvl="0">
      <w:lvlJc w:val="left"/>
      <w:lvlText w:val="●"/>
      <w:numFmt w:val="bullet"/>
      <w:start w:val="1"/>
    </w:lvl>
  </w:abstractNum>
  <w:abstractNum w:abstractNumId="319">
    <w:nsid w:val="577F5A4D"/>
    <w:multiLevelType w:val="hybridMultilevel"/>
    <w:lvl w:ilvl="0">
      <w:lvlJc w:val="left"/>
      <w:lvlText w:val="●"/>
      <w:numFmt w:val="bullet"/>
      <w:start w:val="1"/>
    </w:lvl>
  </w:abstractNum>
  <w:abstractNum w:abstractNumId="320">
    <w:nsid w:val="2121A81"/>
    <w:multiLevelType w:val="hybridMultilevel"/>
    <w:lvl w:ilvl="0">
      <w:lvlJc w:val="left"/>
      <w:lvlText w:val="●"/>
      <w:numFmt w:val="bullet"/>
      <w:start w:val="1"/>
    </w:lvl>
  </w:abstractNum>
  <w:abstractNum w:abstractNumId="321">
    <w:nsid w:val="6C2CFC88"/>
    <w:multiLevelType w:val="hybridMultilevel"/>
    <w:lvl w:ilvl="0">
      <w:lvlJc w:val="left"/>
      <w:lvlText w:val="●"/>
      <w:numFmt w:val="bullet"/>
      <w:start w:val="1"/>
    </w:lvl>
  </w:abstractNum>
  <w:abstractNum w:abstractNumId="322">
    <w:nsid w:val="6D1BCF1C"/>
    <w:multiLevelType w:val="hybridMultilevel"/>
    <w:lvl w:ilvl="0">
      <w:lvlJc w:val="left"/>
      <w:lvlText w:val="●"/>
      <w:numFmt w:val="bullet"/>
      <w:start w:val="1"/>
    </w:lvl>
  </w:abstractNum>
  <w:abstractNum w:abstractNumId="323">
    <w:nsid w:val="4CE5CA53"/>
    <w:multiLevelType w:val="hybridMultilevel"/>
    <w:lvl w:ilvl="0">
      <w:lvlJc w:val="left"/>
      <w:lvlText w:val="●"/>
      <w:numFmt w:val="bullet"/>
      <w:start w:val="1"/>
    </w:lvl>
  </w:abstractNum>
  <w:abstractNum w:abstractNumId="324">
    <w:nsid w:val="29262D1A"/>
    <w:multiLevelType w:val="hybridMultilevel"/>
    <w:lvl w:ilvl="0">
      <w:lvlJc w:val="left"/>
      <w:lvlText w:val="●"/>
      <w:numFmt w:val="bullet"/>
      <w:start w:val="1"/>
    </w:lvl>
  </w:abstractNum>
  <w:abstractNum w:abstractNumId="325">
    <w:nsid w:val="557FB7EE"/>
    <w:multiLevelType w:val="hybridMultilevel"/>
    <w:lvl w:ilvl="0">
      <w:lvlJc w:val="left"/>
      <w:lvlText w:val="●"/>
      <w:numFmt w:val="bullet"/>
      <w:start w:val="1"/>
    </w:lvl>
  </w:abstractNum>
  <w:abstractNum w:abstractNumId="326">
    <w:nsid w:val="436F2BEB"/>
    <w:multiLevelType w:val="hybridMultilevel"/>
    <w:lvl w:ilvl="0">
      <w:lvlJc w:val="left"/>
      <w:lvlText w:val="●"/>
      <w:numFmt w:val="bullet"/>
      <w:start w:val="1"/>
    </w:lvl>
  </w:abstractNum>
  <w:abstractNum w:abstractNumId="327">
    <w:nsid w:val="6C8B4466"/>
    <w:multiLevelType w:val="hybridMultilevel"/>
    <w:lvl w:ilvl="0">
      <w:lvlJc w:val="left"/>
      <w:lvlText w:val="●"/>
      <w:numFmt w:val="bullet"/>
      <w:start w:val="1"/>
    </w:lvl>
  </w:abstractNum>
  <w:abstractNum w:abstractNumId="328">
    <w:nsid w:val="2006E424"/>
    <w:multiLevelType w:val="hybridMultilevel"/>
    <w:lvl w:ilvl="0">
      <w:lvlJc w:val="left"/>
      <w:lvlText w:val="●"/>
      <w:numFmt w:val="bullet"/>
      <w:start w:val="1"/>
    </w:lvl>
  </w:abstractNum>
  <w:abstractNum w:abstractNumId="329">
    <w:nsid w:val="20CC134C"/>
    <w:multiLevelType w:val="hybridMultilevel"/>
    <w:lvl w:ilvl="0">
      <w:lvlJc w:val="left"/>
      <w:lvlText w:val="●"/>
      <w:numFmt w:val="bullet"/>
      <w:start w:val="1"/>
    </w:lvl>
  </w:abstractNum>
  <w:abstractNum w:abstractNumId="330">
    <w:nsid w:val="95FC93B"/>
    <w:multiLevelType w:val="hybridMultilevel"/>
    <w:lvl w:ilvl="0">
      <w:lvlJc w:val="left"/>
      <w:lvlText w:val="●"/>
      <w:numFmt w:val="bullet"/>
      <w:start w:val="1"/>
    </w:lvl>
  </w:abstractNum>
  <w:abstractNum w:abstractNumId="331">
    <w:nsid w:val="41D74679"/>
    <w:multiLevelType w:val="hybridMultilevel"/>
    <w:lvl w:ilvl="0">
      <w:lvlJc w:val="left"/>
      <w:lvlText w:val="●"/>
      <w:numFmt w:val="bullet"/>
      <w:start w:val="1"/>
    </w:lvl>
  </w:abstractNum>
  <w:abstractNum w:abstractNumId="332">
    <w:nsid w:val="71E5621E"/>
    <w:multiLevelType w:val="hybridMultilevel"/>
    <w:lvl w:ilvl="0">
      <w:lvlJc w:val="left"/>
      <w:lvlText w:val="●"/>
      <w:numFmt w:val="bullet"/>
      <w:start w:val="1"/>
    </w:lvl>
  </w:abstractNum>
  <w:abstractNum w:abstractNumId="333">
    <w:nsid w:val="4E42B6A8"/>
    <w:multiLevelType w:val="hybridMultilevel"/>
    <w:lvl w:ilvl="0">
      <w:lvlJc w:val="left"/>
      <w:lvlText w:val="●"/>
      <w:numFmt w:val="bullet"/>
      <w:start w:val="1"/>
    </w:lvl>
  </w:abstractNum>
  <w:abstractNum w:abstractNumId="334">
    <w:nsid w:val="43F8E1AC"/>
    <w:multiLevelType w:val="hybridMultilevel"/>
    <w:lvl w:ilvl="0">
      <w:lvlJc w:val="left"/>
      <w:lvlText w:val="●"/>
      <w:numFmt w:val="bullet"/>
      <w:start w:val="1"/>
    </w:lvl>
  </w:abstractNum>
  <w:abstractNum w:abstractNumId="335">
    <w:nsid w:val="69215DFB"/>
    <w:multiLevelType w:val="hybridMultilevel"/>
    <w:lvl w:ilvl="0">
      <w:lvlJc w:val="left"/>
      <w:lvlText w:val="●"/>
      <w:numFmt w:val="bullet"/>
      <w:start w:val="1"/>
    </w:lvl>
  </w:abstractNum>
  <w:abstractNum w:abstractNumId="336">
    <w:nsid w:val="7ABF196A"/>
    <w:multiLevelType w:val="hybridMultilevel"/>
    <w:lvl w:ilvl="0">
      <w:lvlJc w:val="left"/>
      <w:lvlText w:val="●"/>
      <w:numFmt w:val="bullet"/>
      <w:start w:val="1"/>
    </w:lvl>
  </w:abstractNum>
  <w:abstractNum w:abstractNumId="337">
    <w:nsid w:val="5E4DB968"/>
    <w:multiLevelType w:val="hybridMultilevel"/>
    <w:lvl w:ilvl="0">
      <w:lvlJc w:val="left"/>
      <w:lvlText w:val="●"/>
      <w:numFmt w:val="bullet"/>
      <w:start w:val="1"/>
    </w:lvl>
  </w:abstractNum>
  <w:abstractNum w:abstractNumId="338">
    <w:nsid w:val="2C06DCF3"/>
    <w:multiLevelType w:val="hybridMultilevel"/>
    <w:lvl w:ilvl="0">
      <w:lvlJc w:val="left"/>
      <w:lvlText w:val="●"/>
      <w:numFmt w:val="bullet"/>
      <w:start w:val="1"/>
    </w:lvl>
  </w:abstractNum>
  <w:abstractNum w:abstractNumId="339">
    <w:nsid w:val="2E129658"/>
    <w:multiLevelType w:val="hybridMultilevel"/>
    <w:lvl w:ilvl="0">
      <w:lvlJc w:val="left"/>
      <w:lvlText w:val="●"/>
      <w:numFmt w:val="bullet"/>
      <w:start w:val="1"/>
    </w:lvl>
  </w:abstractNum>
  <w:abstractNum w:abstractNumId="340">
    <w:nsid w:val="59F0446"/>
    <w:multiLevelType w:val="hybridMultilevel"/>
    <w:lvl w:ilvl="0">
      <w:lvlJc w:val="left"/>
      <w:lvlText w:val="●"/>
      <w:numFmt w:val="bullet"/>
      <w:start w:val="1"/>
    </w:lvl>
  </w:abstractNum>
  <w:abstractNum w:abstractNumId="341">
    <w:nsid w:val="30DF306"/>
    <w:multiLevelType w:val="hybridMultilevel"/>
    <w:lvl w:ilvl="0">
      <w:lvlJc w:val="left"/>
      <w:lvlText w:val="(%1)"/>
      <w:numFmt w:val="decimal"/>
      <w:start w:val="1"/>
    </w:lvl>
  </w:abstractNum>
  <w:abstractNum w:abstractNumId="342">
    <w:nsid w:val="A65647"/>
    <w:multiLevelType w:val="hybridMultilevel"/>
    <w:lvl w:ilvl="0">
      <w:lvlJc w:val="left"/>
      <w:lvlText w:val="(%1)"/>
      <w:numFmt w:val="decimal"/>
      <w:start w:val="2"/>
    </w:lvl>
  </w:abstractNum>
  <w:abstractNum w:abstractNumId="343">
    <w:nsid w:val="3E5E582B"/>
    <w:multiLevelType w:val="hybridMultilevel"/>
    <w:lvl w:ilvl="0">
      <w:lvlJc w:val="left"/>
      <w:lvlText w:val="●"/>
      <w:numFmt w:val="bullet"/>
      <w:start w:val="1"/>
    </w:lvl>
  </w:abstractNum>
  <w:abstractNum w:abstractNumId="344">
    <w:nsid w:val="257D4626"/>
    <w:multiLevelType w:val="hybridMultilevel"/>
    <w:lvl w:ilvl="0">
      <w:lvlJc w:val="left"/>
      <w:lvlText w:val="●"/>
      <w:numFmt w:val="bullet"/>
      <w:start w:val="1"/>
    </w:lvl>
  </w:abstractNum>
  <w:abstractNum w:abstractNumId="345">
    <w:nsid w:val="5AA8580E"/>
    <w:multiLevelType w:val="hybridMultilevel"/>
    <w:lvl w:ilvl="0">
      <w:lvlJc w:val="left"/>
      <w:lvlText w:val="●"/>
      <w:numFmt w:val="bullet"/>
      <w:start w:val="1"/>
    </w:lvl>
  </w:abstractNum>
  <w:abstractNum w:abstractNumId="346">
    <w:nsid w:val="68FA8D0D"/>
    <w:multiLevelType w:val="hybridMultilevel"/>
    <w:lvl w:ilvl="0">
      <w:lvlJc w:val="left"/>
      <w:lvlText w:val="●"/>
      <w:numFmt w:val="bullet"/>
      <w:start w:val="1"/>
    </w:lvl>
  </w:abstractNum>
  <w:abstractNum w:abstractNumId="347">
    <w:nsid w:val="40F2CBD2"/>
    <w:multiLevelType w:val="hybridMultilevel"/>
    <w:lvl w:ilvl="0">
      <w:lvlJc w:val="left"/>
      <w:lvlText w:val="●"/>
      <w:numFmt w:val="bullet"/>
      <w:start w:val="1"/>
    </w:lvl>
  </w:abstractNum>
  <w:abstractNum w:abstractNumId="348">
    <w:nsid w:val="3BD615EB"/>
    <w:multiLevelType w:val="hybridMultilevel"/>
    <w:lvl w:ilvl="0">
      <w:lvlJc w:val="left"/>
      <w:lvlText w:val="●"/>
      <w:numFmt w:val="bullet"/>
      <w:start w:val="1"/>
    </w:lvl>
  </w:abstractNum>
  <w:abstractNum w:abstractNumId="349">
    <w:nsid w:val="A045AB2"/>
    <w:multiLevelType w:val="hybridMultilevel"/>
    <w:lvl w:ilvl="0">
      <w:lvlJc w:val="left"/>
      <w:lvlText w:val="●"/>
      <w:numFmt w:val="bullet"/>
      <w:start w:val="1"/>
    </w:lvl>
  </w:abstractNum>
  <w:abstractNum w:abstractNumId="350">
    <w:nsid w:val="1872261F"/>
    <w:multiLevelType w:val="hybridMultilevel"/>
    <w:lvl w:ilvl="0">
      <w:lvlJc w:val="left"/>
      <w:lvlText w:val="●"/>
      <w:numFmt w:val="bullet"/>
      <w:start w:val="1"/>
    </w:lvl>
  </w:abstractNum>
  <w:abstractNum w:abstractNumId="351">
    <w:nsid w:val="3DE8306C"/>
    <w:multiLevelType w:val="hybridMultilevel"/>
    <w:lvl w:ilvl="0">
      <w:lvlJc w:val="left"/>
      <w:lvlText w:val="(%1)"/>
      <w:numFmt w:val="lowerLetter"/>
      <w:start w:val="1"/>
    </w:lvl>
  </w:abstractNum>
  <w:abstractNum w:abstractNumId="352">
    <w:nsid w:val="7631573A"/>
    <w:multiLevelType w:val="hybridMultilevel"/>
    <w:lvl w:ilvl="0">
      <w:lvlJc w:val="left"/>
      <w:lvlText w:val="(%1)"/>
      <w:numFmt w:val="lowerLetter"/>
      <w:start w:val="3"/>
    </w:lvl>
  </w:abstractNum>
  <w:abstractNum w:abstractNumId="353">
    <w:nsid w:val="58DF53B"/>
    <w:multiLevelType w:val="hybridMultilevel"/>
    <w:lvl w:ilvl="0">
      <w:lvlJc w:val="left"/>
      <w:lvlText w:val="(%1)"/>
      <w:numFmt w:val="lowerLetter"/>
      <w:start w:val="5"/>
    </w:lvl>
  </w:abstractNum>
  <w:abstractNum w:abstractNumId="354">
    <w:nsid w:val="ACDFAC0"/>
    <w:multiLevelType w:val="hybridMultilevel"/>
    <w:lvl w:ilvl="0">
      <w:lvlJc w:val="left"/>
      <w:lvlText w:val="$"/>
      <w:numFmt w:val="bullet"/>
      <w:start w:val="1"/>
    </w:lvl>
  </w:abstractNum>
  <w:abstractNum w:abstractNumId="355">
    <w:nsid w:val="1F578454"/>
    <w:multiLevelType w:val="hybridMultilevel"/>
    <w:lvl w:ilvl="0">
      <w:lvlJc w:val="left"/>
      <w:lvlText w:val="$"/>
      <w:numFmt w:val="bullet"/>
      <w:start w:val="1"/>
    </w:lvl>
  </w:abstractNum>
  <w:abstractNum w:abstractNumId="356">
    <w:nsid w:val="5B0DAD2A"/>
    <w:multiLevelType w:val="hybridMultilevel"/>
    <w:lvl w:ilvl="0">
      <w:lvlJc w:val="left"/>
      <w:lvlText w:val="(%1)"/>
      <w:numFmt w:val="lowerLetter"/>
      <w:start w:val="8"/>
    </w:lvl>
  </w:abstractNum>
  <w:abstractNum w:abstractNumId="357">
    <w:nsid w:val="4E3D26AB"/>
    <w:multiLevelType w:val="hybridMultilevel"/>
    <w:lvl w:ilvl="0">
      <w:lvlJc w:val="left"/>
      <w:lvlText w:val="(%1)"/>
      <w:numFmt w:val="decimal"/>
      <w:start w:val="1"/>
    </w:lvl>
  </w:abstractNum>
  <w:abstractNum w:abstractNumId="358">
    <w:nsid w:val="BE2C8BA"/>
    <w:multiLevelType w:val="hybridMultilevel"/>
    <w:lvl w:ilvl="0">
      <w:lvlJc w:val="left"/>
      <w:lvlText w:val="(%1)"/>
      <w:numFmt w:val="decimal"/>
      <w:start w:val="1"/>
    </w:lvl>
  </w:abstractNum>
  <w:abstractNum w:abstractNumId="359">
    <w:nsid w:val="7B14914E"/>
    <w:multiLevelType w:val="hybridMultilevel"/>
    <w:lvl w:ilvl="0">
      <w:lvlJc w:val="left"/>
      <w:lvlText w:val="●"/>
      <w:numFmt w:val="bullet"/>
      <w:start w:val="1"/>
    </w:lvl>
  </w:abstractNum>
  <w:abstractNum w:abstractNumId="360">
    <w:nsid w:val="6F0939F8"/>
    <w:multiLevelType w:val="hybridMultilevel"/>
    <w:lvl w:ilvl="0">
      <w:lvlJc w:val="left"/>
      <w:lvlText w:val="●"/>
      <w:numFmt w:val="bullet"/>
      <w:start w:val="1"/>
    </w:lvl>
  </w:abstractNum>
  <w:abstractNum w:abstractNumId="361">
    <w:nsid w:val="154291F6"/>
    <w:multiLevelType w:val="hybridMultilevel"/>
    <w:lvl w:ilvl="0">
      <w:lvlJc w:val="left"/>
      <w:lvlText w:val="●"/>
      <w:numFmt w:val="bullet"/>
      <w:start w:val="1"/>
    </w:lvl>
  </w:abstractNum>
  <w:abstractNum w:abstractNumId="362">
    <w:nsid w:val="3CEBD7C7"/>
    <w:multiLevelType w:val="hybridMultilevel"/>
    <w:lvl w:ilvl="0">
      <w:lvlJc w:val="left"/>
      <w:lvlText w:val="2"/>
      <w:numFmt w:val="bullet"/>
      <w:start w:val="1"/>
    </w:lvl>
  </w:abstractNum>
  <w:abstractNum w:abstractNumId="363">
    <w:nsid w:val="60EE9C16"/>
    <w:multiLevelType w:val="hybridMultilevel"/>
    <w:lvl w:ilvl="0">
      <w:lvlJc w:val="left"/>
      <w:lvlText w:val="●"/>
      <w:numFmt w:val="bullet"/>
      <w:start w:val="1"/>
    </w:lvl>
  </w:abstractNum>
  <w:abstractNum w:abstractNumId="364">
    <w:nsid w:val="6385489E"/>
    <w:multiLevelType w:val="hybridMultilevel"/>
    <w:lvl w:ilvl="0">
      <w:lvlJc w:val="left"/>
      <w:lvlText w:val="●"/>
      <w:numFmt w:val="bullet"/>
      <w:start w:val="1"/>
    </w:lvl>
  </w:abstractNum>
  <w:abstractNum w:abstractNumId="365">
    <w:nsid w:val="E4B973"/>
    <w:multiLevelType w:val="hybridMultilevel"/>
    <w:lvl w:ilvl="0">
      <w:lvlJc w:val="left"/>
      <w:lvlText w:val="●"/>
      <w:numFmt w:val="bullet"/>
      <w:start w:val="1"/>
    </w:lvl>
  </w:abstractNum>
  <w:abstractNum w:abstractNumId="366">
    <w:nsid w:val="4A0FFA11"/>
    <w:multiLevelType w:val="hybridMultilevel"/>
    <w:lvl w:ilvl="0">
      <w:lvlJc w:val="left"/>
      <w:lvlText w:val="●"/>
      <w:numFmt w:val="bullet"/>
      <w:start w:val="1"/>
    </w:lvl>
  </w:abstractNum>
  <w:abstractNum w:abstractNumId="367">
    <w:nsid w:val="5E446208"/>
    <w:multiLevelType w:val="hybridMultilevel"/>
    <w:lvl w:ilvl="0">
      <w:lvlJc w:val="left"/>
      <w:lvlText w:val="●"/>
      <w:numFmt w:val="bullet"/>
      <w:start w:val="1"/>
    </w:lvl>
  </w:abstractNum>
  <w:abstractNum w:abstractNumId="368">
    <w:nsid w:val="5F3272DB"/>
    <w:multiLevelType w:val="hybridMultilevel"/>
    <w:lvl w:ilvl="0">
      <w:lvlJc w:val="left"/>
      <w:lvlText w:val="4"/>
      <w:numFmt w:val="bullet"/>
      <w:start w:val="1"/>
    </w:lvl>
  </w:abstractNum>
  <w:abstractNum w:abstractNumId="369">
    <w:nsid w:val="7616D704"/>
    <w:multiLevelType w:val="hybridMultilevel"/>
    <w:lvl w:ilvl="0">
      <w:lvlJc w:val="left"/>
      <w:lvlText w:val="●"/>
      <w:numFmt w:val="bullet"/>
      <w:start w:val="1"/>
    </w:lvl>
  </w:abstractNum>
  <w:abstractNum w:abstractNumId="370">
    <w:nsid w:val="C56F860"/>
    <w:multiLevelType w:val="hybridMultilevel"/>
    <w:lvl w:ilvl="0">
      <w:lvlJc w:val="left"/>
      <w:lvlText w:val="●"/>
      <w:numFmt w:val="bullet"/>
      <w:start w:val="1"/>
    </w:lvl>
  </w:abstractNum>
  <w:abstractNum w:abstractNumId="371">
    <w:nsid w:val="64D17722"/>
    <w:multiLevelType w:val="hybridMultilevel"/>
    <w:lvl w:ilvl="0">
      <w:lvlJc w:val="left"/>
      <w:lvlText w:val="●"/>
      <w:numFmt w:val="bullet"/>
      <w:start w:val="1"/>
    </w:lvl>
  </w:abstractNum>
  <w:abstractNum w:abstractNumId="372">
    <w:nsid w:val="7924CA0A"/>
    <w:multiLevelType w:val="hybridMultilevel"/>
    <w:lvl w:ilvl="0">
      <w:lvlJc w:val="left"/>
      <w:lvlText w:val="●"/>
      <w:numFmt w:val="bullet"/>
      <w:start w:val="1"/>
    </w:lvl>
  </w:abstractNum>
  <w:abstractNum w:abstractNumId="373">
    <w:nsid w:val="CFD4EA7"/>
    <w:multiLevelType w:val="hybridMultilevel"/>
    <w:lvl w:ilvl="0">
      <w:lvlJc w:val="left"/>
      <w:lvlText w:val="●"/>
      <w:numFmt w:val="bullet"/>
      <w:start w:val="1"/>
    </w:lvl>
  </w:abstractNum>
  <w:abstractNum w:abstractNumId="374">
    <w:nsid w:val="232FCF4D"/>
    <w:multiLevelType w:val="hybridMultilevel"/>
    <w:lvl w:ilvl="0">
      <w:lvlJc w:val="left"/>
      <w:lvlText w:val="(%1)"/>
      <w:numFmt w:val="lowerRoman"/>
      <w:start w:val="1"/>
    </w:lvl>
  </w:abstractNum>
  <w:abstractNum w:abstractNumId="375">
    <w:nsid w:val="1EA21031"/>
    <w:multiLevelType w:val="hybridMultilevel"/>
    <w:lvl w:ilvl="0">
      <w:lvlJc w:val="left"/>
      <w:lvlText w:val="(%1)"/>
      <w:numFmt w:val="lowerRoman"/>
      <w:start w:val="1"/>
    </w:lvl>
  </w:abstractNum>
  <w:abstractNum w:abstractNumId="376">
    <w:nsid w:val="67A5A6B5"/>
    <w:multiLevelType w:val="hybridMultilevel"/>
    <w:lvl w:ilvl="0">
      <w:lvlJc w:val="left"/>
      <w:lvlText w:val="(%1)"/>
      <w:numFmt w:val="upperLetter"/>
      <w:start w:val="3"/>
    </w:lvl>
  </w:abstractNum>
  <w:abstractNum w:abstractNumId="377">
    <w:nsid w:val="C2A5C5B"/>
    <w:multiLevelType w:val="hybridMultilevel"/>
    <w:lvl w:ilvl="0">
      <w:lvlJc w:val="left"/>
      <w:lvlText w:val="(%1)"/>
      <w:numFmt w:val="lowerRoman"/>
      <w:start w:val="3"/>
    </w:lvl>
  </w:abstractNum>
  <w:abstractNum w:abstractNumId="378">
    <w:nsid w:val="5F94DC03"/>
    <w:multiLevelType w:val="hybridMultilevel"/>
    <w:lvl w:ilvl="0">
      <w:lvlJc w:val="left"/>
      <w:lvlText w:val="(%1)"/>
      <w:numFmt w:val="lowerRoman"/>
      <w:start w:val="5"/>
    </w:lvl>
  </w:abstractNum>
  <w:abstractNum w:abstractNumId="379">
    <w:nsid w:val="237BBCA0"/>
    <w:multiLevelType w:val="hybridMultilevel"/>
    <w:lvl w:ilvl="0">
      <w:lvlJc w:val="left"/>
      <w:lvlText w:val="(%1)"/>
      <w:numFmt w:val="lowerRoman"/>
      <w:start w:val="10"/>
    </w:lvl>
  </w:abstractNum>
  <w:abstractNum w:abstractNumId="380">
    <w:nsid w:val="162EB70D"/>
    <w:multiLevelType w:val="hybridMultilevel"/>
    <w:lvl w:ilvl="0">
      <w:lvlJc w:val="left"/>
      <w:lvlText w:val="●"/>
      <w:numFmt w:val="bullet"/>
      <w:start w:val="1"/>
    </w:lvl>
  </w:abstractNum>
  <w:abstractNum w:abstractNumId="381">
    <w:nsid w:val="78070222"/>
    <w:multiLevelType w:val="hybridMultilevel"/>
    <w:lvl w:ilvl="0">
      <w:lvlJc w:val="left"/>
      <w:lvlText w:val="●"/>
      <w:numFmt w:val="bullet"/>
      <w:start w:val="1"/>
    </w:lvl>
  </w:abstractNum>
  <w:abstractNum w:abstractNumId="382">
    <w:nsid w:val="6163ED0D"/>
    <w:multiLevelType w:val="hybridMultilevel"/>
    <w:lvl w:ilvl="0">
      <w:lvlJc w:val="left"/>
      <w:lvlText w:val="(%1)"/>
      <w:numFmt w:val="decimal"/>
      <w:start w:val="1"/>
    </w:lvl>
  </w:abstractNum>
  <w:abstractNum w:abstractNumId="383">
    <w:nsid w:val="C600E47"/>
    <w:multiLevelType w:val="hybridMultilevel"/>
    <w:lvl w:ilvl="0">
      <w:lvlJc w:val="left"/>
      <w:lvlText w:val="(%1)"/>
      <w:numFmt w:val="lowerLetter"/>
      <w:start w:val="1"/>
    </w:lvl>
  </w:abstractNum>
  <w:abstractNum w:abstractNumId="384">
    <w:nsid w:val="7D94F75D"/>
    <w:multiLevelType w:val="hybridMultilevel"/>
    <w:lvl w:ilvl="0">
      <w:lvlJc w:val="left"/>
      <w:lvlText w:val="(%1)"/>
      <w:numFmt w:val="lowerLetter"/>
      <w:start w:val="3"/>
    </w:lvl>
  </w:abstractNum>
  <w:abstractNum w:abstractNumId="385">
    <w:nsid w:val="6C31E7CD"/>
    <w:multiLevelType w:val="hybridMultilevel"/>
    <w:lvl w:ilvl="0">
      <w:lvlJc w:val="left"/>
      <w:lvlText w:val="(%1)"/>
      <w:numFmt w:val="decimal"/>
      <w:start w:val="1"/>
    </w:lvl>
  </w:abstractNum>
  <w:abstractNum w:abstractNumId="386">
    <w:nsid w:val="2BB7929B"/>
    <w:multiLevelType w:val="hybridMultilevel"/>
    <w:lvl w:ilvl="0">
      <w:lvlJc w:val="left"/>
      <w:lvlText w:val="(%1)"/>
      <w:numFmt w:val="decimal"/>
      <w:start w:val="1"/>
    </w:lvl>
  </w:abstractNum>
  <w:abstractNum w:abstractNumId="387">
    <w:nsid w:val="58A2A487"/>
    <w:multiLevelType w:val="hybridMultilevel"/>
    <w:lvl w:ilvl="0">
      <w:lvlJc w:val="left"/>
      <w:lvlText w:val="(%1)"/>
      <w:numFmt w:val="decimal"/>
      <w:start w:val="6"/>
    </w:lvl>
  </w:abstractNum>
  <w:abstractNum w:abstractNumId="388">
    <w:nsid w:val="3A6F0E78"/>
    <w:multiLevelType w:val="hybridMultilevel"/>
    <w:lvl w:ilvl="0">
      <w:lvlJc w:val="left"/>
      <w:lvlText w:val="(%1)"/>
      <w:numFmt w:val="decimal"/>
      <w:start w:val="1"/>
    </w:lvl>
  </w:abstractNum>
  <w:abstractNum w:abstractNumId="389">
    <w:nsid w:val="379A5B56"/>
    <w:multiLevelType w:val="hybridMultilevel"/>
    <w:lvl w:ilvl="0">
      <w:lvlJc w:val="left"/>
      <w:lvlText w:val="(%1)"/>
      <w:numFmt w:val="decimal"/>
      <w:start w:val="6"/>
    </w:lvl>
  </w:abstractNum>
  <w:abstractNum w:abstractNumId="390">
    <w:nsid w:val="53B735D5"/>
    <w:multiLevelType w:val="hybridMultilevel"/>
    <w:lvl w:ilvl="0">
      <w:lvlJc w:val="left"/>
      <w:lvlText w:val="(%1)"/>
      <w:numFmt w:val="decimal"/>
      <w:start w:val="1"/>
    </w:lvl>
  </w:abstractNum>
  <w:abstractNum w:abstractNumId="391">
    <w:nsid w:val="29784870"/>
    <w:multiLevelType w:val="hybridMultilevel"/>
    <w:lvl w:ilvl="0">
      <w:lvlJc w:val="left"/>
      <w:lvlText w:val="(%1)"/>
      <w:numFmt w:val="decimal"/>
      <w:start w:val="1"/>
    </w:lvl>
  </w:abstractNum>
  <w:abstractNum w:abstractNumId="392">
    <w:nsid w:val="4CDCED4C"/>
    <w:multiLevelType w:val="hybridMultilevel"/>
    <w:lvl w:ilvl="0">
      <w:lvlJc w:val="left"/>
      <w:lvlText w:val="(%1)"/>
      <w:numFmt w:val="lowerRoman"/>
      <w:start w:val="2"/>
    </w:lvl>
  </w:abstractNum>
  <w:abstractNum w:abstractNumId="393">
    <w:nsid w:val="10A30D9C"/>
    <w:multiLevelType w:val="hybridMultilevel"/>
    <w:lvl w:ilvl="0">
      <w:lvlJc w:val="left"/>
      <w:lvlText w:val="(%1)"/>
      <w:numFmt w:val="lowerRoman"/>
      <w:start w:val="1"/>
    </w:lvl>
  </w:abstractNum>
  <w:abstractNum w:abstractNumId="394">
    <w:nsid w:val="A66E486"/>
    <w:multiLevelType w:val="hybridMultilevel"/>
    <w:lvl w:ilvl="0">
      <w:lvlJc w:val="left"/>
      <w:lvlText w:val="(%1)"/>
      <w:numFmt w:val="decimal"/>
      <w:start w:val="1"/>
    </w:lvl>
  </w:abstractNum>
  <w:abstractNum w:abstractNumId="395">
    <w:nsid w:val="306235EA"/>
    <w:multiLevelType w:val="hybridMultilevel"/>
    <w:lvl w:ilvl="0">
      <w:lvlJc w:val="left"/>
      <w:lvlText w:val="●"/>
      <w:numFmt w:val="bullet"/>
      <w:start w:val="1"/>
    </w:lvl>
  </w:abstractNum>
  <w:abstractNum w:abstractNumId="396">
    <w:nsid w:val="1187C70F"/>
    <w:multiLevelType w:val="hybridMultilevel"/>
    <w:lvl w:ilvl="0">
      <w:lvlJc w:val="left"/>
      <w:lvlText w:val="*"/>
      <w:numFmt w:val="bullet"/>
      <w:start w:val="1"/>
    </w:lvl>
  </w:abstractNum>
  <w:abstractNum w:abstractNumId="397">
    <w:nsid w:val="5476DE98"/>
    <w:multiLevelType w:val="hybridMultilevel"/>
    <w:lvl w:ilvl="0">
      <w:lvlJc w:val="left"/>
      <w:lvlText w:val="(%1)"/>
      <w:numFmt w:val="decimal"/>
      <w:start w:val="1"/>
    </w:lvl>
  </w:abstractNum>
  <w:abstractNum w:abstractNumId="398">
    <w:nsid w:val="EA697F2"/>
    <w:multiLevelType w:val="hybridMultilevel"/>
    <w:lvl w:ilvl="0">
      <w:lvlJc w:val="left"/>
      <w:lvlText w:val="●"/>
      <w:numFmt w:val="bullet"/>
      <w:start w:val="1"/>
    </w:lvl>
    <w:lvl w:ilvl="1">
      <w:lvlJc w:val="left"/>
      <w:lvlText w:val="●"/>
      <w:numFmt w:val="bullet"/>
      <w:start w:val="1"/>
    </w:lvl>
  </w:abstractNum>
  <w:abstractNum w:abstractNumId="399">
    <w:nsid w:val="70BA39EB"/>
    <w:multiLevelType w:val="hybridMultilevel"/>
    <w:lvl w:ilvl="0">
      <w:lvlJc w:val="left"/>
      <w:lvlText w:val="●"/>
      <w:numFmt w:val="bullet"/>
      <w:start w:val="1"/>
    </w:lvl>
  </w:abstractNum>
  <w:abstractNum w:abstractNumId="400">
    <w:nsid w:val="4A8DB59C"/>
    <w:multiLevelType w:val="hybridMultilevel"/>
    <w:lvl w:ilvl="0">
      <w:lvlJc w:val="left"/>
      <w:lvlText w:val="●"/>
      <w:numFmt w:val="bullet"/>
      <w:start w:val="1"/>
    </w:lvl>
  </w:abstractNum>
  <w:abstractNum w:abstractNumId="401">
    <w:nsid w:val="1AFD9053"/>
    <w:multiLevelType w:val="hybridMultilevel"/>
    <w:lvl w:ilvl="0">
      <w:lvlJc w:val="left"/>
      <w:lvlText w:val="●"/>
      <w:numFmt w:val="bullet"/>
      <w:start w:val="1"/>
    </w:lvl>
  </w:abstractNum>
  <w:abstractNum w:abstractNumId="402">
    <w:nsid w:val="558BB10D"/>
    <w:multiLevelType w:val="hybridMultilevel"/>
    <w:lvl w:ilvl="0">
      <w:lvlJc w:val="left"/>
      <w:lvlText w:val="●"/>
      <w:numFmt w:val="bullet"/>
      <w:start w:val="1"/>
    </w:lvl>
  </w:abstractNum>
  <w:abstractNum w:abstractNumId="403">
    <w:nsid w:val="43B27FA7"/>
    <w:multiLevelType w:val="hybridMultilevel"/>
    <w:lvl w:ilvl="0">
      <w:lvlJc w:val="left"/>
      <w:lvlText w:val="●"/>
      <w:numFmt w:val="bullet"/>
      <w:start w:val="1"/>
    </w:lvl>
  </w:abstractNum>
  <w:abstractNum w:abstractNumId="404">
    <w:nsid w:val="27FADEFA"/>
    <w:multiLevelType w:val="hybridMultilevel"/>
    <w:lvl w:ilvl="0">
      <w:lvlJc w:val="left"/>
      <w:lvlText w:val="●"/>
      <w:numFmt w:val="bullet"/>
      <w:start w:val="1"/>
    </w:lvl>
  </w:abstractNum>
  <w:abstractNum w:abstractNumId="405">
    <w:nsid w:val="78BB805A"/>
    <w:multiLevelType w:val="hybridMultilevel"/>
    <w:lvl w:ilvl="0">
      <w:lvlJc w:val="left"/>
      <w:lvlText w:val="●"/>
      <w:numFmt w:val="bullet"/>
      <w:start w:val="1"/>
    </w:lvl>
  </w:abstractNum>
  <w:abstractNum w:abstractNumId="406">
    <w:nsid w:val="62548FD8"/>
    <w:multiLevelType w:val="hybridMultilevel"/>
    <w:lvl w:ilvl="0">
      <w:lvlJc w:val="left"/>
      <w:lvlText w:val="●"/>
      <w:numFmt w:val="bullet"/>
      <w:start w:val="1"/>
    </w:lvl>
  </w:abstractNum>
  <w:abstractNum w:abstractNumId="407">
    <w:nsid w:val="FA085B0"/>
    <w:multiLevelType w:val="hybridMultilevel"/>
    <w:lvl w:ilvl="0">
      <w:lvlJc w:val="left"/>
      <w:lvlText w:val="●"/>
      <w:numFmt w:val="bullet"/>
      <w:start w:val="1"/>
    </w:lvl>
  </w:abstractNum>
  <w:abstractNum w:abstractNumId="408">
    <w:nsid w:val="4E5DCB5"/>
    <w:multiLevelType w:val="hybridMultilevel"/>
    <w:lvl w:ilvl="0">
      <w:lvlJc w:val="left"/>
      <w:lvlText w:val="●"/>
      <w:numFmt w:val="bullet"/>
      <w:start w:val="1"/>
    </w:lvl>
  </w:abstractNum>
  <w:abstractNum w:abstractNumId="409">
    <w:nsid w:val="41E96BDB"/>
    <w:multiLevelType w:val="hybridMultilevel"/>
    <w:lvl w:ilvl="0">
      <w:lvlJc w:val="left"/>
      <w:lvlText w:val="%1."/>
      <w:numFmt w:val="decimal"/>
      <w:start w:val="1"/>
    </w:lvl>
  </w:abstractNum>
  <w:abstractNum w:abstractNumId="410">
    <w:nsid w:val="331C4250"/>
    <w:multiLevelType w:val="hybridMultilevel"/>
    <w:lvl w:ilvl="0">
      <w:lvlJc w:val="left"/>
      <w:lvlText w:val="%1."/>
      <w:numFmt w:val="decimal"/>
      <w:start w:val="2"/>
    </w:lvl>
  </w:abstractNum>
  <w:abstractNum w:abstractNumId="411">
    <w:nsid w:val="1B1493C2"/>
    <w:multiLevelType w:val="hybridMultilevel"/>
    <w:lvl w:ilvl="0">
      <w:lvlJc w:val="left"/>
      <w:lvlText w:val="%1."/>
      <w:numFmt w:val="decimal"/>
      <w:start w:val="3"/>
    </w:lvl>
  </w:abstractNum>
  <w:abstractNum w:abstractNumId="412">
    <w:nsid w:val="39F06DFD"/>
    <w:multiLevelType w:val="hybridMultilevel"/>
    <w:lvl w:ilvl="0">
      <w:lvlJc w:val="left"/>
      <w:lvlText w:val="%1."/>
      <w:numFmt w:val="decimal"/>
      <w:start w:val="4"/>
    </w:lvl>
  </w:abstractNum>
  <w:abstractNum w:abstractNumId="413">
    <w:nsid w:val="14802F5D"/>
    <w:multiLevelType w:val="hybridMultilevel"/>
    <w:lvl w:ilvl="0">
      <w:lvlJc w:val="left"/>
      <w:lvlText w:val="%1."/>
      <w:numFmt w:val="decimal"/>
      <w:start w:val="5"/>
    </w:lvl>
  </w:abstractNum>
  <w:abstractNum w:abstractNumId="414">
    <w:nsid w:val="2774A209"/>
    <w:multiLevelType w:val="hybridMultilevel"/>
    <w:lvl w:ilvl="0">
      <w:lvlJc w:val="left"/>
      <w:lvlText w:val="%1."/>
      <w:numFmt w:val="decimal"/>
      <w:start w:val="6"/>
    </w:lvl>
  </w:abstractNum>
  <w:abstractNum w:abstractNumId="415">
    <w:nsid w:val="3785655A"/>
    <w:multiLevelType w:val="hybridMultilevel"/>
    <w:lvl w:ilvl="0">
      <w:lvlJc w:val="left"/>
      <w:lvlText w:val="%1."/>
      <w:numFmt w:val="decimal"/>
      <w:start w:val="7"/>
    </w:lvl>
  </w:abstractNum>
  <w:abstractNum w:abstractNumId="416">
    <w:nsid w:val="B2172A"/>
    <w:multiLevelType w:val="hybridMultilevel"/>
    <w:lvl w:ilvl="0">
      <w:lvlJc w:val="left"/>
      <w:lvlText w:val="●"/>
      <w:numFmt w:val="bullet"/>
      <w:start w:val="1"/>
    </w:lvl>
  </w:abstractNum>
  <w:abstractNum w:abstractNumId="417">
    <w:nsid w:val="532C34A5"/>
    <w:multiLevelType w:val="hybridMultilevel"/>
    <w:lvl w:ilvl="0">
      <w:lvlJc w:val="left"/>
      <w:lvlText w:val="%1."/>
      <w:numFmt w:val="decimal"/>
      <w:start w:val="9"/>
    </w:lvl>
  </w:abstractNum>
  <w:abstractNum w:abstractNumId="418">
    <w:nsid w:val="102809E2"/>
    <w:multiLevelType w:val="hybridMultilevel"/>
    <w:lvl w:ilvl="0">
      <w:lvlJc w:val="left"/>
      <w:lvlText w:val="%1."/>
      <w:numFmt w:val="decimal"/>
      <w:start w:val="10"/>
    </w:lvl>
  </w:abstractNum>
  <w:abstractNum w:abstractNumId="419">
    <w:nsid w:val="3B2125A3"/>
    <w:multiLevelType w:val="hybridMultilevel"/>
    <w:lvl w:ilvl="0">
      <w:lvlJc w:val="left"/>
      <w:lvlText w:val="%1."/>
      <w:numFmt w:val="decimal"/>
      <w:start w:val="11"/>
    </w:lvl>
  </w:abstractNum>
  <w:abstractNum w:abstractNumId="420">
    <w:nsid w:val="AC68FFB"/>
    <w:multiLevelType w:val="hybridMultilevel"/>
    <w:lvl w:ilvl="0">
      <w:lvlJc w:val="left"/>
      <w:lvlText w:val="%1."/>
      <w:numFmt w:val="decimal"/>
      <w:start w:val="12"/>
    </w:lvl>
  </w:abstractNum>
  <w:abstractNum w:abstractNumId="421">
    <w:nsid w:val="63DF3FB7"/>
    <w:multiLevelType w:val="hybridMultilevel"/>
    <w:lvl w:ilvl="0">
      <w:lvlJc w:val="left"/>
      <w:lvlText w:val="%1."/>
      <w:numFmt w:val="decimal"/>
      <w:start w:val="13"/>
    </w:lvl>
  </w:abstractNum>
  <w:abstractNum w:abstractNumId="422">
    <w:nsid w:val="64996E13"/>
    <w:multiLevelType w:val="hybridMultilevel"/>
    <w:lvl w:ilvl="0">
      <w:lvlJc w:val="left"/>
      <w:lvlText w:val="%1."/>
      <w:numFmt w:val="decimal"/>
      <w:start w:val="14"/>
    </w:lvl>
  </w:abstractNum>
  <w:abstractNum w:abstractNumId="423">
    <w:nsid w:val="57A37D47"/>
    <w:multiLevelType w:val="hybridMultilevel"/>
    <w:lvl w:ilvl="0">
      <w:lvlJc w:val="left"/>
      <w:lvlText w:val="%1."/>
      <w:numFmt w:val="decimal"/>
      <w:start w:val="16"/>
    </w:lvl>
  </w:abstractNum>
  <w:abstractNum w:abstractNumId="424">
    <w:nsid w:val="74824D54"/>
    <w:multiLevelType w:val="hybridMultilevel"/>
    <w:lvl w:ilvl="0">
      <w:lvlJc w:val="left"/>
      <w:lvlText w:val="(%1)"/>
      <w:numFmt w:val="decimal"/>
      <w:start w:val="1"/>
    </w:lvl>
  </w:abstractNum>
  <w:abstractNum w:abstractNumId="425">
    <w:nsid w:val="6F00529A"/>
    <w:multiLevelType w:val="hybridMultilevel"/>
    <w:lvl w:ilvl="0">
      <w:lvlJc w:val="left"/>
      <w:lvlText w:val="%1."/>
      <w:numFmt w:val="decimal"/>
      <w:start w:val="17"/>
    </w:lvl>
  </w:abstractNum>
  <w:abstractNum w:abstractNumId="426">
    <w:nsid w:val="805B331"/>
    <w:multiLevelType w:val="hybridMultilevel"/>
    <w:lvl w:ilvl="0">
      <w:lvlJc w:val="left"/>
      <w:lvlText w:val="%1."/>
      <w:numFmt w:val="decimal"/>
      <w:start w:val="1"/>
    </w:lvl>
  </w:abstractNum>
  <w:abstractNum w:abstractNumId="427">
    <w:nsid w:val="60A1463"/>
    <w:multiLevelType w:val="hybridMultilevel"/>
    <w:lvl w:ilvl="0">
      <w:lvlJc w:val="left"/>
      <w:lvlText w:val="%1."/>
      <w:numFmt w:val="decimal"/>
      <w:start w:val="2"/>
    </w:lvl>
  </w:abstractNum>
  <w:abstractNum w:abstractNumId="428">
    <w:nsid w:val="43773132"/>
    <w:multiLevelType w:val="hybridMultilevel"/>
    <w:lvl w:ilvl="0">
      <w:lvlJc w:val="left"/>
      <w:lvlText w:val="%1."/>
      <w:numFmt w:val="decimal"/>
      <w:start w:val="3"/>
    </w:lvl>
  </w:abstractNum>
  <w:abstractNum w:abstractNumId="429">
    <w:nsid w:val="16AC4B2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2019-12-08T09:45:05Z</dcterms:created>
  <dcterms:modified xsi:type="dcterms:W3CDTF">2019-12-08T09:45:05Z</dcterms:modified>
</cp:coreProperties>
</file>