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June 6, 2024</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365"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On June 6, 2024, Civeo Corporation (the “Company” or “Civeo”) appointed E. Collin Gerry as the Company’s Senior Vice President, Chief Financial Officer and Treasurer, effective as of August 1, 2024. Mr. Gerry will replace Barclay Brewer, who has been serving as Interim Senior Vice President, Chief Financial Officer and Treasurer since March 5, 2024, and will remain employed with the Company as the Vice President and Chief Accounting Officer, effective as of August 1, 2024.</w:t>
      </w:r>
    </w:p>
    <w:p>
      <w:pPr>
        <w:spacing w:after="0" w:line="208" w:lineRule="exact"/>
        <w:rPr>
          <w:sz w:val="20"/>
          <w:szCs w:val="20"/>
          <w:color w:val="auto"/>
        </w:rPr>
      </w:pPr>
    </w:p>
    <w:p>
      <w:pPr>
        <w:ind w:right="100" w:firstLine="324"/>
        <w:spacing w:after="0" w:line="239" w:lineRule="auto"/>
        <w:rPr>
          <w:sz w:val="20"/>
          <w:szCs w:val="20"/>
          <w:color w:val="auto"/>
        </w:rPr>
      </w:pPr>
      <w:r>
        <w:rPr>
          <w:rFonts w:ascii="Times New Roman" w:cs="Times New Roman" w:eastAsia="Times New Roman" w:hAnsi="Times New Roman"/>
          <w:sz w:val="18"/>
          <w:szCs w:val="18"/>
          <w:color w:val="auto"/>
        </w:rPr>
        <w:t>Mr. Gerry has held several executive positions with Civeo since May 2014, including serving as Senior Vice President of Canadian Operations since May 2020, and Vice President of Corporate and Business Development from September 2016 to May 2020. Prior to joining Civeo, Mr. Gerry served as Senior Vice President within the equity research department of Raymond James, with a specific focus on energy markets and the oilfield services industry including Civeo’s prior parent Oil States International. Mr. Gerry holds a Bachelor of Business Administration degree from The University of Texas at Austin.</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his appointment, Mr. Gerry will receive a base salary of $380,000 per year with targeted annual cash bonus of 60% of his salary.</w:t>
      </w:r>
    </w:p>
    <w:p>
      <w:pPr>
        <w:spacing w:after="0" w:line="3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Mr. Gerry also received an additional grant of phantom shares (which vest over three years) with a fair value on the grant date of $92,000. This grant was in addition to the equity grant of $478,000 that Mr. Gerry received in March 2024 in connection with his prior position with the Company.</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There is no arrangement or understanding between Mr. Gerry and any other person pursuant to which he was appointed as an officer or director of the Company; there is no family relationship between Mr. Gerry and any of the Company’s directors or other executive officers; and Mr. Gerry is not a party to any transactions of the type that would require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796925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12, 2024</w:t>
      </w:r>
    </w:p>
    <w:p>
      <w:pPr>
        <w:spacing w:after="0" w:line="2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0"/>
          <w:szCs w:val="20"/>
          <w:color w:val="auto"/>
        </w:rPr>
      </w:pPr>
    </w:p>
    <w:p>
      <w:pPr>
        <w:spacing w:after="0" w:line="29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By: /s/ Bradley Dodson </w:t>
      </w:r>
      <w:r>
        <w:rPr>
          <w:rFonts w:ascii="Times New Roman" w:cs="Times New Roman" w:eastAsia="Times New Roman" w:hAnsi="Times New Roman"/>
          <w:sz w:val="18"/>
          <w:szCs w:val="18"/>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-7620</wp:posOffset>
            </wp:positionV>
            <wp:extent cx="939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9165" cy="8890"/>
                    </a:xfrm>
                    <a:prstGeom prst="rect">
                      <a:avLst/>
                    </a:prstGeom>
                    <a:noFill/>
                  </pic:spPr>
                </pic:pic>
              </a:graphicData>
            </a:graphic>
          </wp:anchor>
        </w:drawing>
      </w:r>
    </w:p>
    <w:p>
      <w:pPr>
        <w:spacing w:after="0" w:line="7" w:lineRule="exact"/>
        <w:rPr>
          <w:sz w:val="20"/>
          <w:szCs w:val="20"/>
          <w:color w:val="auto"/>
        </w:rPr>
      </w:pPr>
    </w:p>
    <w:p>
      <w:pPr>
        <w:ind w:left="1560"/>
        <w:spacing w:after="0"/>
        <w:tabs>
          <w:tab w:leader="none" w:pos="2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Bradley Dodson</w:t>
      </w:r>
    </w:p>
    <w:p>
      <w:pPr>
        <w:spacing w:after="0" w:line="9" w:lineRule="exact"/>
        <w:rPr>
          <w:sz w:val="20"/>
          <w:szCs w:val="20"/>
          <w:color w:val="auto"/>
        </w:rPr>
      </w:pPr>
    </w:p>
    <w:p>
      <w:pPr>
        <w:jc w:val="center"/>
        <w:ind w:right="14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sectPr>
      <w:pgSz w:w="11900" w:h="16838" w:orient="portrait"/>
      <w:cols w:equalWidth="0" w:num="1">
        <w:col w:w="11240"/>
      </w:cols>
      <w:pgMar w:left="320" w:top="12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2024-06-12T07:07:08Z</dcterms:created>
  <dcterms:modified xsi:type="dcterms:W3CDTF">2024-06-12T07:07:08Z</dcterms:modified>
</cp:coreProperties>
</file>