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50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50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Dodson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6"/>
            <w:vMerge w:val="restart"/>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6"/>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77002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14,292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4"/>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275,758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03/02/2026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14,292</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261,466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03/03/2026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11,862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4"/>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273,328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03/03/2026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11,862</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261,466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0000FF"/>
              </w:rPr>
              <w:t>03/02/2026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14,292</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14,292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49,880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20"/>
                <w:szCs w:val="20"/>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11,862</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11,862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38,018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-2184400</wp:posOffset>
            </wp:positionV>
            <wp:extent cx="29210" cy="2189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94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14,292 shares vested on March 2, 2026.</w:t>
      </w:r>
    </w:p>
    <w:p>
      <w:pPr>
        <w:spacing w:after="0" w:line="16"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11,862 shares vested on March 3, 2026.</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Bradley J. Dodson,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2026-03-03T19:57:02Z</dcterms:created>
  <dcterms:modified xsi:type="dcterms:W3CDTF">2026-03-03T19:57:02Z</dcterms:modified>
</cp:coreProperties>
</file>