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30,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65"/>
        <w:spacing w:after="0" w:line="263" w:lineRule="auto"/>
        <w:rPr>
          <w:sz w:val="20"/>
          <w:szCs w:val="20"/>
          <w:color w:val="auto"/>
        </w:rPr>
      </w:pPr>
      <w:r>
        <w:rPr>
          <w:rFonts w:ascii="Times New Roman" w:cs="Times New Roman" w:eastAsia="Times New Roman" w:hAnsi="Times New Roman"/>
          <w:sz w:val="22"/>
          <w:szCs w:val="22"/>
          <w:color w:val="auto"/>
        </w:rPr>
        <w:t>On July 30, 2024, Civeo Corporation (“Civeo”) issued a press release announcing its financial condition and results of operations as of and for the quarter ended June 30, 2024.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5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Press Release dated July 30, 2024</w:t>
            </w:r>
          </w:p>
        </w:tc>
        <w:tc>
          <w:tcPr>
            <w:tcW w:w="65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30, 2024</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Barclay Brewer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96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Barclay Brewer</w:t>
      </w:r>
    </w:p>
    <w:p>
      <w:pPr>
        <w:spacing w:after="0" w:line="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Interim Chief Financial Officer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Civeo Reports Second Quarter 2024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Highlights include:</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$188.7 million, net income of $8.2 million and operating cash flow of $32.4 million;</w:t>
      </w:r>
    </w:p>
    <w:p>
      <w:pPr>
        <w:spacing w:after="0" w:line="27"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Adjusted EBITDA of $31.3 million and free cash flow of $30.9 million;</w:t>
      </w:r>
    </w:p>
    <w:p>
      <w:pPr>
        <w:ind w:left="660" w:right="28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Australian segment continues to deliver strong growth, with revenues up 32% on a year-over-year basis, driven by both increased occupancy at Civeo-owned villages and continued growth in our integrated services offering;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$10.3 million of capital to shareholders in the quarter through the quarterly dividend and share repurchases.</w:t>
      </w:r>
    </w:p>
    <w:p>
      <w:pPr>
        <w:spacing w:after="0" w:line="23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HOUSTON and CALGARY, July 30, 2024 (BUSINESS WIRE) -- Civeo Corporation (NYSE:CVEO) today reported financial and operating results for the second quarter ended June 30, 2024.</w:t>
      </w:r>
    </w:p>
    <w:p>
      <w:pPr>
        <w:spacing w:after="0" w:line="7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the second quarter of 2024, we delivered increased billed rooms year-over-year in our Canadian lodges and Australian owned-villages as well as increased Australian integrated services business with existing clients. These year-over-year improvements were offset by the expected decline in LNG-related Canadian mobile camp activity and the sale of McClelland Lake Lodge,” said Bradley J. Dodson, Civeo's President and Chief Executive Officer.</w:t>
      </w:r>
    </w:p>
    <w:p>
      <w:pPr>
        <w:spacing w:after="0" w:line="18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Mr. Dodson concluded, “We generated significant free cash flow in the quarter and returned $10.3 million of capital to shareholders. Australia continues to produce strong results in 2024, for both Civeo-owned villages and integrated services. At the same time, as expected, our Canadian segment is facing headwinds with the wind down of LNG-related construction activity. Our near-term focus has been and will continue to be managing through the wildfire activity in northern Alberta, Canada. Our employees are working around-the-clock to ensure the safety of our guests, first responders and assets, and while this is a fluid situation, we are not currently expecting a material financial impact to Civeo, negative or positive.”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2024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2024, Civeo generated revenues of $188.7 million and reported net income of $8.2 million, or $0.56 per diluted</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share. During the second quarter of 2024, Civeo produced operating cash flow of $32.4 million, Adjusted EBITDA of $31.3 million and free cash flow of $30.9 million.</w:t>
      </w:r>
    </w:p>
    <w:p>
      <w:pPr>
        <w:spacing w:after="0" w:line="20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By comparison, in the second quarter of 2023, Civeo generated revenues of $178.8 million and reported net income of $4.5 million, or $0.30 per diluted share. During the same quarter, Civeo produced operating cash flow of $19.4 million, Adjusted EBITDA of $31.6 million and free cash flow of $12.9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modest decrease in Adjusted EBITDA in the second quarter of 2024 was primarily driven by the expected wind-down of LNG-related Canadian mobile camp activity, including $1.4 million in mobile camp demobilization costs. This decrease was largely offset by increased billed rooms at the Canadian lodges and Australian owned-villages coupled with increased Australian integrated services revenues related to new business with existing clients.</w:t>
      </w: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2024 to the results for the second quarter of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During the second quarter of 2024, the Canadian segment generated revenues of $79.5 million, operating income of $4.9 million and Adjusted EBITDA of $17.2 million, compared to revenues of $95.5 million, operating income of $3.2 million and Adjusted EBITDA of $19.8 million in the second quarter of 2023.</w:t>
      </w:r>
    </w:p>
    <w:p>
      <w:pPr>
        <w:spacing w:after="0" w:line="20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Canadian segment experienced a 17% period-over-period decrease in revenues and a 13% decrease in Adjusted EBITDA driven by the anticipated wind-down of LNG-related mobile camp activity, including $1.4 million of mobile camp demobilization costs.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ectPr>
          <w:pgSz w:w="11900" w:h="16838" w:orient="portrait"/>
          <w:cols w:equalWidth="0" w:num="1">
            <w:col w:w="11240"/>
          </w:cols>
          <w:pgMar w:left="320" w:top="889" w:right="339" w:bottom="1440" w:gutter="0" w:footer="0" w:header="0"/>
        </w:sectPr>
      </w:pPr>
    </w:p>
    <w:bookmarkStart w:id="5" w:name="page6"/>
    <w:bookmarkEnd w:id="5"/>
    <w:p>
      <w:pPr>
        <w:ind w:right="240"/>
        <w:spacing w:after="0" w:line="268" w:lineRule="auto"/>
        <w:rPr>
          <w:sz w:val="20"/>
          <w:szCs w:val="20"/>
          <w:color w:val="auto"/>
        </w:rPr>
      </w:pPr>
      <w:r>
        <w:rPr>
          <w:rFonts w:ascii="Arial" w:cs="Arial" w:eastAsia="Arial" w:hAnsi="Arial"/>
          <w:sz w:val="18"/>
          <w:szCs w:val="18"/>
          <w:color w:val="auto"/>
        </w:rPr>
        <w:t>During the second quarter of 2024, the Australian segment generated revenues of $ 108.6 million, operating income of $11.7 million and Adjusted EBITDA of $21.6 million, compared to revenues of $82.5 million, operating income of $9.2 million and Adjusted EBITDA of $19.6 million in the second quarter of 2023.</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 from the Australian segment increased 32% period-over-period and Adjusted EBITDA was up 10% driven by a 6% year-over-year increase in billed rooms and increased integrated services activity from existing clients, building on a history of substantial multi-year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June 30, 2024, Civeo had total liquidity of approximately $159.0 million, consisting of $151.5 million available under its revolving credit facilities and $7.4 million of cash on hand.</w:t>
      </w:r>
    </w:p>
    <w:p>
      <w:pPr>
        <w:spacing w:after="0" w:line="7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Civeo’s total debt outstanding on June 30, 2024 was $47.5 million, a $31.1 million decrease since March 31, 2024. Civeo's net debt on June 30, 2024 was $40.1 million, a $21.8 million decrease since March 31,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0.3x as of June 30, 2024.</w:t>
      </w:r>
    </w:p>
    <w:p>
      <w:pPr>
        <w:spacing w:after="0" w:line="13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During the second quarter of 2024, Civeo invested $5.3 million in capital expenditures compared to $6.9 million invested during the second quarter of 2023. Capital expenditures in both periods were primarily related to maintenance spending on the Company’s lodges and villages. Capital expenditures in the second quarter of 2024 also included $0.5 million related to customer-funded infrastructure upgrades at three Australian villages compared to $0.8 million in the second quarter of 2023.</w:t>
      </w:r>
    </w:p>
    <w:p>
      <w:pPr>
        <w:spacing w:after="0" w:line="201"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The Company announced today that its board of directors has declared a quarterly cash dividend of $0.25 per common share, payable on September 16, 2024 to shareholders of record as of close of business on August 26, 2024. For purposes of the Income Tax Act (Canada), the Company has designated this dividend to be an "eligible dividend".</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the second quarter of 2024, Civeo repurchased approximately 274,000 shares through its share repurchase program for approximately $6.6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2024 Guidance</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full year of 2024, Civeo is maintaining its previously provided revenue and Adjusted EBITDA guidance ranges of $625 million to $700 million and $80 million to $90 million, respectively. The Company is also maintaining its full year 2024 capital expenditure guidance of $30 million to $35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Civeo will host a conference call to discuss its second quarter 2024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13747979#. A replay will be available after the call by dialing (844) 512-2921 in the United States or (412) 317-6671 internationally and using the conference ID 13747979#.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ind w:right="200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24 lodges and villages in Canada, Australia and the U.S., with an aggregate of approximately 26,000 rooms. Civeo is publicly traded under the symbol CVEO on the New York Stock Exchange. For more information, please visit Civeo's website at www.civeo.com.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1960"/>
        <w:spacing w:after="0" w:line="259"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 expectations with respect to share repurchases and dividends, and liquidity needs, are based on then current</w:t>
      </w:r>
    </w:p>
    <w:p>
      <w:pPr>
        <w:sectPr>
          <w:pgSz w:w="11900" w:h="16838" w:orient="portrait"/>
          <w:cols w:equalWidth="0" w:num="1">
            <w:col w:w="11200"/>
          </w:cols>
          <w:pgMar w:left="320" w:top="890" w:right="379" w:bottom="1440" w:gutter="0" w:footer="0" w:header="0"/>
        </w:sectPr>
      </w:pPr>
    </w:p>
    <w:bookmarkStart w:id="6" w:name="page7"/>
    <w:bookmarkEnd w:id="6"/>
    <w:p>
      <w:pPr>
        <w:ind w:right="2060"/>
        <w:spacing w:after="0" w:line="252" w:lineRule="auto"/>
        <w:rPr>
          <w:sz w:val="20"/>
          <w:szCs w:val="20"/>
          <w:color w:val="auto"/>
        </w:rPr>
      </w:pPr>
      <w:r>
        <w:rPr>
          <w:rFonts w:ascii="Arial" w:cs="Arial" w:eastAsia="Arial" w:hAnsi="Arial"/>
          <w:sz w:val="18"/>
          <w:szCs w:val="18"/>
          <w:color w:val="auto"/>
        </w:rPr>
        <w:t>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202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20"/>
          </w:cols>
          <w:pgMar w:left="320" w:top="890"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7"/>
                <w:szCs w:val="17"/>
                <w:color w:val="auto"/>
              </w:rPr>
            </w:pPr>
          </w:p>
        </w:tc>
      </w:tr>
      <w:tr>
        <w:trPr>
          <w:trHeight w:val="262"/>
        </w:trPr>
        <w:tc>
          <w:tcPr>
            <w:tcW w:w="4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r>
      <w:tr>
        <w:trPr>
          <w:trHeight w:val="499"/>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188,713</w:t>
            </w:r>
          </w:p>
        </w:tc>
        <w:tc>
          <w:tcPr>
            <w:tcW w:w="2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178,843</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354,833</w:t>
            </w:r>
          </w:p>
        </w:tc>
        <w:tc>
          <w:tcPr>
            <w:tcW w:w="2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346,434</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140,834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131,425</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271,279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264,939</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17,433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16,459</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36,073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32,649</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17,059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20,701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33,829</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42,363</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7,823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(Gain) loss on sale of McClelland Lake Lodge assets, net</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(5,988)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r>
      <w:tr>
        <w:trPr>
          <w:trHeight w:val="237"/>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175,601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168,671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343,502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340,166</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13,112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10,172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11,331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6,268</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(7,260)</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2,877</w:t>
            </w:r>
          </w:p>
        </w:tc>
      </w:tr>
      <w:tr>
        <w:trPr>
          <w:trHeight w:val="233"/>
        </w:trPr>
        <w:tc>
          <w:tcPr>
            <w:tcW w:w="4260" w:type="dxa"/>
            <w:vAlign w:val="bottom"/>
          </w:tcPr>
          <w:p>
            <w:pPr>
              <w:ind w:left="120"/>
              <w:spacing w:after="0"/>
              <w:rPr>
                <w:sz w:val="20"/>
                <w:szCs w:val="20"/>
                <w:color w:val="auto"/>
              </w:rPr>
            </w:pPr>
            <w:r>
              <w:rPr>
                <w:rFonts w:ascii="Arial" w:cs="Arial" w:eastAsia="Arial" w:hAnsi="Arial"/>
                <w:sz w:val="14"/>
                <w:szCs w:val="14"/>
                <w:color w:val="auto"/>
              </w:rPr>
              <w:t>Income before income taxes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11,273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7,045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7,628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1,967</w:t>
            </w:r>
          </w:p>
        </w:tc>
      </w:tr>
      <w:tr>
        <w:trPr>
          <w:trHeight w:val="261"/>
        </w:trPr>
        <w:tc>
          <w:tcPr>
            <w:tcW w:w="4260" w:type="dxa"/>
            <w:vAlign w:val="bottom"/>
          </w:tcPr>
          <w:p>
            <w:pPr>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(4,111)</w:t>
            </w:r>
          </w:p>
        </w:tc>
      </w:tr>
      <w:tr>
        <w:trPr>
          <w:trHeight w:val="232"/>
        </w:trPr>
        <w:tc>
          <w:tcPr>
            <w:tcW w:w="426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7,487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4,167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2,291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(2,144)</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Less: Net loss attributable to noncontrolling interest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r>
      <w:tr>
        <w:trPr>
          <w:trHeight w:val="214"/>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8,227</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2"/>
        </w:trPr>
        <w:tc>
          <w:tcPr>
            <w:tcW w:w="456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2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0.21</w:t>
            </w:r>
          </w:p>
        </w:tc>
        <w:tc>
          <w:tcPr>
            <w:tcW w:w="2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(0.13)</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2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0.21</w:t>
            </w:r>
          </w:p>
        </w:tc>
        <w:tc>
          <w:tcPr>
            <w:tcW w:w="2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(0.13)</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14,518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14,970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14,586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15,064</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14,600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14,678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15,064</w:t>
            </w:r>
          </w:p>
        </w:tc>
      </w:tr>
    </w:tbl>
    <w:p>
      <w:pPr>
        <w:sectPr>
          <w:pgSz w:w="11900" w:h="16838" w:orient="portrait"/>
          <w:cols w:equalWidth="0" w:num="1">
            <w:col w:w="9180"/>
          </w:cols>
          <w:pgMar w:left="1360" w:top="890"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June 30, 2024</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7,435</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124,337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143,222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8,353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15,846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151,593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175,246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236,842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270,563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72,707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77,999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12,286</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483,234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47,151</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58,699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32,207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40,523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98,085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114,236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47,489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7,176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8,571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24,167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183,846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225,024</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1,630,130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1,628,972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(933,346)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(919,023)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(389,229)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(380,715)</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297,425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320,171</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299,388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323,038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483,234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Six Months Ended</w:t>
      </w:r>
    </w:p>
    <w:p>
      <w:pPr>
        <w:jc w:val="center"/>
        <w:ind w:left="5800"/>
        <w:spacing w:after="0"/>
        <w:rPr>
          <w:sz w:val="20"/>
          <w:szCs w:val="20"/>
          <w:color w:val="auto"/>
        </w:rPr>
      </w:pPr>
      <w:r>
        <w:rPr>
          <w:rFonts w:ascii="Arial" w:cs="Arial" w:eastAsia="Arial" w:hAnsi="Arial"/>
          <w:sz w:val="16"/>
          <w:szCs w:val="16"/>
          <w:b w:val="1"/>
          <w:bCs w:val="1"/>
          <w:color w:val="auto"/>
        </w:rPr>
        <w:t>June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2,291</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(2,144)</w:t>
            </w:r>
          </w:p>
        </w:tc>
      </w:tr>
      <w:tr>
        <w:trPr>
          <w:trHeight w:val="205"/>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33,829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42,363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3,985</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(6,104)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15,229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(19,669)</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(17,166)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(14,713)</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5,836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9,538</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38,343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19,761</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(10,929)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(11,717)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10,617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2,719</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(8,998)</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(14,942)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(15,825)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15,993</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(7,368)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(9,852)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(7,970)</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(34,112)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(6,919)</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36"/>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4,112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3,467</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7,435</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w:t>
            </w:r>
          </w:p>
        </w:tc>
      </w:tr>
      <w:tr>
        <w:trPr>
          <w:trHeight w:val="21"/>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79,527</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95,470</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146,687</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184,923</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108,608</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82,544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200,345</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159,533</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578</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188,713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178,843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354,833</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346,434</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17,154</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19,818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28,773</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31,829</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21,551</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19,606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36,073</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33,815</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(18,120)</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31,221</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46,726</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51,762</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17,241</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19,818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22,785</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31,829</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21,551</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19,606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41,823</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33,815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(16,047)</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31,308</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48,561</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51,762</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4,927</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3,177</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5,481</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11,717</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9,176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17,684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14,073</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(11,834)</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(6,480)</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13,112</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11,331</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11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1632"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63"/>
        </w:trPr>
        <w:tc>
          <w:tcPr>
            <w:tcW w:w="1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518"/>
        </w:trPr>
        <w:tc>
          <w:tcPr>
            <w:tcW w:w="166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31,221</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31,596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46,726</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51,762</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123,901</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31,308</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31,596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48,561</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51,762</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98,833</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30,881</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12,912</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38,031</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10,763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line="164"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0.3x</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right="1920" w:hanging="332"/>
        <w:spacing w:after="0" w:line="257"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332" w:right="2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390" w:lineRule="exact"/>
        <w:rPr>
          <w:sz w:val="20"/>
          <w:szCs w:val="20"/>
          <w:color w:val="auto"/>
        </w:rPr>
      </w:pPr>
    </w:p>
    <w:tbl>
      <w:tblPr>
        <w:tblLayout w:type="fixed"/>
        <w:tblInd w:w="792"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412"/>
        </w:trPr>
        <w:tc>
          <w:tcPr>
            <w:tcW w:w="324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8,227</w:t>
            </w:r>
          </w:p>
        </w:tc>
        <w:tc>
          <w:tcPr>
            <w:tcW w:w="160" w:type="dxa"/>
            <w:vAlign w:val="bottom"/>
          </w:tcPr>
          <w:p>
            <w:pPr>
              <w:spacing w:after="0"/>
              <w:rPr>
                <w:sz w:val="24"/>
                <w:szCs w:val="2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4,463</w:t>
            </w:r>
          </w:p>
        </w:tc>
        <w:tc>
          <w:tcPr>
            <w:tcW w:w="16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3,094</w:t>
            </w:r>
          </w:p>
        </w:tc>
        <w:tc>
          <w:tcPr>
            <w:tcW w:w="180" w:type="dxa"/>
            <w:vAlign w:val="bottom"/>
          </w:tcPr>
          <w:p>
            <w:pPr>
              <w:spacing w:after="0"/>
              <w:rPr>
                <w:sz w:val="24"/>
                <w:szCs w:val="2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(1,890)</w:t>
            </w:r>
          </w:p>
        </w:tc>
        <w:tc>
          <w:tcPr>
            <w:tcW w:w="1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35,141</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6"/>
                <w:szCs w:val="16"/>
                <w:color w:val="auto"/>
              </w:rPr>
              <w:t>Corporation</w:t>
            </w: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3,786</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2,878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11,859</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17,059</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20,701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33,829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42,363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66,608</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71"/>
        </w:trPr>
        <w:tc>
          <w:tcPr>
            <w:tcW w:w="324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2,203</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7,260</w:t>
            </w: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10,480</w:t>
            </w:r>
          </w:p>
        </w:tc>
        <w:tc>
          <w:tcPr>
            <w:tcW w:w="0" w:type="dxa"/>
            <w:vAlign w:val="bottom"/>
          </w:tcPr>
          <w:p>
            <w:pPr>
              <w:spacing w:after="0"/>
              <w:rPr>
                <w:sz w:val="1"/>
                <w:szCs w:val="1"/>
                <w:color w:val="auto"/>
              </w:rPr>
            </w:pPr>
          </w:p>
        </w:tc>
      </w:tr>
      <w:tr>
        <w:trPr>
          <w:trHeight w:val="249"/>
        </w:trPr>
        <w:tc>
          <w:tcPr>
            <w:tcW w:w="3240" w:type="dxa"/>
            <w:vAlign w:val="bottom"/>
          </w:tcPr>
          <w:p>
            <w:pPr>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31,221</w:t>
            </w:r>
          </w:p>
        </w:tc>
        <w:tc>
          <w:tcPr>
            <w:tcW w:w="16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31,596</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46,726</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51,762</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123,901</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9,218</w:t>
            </w:r>
          </w:p>
        </w:tc>
        <w:tc>
          <w:tcPr>
            <w:tcW w:w="0" w:type="dxa"/>
            <w:vAlign w:val="bottom"/>
          </w:tcPr>
          <w:p>
            <w:pPr>
              <w:spacing w:after="0"/>
              <w:rPr>
                <w:sz w:val="1"/>
                <w:szCs w:val="1"/>
                <w:color w:val="auto"/>
              </w:rPr>
            </w:pPr>
          </w:p>
        </w:tc>
      </w:tr>
      <w:tr>
        <w:trPr>
          <w:trHeight w:val="205"/>
        </w:trPr>
        <w:tc>
          <w:tcPr>
            <w:tcW w:w="3240" w:type="dxa"/>
            <w:vAlign w:val="bottom"/>
          </w:tcPr>
          <w:p>
            <w:pPr>
              <w:ind w:left="220"/>
              <w:spacing w:after="0"/>
              <w:rPr>
                <w:sz w:val="20"/>
                <w:szCs w:val="20"/>
                <w:color w:val="auto"/>
              </w:rPr>
            </w:pPr>
            <w:r>
              <w:rPr>
                <w:rFonts w:ascii="Arial" w:cs="Arial" w:eastAsia="Arial" w:hAnsi="Arial"/>
                <w:sz w:val="16"/>
                <w:szCs w:val="16"/>
                <w:color w:val="auto"/>
              </w:rPr>
              <w:t>Net (gain) loss on disposition of</w:t>
            </w:r>
          </w:p>
        </w:tc>
        <w:tc>
          <w:tcPr>
            <w:tcW w:w="2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(5,988)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(34,286)</w:t>
            </w:r>
          </w:p>
        </w:tc>
        <w:tc>
          <w:tcPr>
            <w:tcW w:w="0" w:type="dxa"/>
            <w:vAlign w:val="bottom"/>
          </w:tcPr>
          <w:p>
            <w:pPr>
              <w:spacing w:after="0"/>
              <w:rPr>
                <w:sz w:val="1"/>
                <w:szCs w:val="1"/>
                <w:color w:val="auto"/>
              </w:rPr>
            </w:pPr>
          </w:p>
        </w:tc>
      </w:tr>
      <w:tr>
        <w:trPr>
          <w:trHeight w:val="215"/>
        </w:trPr>
        <w:tc>
          <w:tcPr>
            <w:tcW w:w="324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31,308</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31,596</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48,561</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51,762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98,833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52" w:hanging="328"/>
        <w:spacing w:after="0" w:line="265"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first quarter of 2024 and the fourth quarter of 2023. In the first quarter of 2024, we recorded a pre-tax loss related to the impairment of long-lived assets in our Australian segment of $5.7 million and a pre-tax loss related to the impairment of long-lived assets in the U.S. of $2.1 million. In the fourth quarter of 2023, we recorded a pre-tax loss related to the impairment of long-lived assets in the U.S. of $1.4 million.</w:t>
      </w:r>
    </w:p>
    <w:p>
      <w:pPr>
        <w:sectPr>
          <w:pgSz w:w="11900" w:h="16838" w:orient="portrait"/>
          <w:cols w:equalWidth="0" w:num="1">
            <w:col w:w="11132"/>
          </w:cols>
          <w:pgMar w:left="328" w:top="895" w:right="439" w:bottom="1440" w:gutter="0" w:footer="0" w:header="0"/>
        </w:sectPr>
      </w:pPr>
    </w:p>
    <w:bookmarkStart w:id="12" w:name="page13"/>
    <w:bookmarkEnd w:id="12"/>
    <w:p>
      <w:pPr>
        <w:ind w:left="652" w:hanging="328"/>
        <w:spacing w:after="0" w:line="259"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second quarter of 2024, we recorded expenses associated with the sale of our McClelland Lake Lodge of $0.1 million,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 In the fourth quarter of 2023, we recorded gains associated with the sale of the McClelland Lake Lodge of $33.2 million, which are included in (Gain) loss on sale of McClelland Lake Lodge assets, net ($23.5 million) and Other income ($9.7 million) on the unaudited statements of operations. In the third quarter of 2023, we recorded expenses associated with the sale of our McClelland Lake Lodge of $4.9 million, which are included in (Gain) loss on sale of McClelland Lake Lodge assets, net on the unaudited statements of operations.</w:t>
      </w:r>
    </w:p>
    <w:p>
      <w:pPr>
        <w:spacing w:after="0" w:line="207" w:lineRule="exact"/>
        <w:rPr>
          <w:rFonts w:ascii="Arial" w:cs="Arial" w:eastAsia="Arial" w:hAnsi="Arial"/>
          <w:sz w:val="16"/>
          <w:szCs w:val="16"/>
          <w:color w:val="auto"/>
        </w:rPr>
      </w:pPr>
    </w:p>
    <w:p>
      <w:pPr>
        <w:ind w:left="332" w:right="1980" w:hanging="332"/>
        <w:spacing w:after="0" w:line="25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09" w:lineRule="exact"/>
        <w:rPr>
          <w:rFonts w:ascii="Arial" w:cs="Arial" w:eastAsia="Arial" w:hAnsi="Arial"/>
          <w:sz w:val="16"/>
          <w:szCs w:val="16"/>
          <w:color w:val="auto"/>
        </w:rPr>
      </w:pPr>
    </w:p>
    <w:p>
      <w:pPr>
        <w:ind w:left="332" w:right="70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ind w:left="2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ind w:left="60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18"/>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32,358</w:t>
            </w:r>
          </w:p>
        </w:tc>
        <w:tc>
          <w:tcPr>
            <w:tcW w:w="2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19,403</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260"/>
              <w:spacing w:after="0"/>
              <w:rPr>
                <w:sz w:val="20"/>
                <w:szCs w:val="20"/>
                <w:color w:val="auto"/>
              </w:rPr>
            </w:pPr>
            <w:r>
              <w:rPr>
                <w:rFonts w:ascii="Arial" w:cs="Arial" w:eastAsia="Arial" w:hAnsi="Arial"/>
                <w:sz w:val="16"/>
                <w:szCs w:val="16"/>
                <w:color w:val="auto"/>
              </w:rPr>
              <w:t>38,343</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19,761</w:t>
            </w:r>
          </w:p>
        </w:tc>
        <w:tc>
          <w:tcPr>
            <w:tcW w:w="0" w:type="dxa"/>
            <w:vAlign w:val="bottom"/>
          </w:tcPr>
          <w:p>
            <w:pPr>
              <w:spacing w:after="0"/>
              <w:rPr>
                <w:sz w:val="1"/>
                <w:szCs w:val="1"/>
                <w:color w:val="auto"/>
              </w:rPr>
            </w:pP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(5,316)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6"/>
                <w:szCs w:val="16"/>
                <w:color w:val="auto"/>
              </w:rPr>
              <w:t>(10,929)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(11,717)</w:t>
            </w:r>
          </w:p>
        </w:tc>
        <w:tc>
          <w:tcPr>
            <w:tcW w:w="0" w:type="dxa"/>
            <w:vAlign w:val="bottom"/>
          </w:tcPr>
          <w:p>
            <w:pPr>
              <w:spacing w:after="0"/>
              <w:rPr>
                <w:sz w:val="1"/>
                <w:szCs w:val="1"/>
                <w:color w:val="auto"/>
              </w:rPr>
            </w:pPr>
          </w:p>
        </w:tc>
      </w:tr>
      <w:tr>
        <w:trPr>
          <w:trHeight w:val="164"/>
        </w:trPr>
        <w:tc>
          <w:tcPr>
            <w:tcW w:w="4340" w:type="dxa"/>
            <w:vAlign w:val="bottom"/>
          </w:tcPr>
          <w:p>
            <w:pPr>
              <w:ind w:left="120"/>
              <w:spacing w:after="0" w:line="164" w:lineRule="exact"/>
              <w:rPr>
                <w:sz w:val="20"/>
                <w:szCs w:val="20"/>
                <w:color w:val="auto"/>
              </w:rPr>
            </w:pPr>
            <w:r>
              <w:rPr>
                <w:rFonts w:ascii="Arial" w:cs="Arial" w:eastAsia="Arial" w:hAnsi="Arial"/>
                <w:sz w:val="16"/>
                <w:szCs w:val="16"/>
                <w:color w:val="auto"/>
              </w:rPr>
              <w:t>Proceeds from dispositions of property, plant and</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3,839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ind w:left="260"/>
              <w:spacing w:after="0"/>
              <w:rPr>
                <w:sz w:val="20"/>
                <w:szCs w:val="20"/>
                <w:color w:val="auto"/>
              </w:rPr>
            </w:pPr>
            <w:r>
              <w:rPr>
                <w:rFonts w:ascii="Arial" w:cs="Arial" w:eastAsia="Arial" w:hAnsi="Arial"/>
                <w:sz w:val="16"/>
                <w:szCs w:val="16"/>
                <w:color w:val="auto"/>
              </w:rPr>
              <w:t>10,617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38,031</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32" w:right="1940" w:hanging="332"/>
        <w:spacing w:after="0" w:line="260"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04" w:lineRule="exact"/>
        <w:rPr>
          <w:rFonts w:ascii="Arial" w:cs="Arial" w:eastAsia="Arial" w:hAnsi="Arial"/>
          <w:sz w:val="16"/>
          <w:szCs w:val="16"/>
          <w:color w:val="auto"/>
        </w:rPr>
      </w:pPr>
    </w:p>
    <w:p>
      <w:pPr>
        <w:ind w:left="332" w:right="26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ectPr>
          <w:pgSz w:w="11900" w:h="16838" w:orient="portrait"/>
          <w:cols w:equalWidth="0" w:num="1">
            <w:col w:w="11172"/>
          </w:cols>
          <w:pgMar w:left="328" w:top="895" w:right="39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June 30,</w:t>
            </w:r>
          </w:p>
        </w:tc>
      </w:tr>
      <w:tr>
        <w:trPr>
          <w:trHeight w:val="217"/>
        </w:trPr>
        <w:tc>
          <w:tcPr>
            <w:tcW w:w="6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r>
      <w:tr>
        <w:trPr>
          <w:trHeight w:val="464"/>
        </w:trPr>
        <w:tc>
          <w:tcPr>
            <w:tcW w:w="6240" w:type="dxa"/>
            <w:vAlign w:val="bottom"/>
          </w:tcPr>
          <w:p>
            <w:pPr>
              <w:spacing w:after="0"/>
              <w:rPr>
                <w:sz w:val="20"/>
                <w:szCs w:val="20"/>
                <w:color w:val="auto"/>
              </w:rPr>
            </w:pPr>
            <w:r>
              <w:rPr>
                <w:rFonts w:ascii="Arial" w:cs="Arial" w:eastAsia="Arial" w:hAnsi="Arial"/>
                <w:sz w:val="16"/>
                <w:szCs w:val="16"/>
                <w:color w:val="auto"/>
              </w:rPr>
              <w:t>Total debt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47,489</w:t>
            </w:r>
          </w:p>
        </w:tc>
      </w:tr>
      <w:tr>
        <w:trPr>
          <w:trHeight w:val="217"/>
        </w:trPr>
        <w:tc>
          <w:tcPr>
            <w:tcW w:w="624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7,435</w:t>
            </w:r>
          </w:p>
        </w:tc>
      </w:tr>
      <w:tr>
        <w:trPr>
          <w:trHeight w:val="210"/>
        </w:trPr>
        <w:tc>
          <w:tcPr>
            <w:tcW w:w="6240" w:type="dxa"/>
            <w:vAlign w:val="bottom"/>
          </w:tcPr>
          <w:p>
            <w:pPr>
              <w:ind w:left="100"/>
              <w:spacing w:after="0"/>
              <w:rPr>
                <w:sz w:val="20"/>
                <w:szCs w:val="20"/>
                <w:color w:val="auto"/>
              </w:rPr>
            </w:pPr>
            <w:r>
              <w:rPr>
                <w:rFonts w:ascii="Arial" w:cs="Arial" w:eastAsia="Arial" w:hAnsi="Arial"/>
                <w:sz w:val="16"/>
                <w:szCs w:val="16"/>
                <w:color w:val="auto"/>
              </w:rPr>
              <w:t>Net debt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40,054</w:t>
            </w:r>
          </w:p>
        </w:tc>
      </w:tr>
      <w:tr>
        <w:trPr>
          <w:trHeight w:val="21"/>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0"/>
        </w:trPr>
        <w:tc>
          <w:tcPr>
            <w:tcW w:w="6240" w:type="dxa"/>
            <w:vAlign w:val="bottom"/>
          </w:tcPr>
          <w:p>
            <w:pPr>
              <w:spacing w:after="0"/>
              <w:rPr>
                <w:sz w:val="20"/>
                <w:szCs w:val="20"/>
                <w:color w:val="auto"/>
              </w:rPr>
            </w:pPr>
            <w:r>
              <w:rPr>
                <w:rFonts w:ascii="Arial" w:cs="Arial" w:eastAsia="Arial" w:hAnsi="Arial"/>
                <w:sz w:val="16"/>
                <w:szCs w:val="16"/>
                <w:color w:val="auto"/>
              </w:rPr>
              <w:t>Adjusted EBITDA for the twelve months ended June 30, 2024 (a)</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98,833</w:t>
            </w: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24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16"/>
        </w:trPr>
        <w:tc>
          <w:tcPr>
            <w:tcW w:w="624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6240" w:type="dxa"/>
            <w:vAlign w:val="bottom"/>
          </w:tcPr>
          <w:p>
            <w:pPr>
              <w:ind w:left="100"/>
              <w:spacing w:after="0"/>
              <w:rPr>
                <w:sz w:val="20"/>
                <w:szCs w:val="20"/>
                <w:color w:val="auto"/>
              </w:rPr>
            </w:pPr>
            <w:r>
              <w:rPr>
                <w:rFonts w:ascii="Arial" w:cs="Arial" w:eastAsia="Arial" w:hAnsi="Arial"/>
                <w:sz w:val="16"/>
                <w:szCs w:val="16"/>
                <w:color w:val="auto"/>
              </w:rPr>
              <w:t>Incremental adjustments for McClelland Lake Lodge disposition (b)</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13,041</w:t>
            </w:r>
          </w:p>
        </w:tc>
      </w:tr>
      <w:tr>
        <w:trPr>
          <w:trHeight w:val="211"/>
        </w:trPr>
        <w:tc>
          <w:tcPr>
            <w:tcW w:w="624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115,634</w:t>
            </w:r>
          </w:p>
        </w:tc>
      </w:tr>
      <w:tr>
        <w:trPr>
          <w:trHeight w:val="21"/>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0"/>
        </w:trPr>
        <w:tc>
          <w:tcPr>
            <w:tcW w:w="624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0.3x</w:t>
            </w:r>
          </w:p>
        </w:tc>
      </w:tr>
    </w:tbl>
    <w:p>
      <w:pPr>
        <w:spacing w:after="0" w:line="200" w:lineRule="exact"/>
        <w:rPr>
          <w:sz w:val="20"/>
          <w:szCs w:val="20"/>
          <w:color w:val="auto"/>
        </w:rPr>
      </w:pPr>
    </w:p>
    <w:p>
      <w:pPr>
        <w:spacing w:after="0" w:line="220" w:lineRule="exact"/>
        <w:rPr>
          <w:sz w:val="20"/>
          <w:szCs w:val="20"/>
          <w:color w:val="auto"/>
        </w:rPr>
      </w:pPr>
    </w:p>
    <w:p>
      <w:pPr>
        <w:ind w:left="10" w:right="2819" w:hanging="10"/>
        <w:spacing w:after="0" w:line="246"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ind w:left="10" w:right="2539" w:hanging="10"/>
        <w:spacing w:after="0" w:line="246" w:lineRule="auto"/>
        <w:tabs>
          <w:tab w:leader="none" w:pos="25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ind w:left="230" w:hanging="230"/>
        <w:spacing w:after="0"/>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935" w:right="1440" w:bottom="1440" w:gutter="0" w:footer="0" w:header="0"/>
        </w:sectPr>
      </w:pPr>
    </w:p>
    <w:bookmarkStart w:id="14" w:name="page15"/>
    <w:bookmarkEnd w:id="14"/>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2024</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78.2</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80.0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2024</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(estimated)</w:t>
            </w:r>
          </w:p>
        </w:tc>
        <w:tc>
          <w:tcPr>
            <w:tcW w:w="66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Net gain on disposition of McClelland Lake Lodge assets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5" w:name="page16"/>
    <w:bookmarkEnd w:id="15"/>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72,259</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72,355</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132,046</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136,583</w:t>
            </w: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17,407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37,438</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10,902</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79,527</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95,470</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146,687</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184,923</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48,197</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52,431</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93,917</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104,529</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1,401</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4,052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26,100</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12,454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5,683</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58,849</w:t>
            </w:r>
          </w:p>
        </w:tc>
        <w:tc>
          <w:tcPr>
            <w:tcW w:w="18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71,845</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116,106</w:t>
            </w:r>
          </w:p>
        </w:tc>
        <w:tc>
          <w:tcPr>
            <w:tcW w:w="2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145,750</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752,364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724,299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1,362,396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1,367,095</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0.731</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0.745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0.736</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0.742</w:t>
            </w:r>
          </w:p>
        </w:tc>
        <w:tc>
          <w:tcPr>
            <w:tcW w:w="0" w:type="dxa"/>
            <w:vAlign w:val="bottom"/>
          </w:tcPr>
          <w:p>
            <w:pPr>
              <w:spacing w:after="0"/>
              <w:rPr>
                <w:sz w:val="1"/>
                <w:szCs w:val="1"/>
                <w:color w:val="auto"/>
              </w:rPr>
            </w:pPr>
          </w:p>
        </w:tc>
      </w:tr>
      <w:tr>
        <w:trPr>
          <w:trHeight w:val="434"/>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48,914</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44,342</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96,021</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84,941</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59,694</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38,202</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104,324</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74,592</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108,608</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82,544</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200,345</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159,533</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23,613</w:t>
            </w:r>
          </w:p>
        </w:tc>
        <w:tc>
          <w:tcPr>
            <w:tcW w:w="18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20,948</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46,207</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41,266</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54,527</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35,372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95,431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71,234</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81,037</w:t>
            </w:r>
          </w:p>
        </w:tc>
        <w:tc>
          <w:tcPr>
            <w:tcW w:w="180" w:type="dxa"/>
            <w:vAlign w:val="bottom"/>
          </w:tcPr>
          <w:p>
            <w:pPr>
              <w:spacing w:after="0"/>
              <w:rPr>
                <w:sz w:val="12"/>
                <w:szCs w:val="12"/>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58,545</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147,150</w:t>
            </w:r>
          </w:p>
        </w:tc>
        <w:tc>
          <w:tcPr>
            <w:tcW w:w="20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116,853</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625,353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587,855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1,239,289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1,110,568</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0.659</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0.668</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0.658</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1138"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2"/>
    </w:lvl>
  </w:abstractNum>
  <w:abstractNum w:abstractNumId="6">
    <w:nsid w:val="5BD062C2"/>
    <w:multiLevelType w:val="hybridMultilevel"/>
    <w:lvl w:ilvl="0">
      <w:lvlJc w:val="left"/>
      <w:lvlText w:val="(%1)"/>
      <w:numFmt w:val="decimal"/>
      <w:start w:val="2"/>
    </w:lvl>
    <w:lvl w:ilvl="1">
      <w:lvlJc w:val="left"/>
      <w:lvlText w:val="%2"/>
      <w:numFmt w:val="lowerLetter"/>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2024-07-30T07:05:30Z</dcterms:created>
  <dcterms:modified xsi:type="dcterms:W3CDTF">2024-07-30T07:05:30Z</dcterms:modified>
</cp:coreProperties>
</file>