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288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28828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Dodson Bradley J</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 SUITE 4400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02/25/2025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997"/>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277"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700" w:type="dxa"/>
            <w:vAlign w:val="bottom"/>
            <w:gridSpan w:val="8"/>
            <w:vMerge w:val="restart"/>
          </w:tcPr>
          <w:p>
            <w:pPr>
              <w:jc w:val="center"/>
              <w:ind w:right="26"/>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00" w:type="dxa"/>
            <w:vAlign w:val="bottom"/>
            <w:gridSpan w:val="8"/>
            <w:vMerge w:val="continue"/>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77002</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Borders>
              <w:top w:val="single" w:sz="8" w:color="EEEEEE"/>
            </w:tcBorders>
          </w:tcPr>
          <w:p>
            <w:pPr>
              <w:spacing w:after="0"/>
              <w:rPr>
                <w:sz w:val="15"/>
                <w:szCs w:val="15"/>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Borders>
              <w:top w:val="single" w:sz="8" w:color="EEEEEE"/>
            </w:tcBorders>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020" w:type="dxa"/>
            <w:vAlign w:val="bottom"/>
            <w:gridSpan w:val="6"/>
          </w:tcPr>
          <w:p>
            <w:pPr>
              <w:ind w:left="120"/>
              <w:spacing w:after="0" w:line="128" w:lineRule="exact"/>
              <w:rPr>
                <w:sz w:val="20"/>
                <w:szCs w:val="20"/>
                <w:color w:val="auto"/>
              </w:rPr>
            </w:pPr>
            <w:r>
              <w:rPr>
                <w:rFonts w:ascii="Arial" w:cs="Arial" w:eastAsia="Arial" w:hAnsi="Arial"/>
                <w:sz w:val="12"/>
                <w:szCs w:val="12"/>
                <w:b w:val="1"/>
                <w:bCs w:val="1"/>
                <w:color w:val="auto"/>
                <w:w w:val="99"/>
              </w:rPr>
              <w:t>Disposed Of (D) (Instr. 3, 4 and 5)</w:t>
            </w: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jc w:val="center"/>
              <w:ind w:left="609"/>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609"/>
              <w:spacing w:after="0"/>
              <w:rPr>
                <w:sz w:val="20"/>
                <w:szCs w:val="20"/>
                <w:color w:val="auto"/>
              </w:rPr>
            </w:pPr>
            <w:r>
              <w:rPr>
                <w:rFonts w:ascii="Times New Roman" w:cs="Times New Roman" w:eastAsia="Times New Roman" w:hAnsi="Times New Roman"/>
                <w:sz w:val="17"/>
                <w:szCs w:val="17"/>
                <w:color w:val="0000FF"/>
                <w:w w:val="98"/>
              </w:rPr>
              <w:t>02/25/2025</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18"/>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w w:val="94"/>
              </w:rPr>
              <w:t>19,060</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33"/>
              <w:spacing w:after="0" w:line="310"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246,390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60" w:type="dxa"/>
            <w:vAlign w:val="bottom"/>
            <w:gridSpan w:val="3"/>
          </w:tcPr>
          <w:p>
            <w:pPr>
              <w:jc w:val="center"/>
              <w:ind w:left="609"/>
              <w:spacing w:after="0"/>
              <w:rPr>
                <w:sz w:val="20"/>
                <w:szCs w:val="20"/>
                <w:color w:val="auto"/>
              </w:rPr>
            </w:pPr>
            <w:r>
              <w:rPr>
                <w:rFonts w:ascii="Times New Roman" w:cs="Times New Roman" w:eastAsia="Times New Roman" w:hAnsi="Times New Roman"/>
                <w:sz w:val="17"/>
                <w:szCs w:val="17"/>
                <w:color w:val="0000FF"/>
                <w:w w:val="98"/>
              </w:rPr>
              <w:t>02/25/2025</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38"/>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ind w:left="240"/>
              <w:spacing w:after="0"/>
              <w:rPr>
                <w:sz w:val="20"/>
                <w:szCs w:val="20"/>
                <w:color w:val="auto"/>
              </w:rPr>
            </w:pPr>
            <w:r>
              <w:rPr>
                <w:rFonts w:ascii="Times New Roman" w:cs="Times New Roman" w:eastAsia="Times New Roman" w:hAnsi="Times New Roman"/>
                <w:sz w:val="17"/>
                <w:szCs w:val="17"/>
                <w:color w:val="0000FF"/>
                <w:w w:val="94"/>
              </w:rPr>
              <w:t>19,060</w:t>
            </w:r>
          </w:p>
        </w:tc>
        <w:tc>
          <w:tcPr>
            <w:tcW w:w="80" w:type="dxa"/>
            <w:vAlign w:val="bottom"/>
          </w:tcPr>
          <w:p>
            <w:pPr>
              <w:spacing w:after="0"/>
              <w:rPr>
                <w:sz w:val="22"/>
                <w:szCs w:val="22"/>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26.96</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227,330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609"/>
              <w:spacing w:after="0"/>
              <w:rPr>
                <w:sz w:val="20"/>
                <w:szCs w:val="20"/>
                <w:color w:val="auto"/>
              </w:rPr>
            </w:pPr>
            <w:r>
              <w:rPr>
                <w:rFonts w:ascii="Times New Roman" w:cs="Times New Roman" w:eastAsia="Times New Roman" w:hAnsi="Times New Roman"/>
                <w:sz w:val="17"/>
                <w:szCs w:val="17"/>
                <w:color w:val="0000FF"/>
                <w:w w:val="98"/>
              </w:rPr>
              <w:t>02/25/2025</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w w:val="91"/>
              </w:rPr>
              <w:t>37,265</w:t>
            </w:r>
            <w:r>
              <w:rPr>
                <w:rFonts w:ascii="Times New Roman" w:cs="Times New Roman" w:eastAsia="Times New Roman" w:hAnsi="Times New Roman"/>
                <w:sz w:val="21"/>
                <w:szCs w:val="21"/>
                <w:color w:val="008000"/>
                <w:w w:val="91"/>
                <w:vertAlign w:val="superscript"/>
              </w:rPr>
              <w:t>(2)</w:t>
            </w:r>
          </w:p>
        </w:tc>
        <w:tc>
          <w:tcPr>
            <w:tcW w:w="5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33"/>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264,595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60" w:type="dxa"/>
            <w:vAlign w:val="bottom"/>
            <w:gridSpan w:val="3"/>
          </w:tcPr>
          <w:p>
            <w:pPr>
              <w:jc w:val="center"/>
              <w:ind w:left="609"/>
              <w:spacing w:after="0"/>
              <w:rPr>
                <w:sz w:val="20"/>
                <w:szCs w:val="20"/>
                <w:color w:val="auto"/>
              </w:rPr>
            </w:pPr>
            <w:r>
              <w:rPr>
                <w:rFonts w:ascii="Times New Roman" w:cs="Times New Roman" w:eastAsia="Times New Roman" w:hAnsi="Times New Roman"/>
                <w:sz w:val="17"/>
                <w:szCs w:val="17"/>
                <w:color w:val="0000FF"/>
                <w:w w:val="98"/>
              </w:rPr>
              <w:t>02/25/2025</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38"/>
              <w:spacing w:after="0"/>
              <w:rPr>
                <w:sz w:val="20"/>
                <w:szCs w:val="20"/>
                <w:color w:val="auto"/>
              </w:rPr>
            </w:pPr>
            <w:r>
              <w:rPr>
                <w:rFonts w:ascii="Times New Roman" w:cs="Times New Roman" w:eastAsia="Times New Roman" w:hAnsi="Times New Roman"/>
                <w:sz w:val="13"/>
                <w:szCs w:val="13"/>
                <w:color w:val="0000FF"/>
                <w:w w:val="82"/>
              </w:rPr>
              <w:t>F</w:t>
            </w:r>
          </w:p>
        </w:tc>
        <w:tc>
          <w:tcPr>
            <w:tcW w:w="700" w:type="dxa"/>
            <w:vAlign w:val="bottom"/>
          </w:tcPr>
          <w:p>
            <w:pPr>
              <w:ind w:left="240"/>
              <w:spacing w:after="0"/>
              <w:rPr>
                <w:sz w:val="20"/>
                <w:szCs w:val="20"/>
                <w:color w:val="auto"/>
              </w:rPr>
            </w:pPr>
            <w:r>
              <w:rPr>
                <w:rFonts w:ascii="Times New Roman" w:cs="Times New Roman" w:eastAsia="Times New Roman" w:hAnsi="Times New Roman"/>
                <w:sz w:val="17"/>
                <w:szCs w:val="17"/>
                <w:color w:val="0000FF"/>
                <w:w w:val="94"/>
              </w:rPr>
              <w:t>14,992</w:t>
            </w:r>
          </w:p>
        </w:tc>
        <w:tc>
          <w:tcPr>
            <w:tcW w:w="80" w:type="dxa"/>
            <w:vAlign w:val="bottom"/>
          </w:tcPr>
          <w:p>
            <w:pPr>
              <w:spacing w:after="0"/>
              <w:rPr>
                <w:sz w:val="22"/>
                <w:szCs w:val="22"/>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26.96</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249,603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94"/>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6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6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20"/>
                <w:szCs w:val="20"/>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02/25/2025</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20"/>
                <w:szCs w:val="20"/>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19,060</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19,060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56,362</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6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share is the economic equivalent of one Civeo Corporation common share and is payable in cash. The phantom shares vest at various times based on grant date. 19,060 shares vested on February 25, 2025.</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Settlement of performance share award under the 2014 Equity Participation Plan of Civeo Corporation that cliff vested at 65% on the third anniversary of February 25, 2022.</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Bradley J. Dodson,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02/27/2025</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In-Fact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63974"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2025-02-27T15:15:54Z</dcterms:created>
  <dcterms:modified xsi:type="dcterms:W3CDTF">2025-02-27T15:15:54Z</dcterms:modified>
</cp:coreProperties>
</file>