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2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 PURSUANT TO SECTION 13 OR 15(d)</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May 1, 2026</w:t>
      </w:r>
    </w:p>
    <w:p>
      <w:pPr>
        <w:spacing w:after="0" w:line="4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____________________</w:t>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Civeo Corporation</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20"/>
          </w:cols>
          <w:pgMar w:left="320" w:top="1384" w:right="359" w:bottom="1440" w:gutter="0" w:footer="0" w:header="0"/>
        </w:sectPr>
      </w:pPr>
    </w:p>
    <w:p>
      <w:pPr>
        <w:spacing w:after="0" w:line="26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1-36246</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98-1253716</w:t>
      </w:r>
    </w:p>
    <w:p>
      <w:pPr>
        <w:spacing w:after="0" w:line="30" w:lineRule="exact"/>
        <w:rPr>
          <w:sz w:val="24"/>
          <w:szCs w:val="24"/>
          <w:color w:val="auto"/>
        </w:rPr>
      </w:pPr>
    </w:p>
    <w:p>
      <w:pPr>
        <w:sectPr>
          <w:pgSz w:w="11900" w:h="16838" w:orient="portrait"/>
          <w:cols w:equalWidth="0" w:num="3">
            <w:col w:w="4440" w:space="720"/>
            <w:col w:w="2620" w:space="720"/>
            <w:col w:w="2720"/>
          </w:cols>
          <w:pgMar w:left="320" w:top="1384" w:right="35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8"/>
          <w:szCs w:val="18"/>
          <w:color w:val="auto"/>
        </w:rPr>
        <w:t>(Commission File</w:t>
      </w:r>
    </w:p>
    <w:p>
      <w:pPr>
        <w:jc w:val="center"/>
        <w:ind w:right="126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62" w:lineRule="exact"/>
        <w:rPr>
          <w:sz w:val="24"/>
          <w:szCs w:val="24"/>
          <w:color w:val="auto"/>
        </w:rPr>
      </w:pPr>
    </w:p>
    <w:p>
      <w:pPr>
        <w:sectPr>
          <w:pgSz w:w="11900" w:h="16838" w:orient="portrait"/>
          <w:cols w:equalWidth="0" w:num="3">
            <w:col w:w="4160" w:space="720"/>
            <w:col w:w="2560" w:space="720"/>
            <w:col w:w="3060"/>
          </w:cols>
          <w:pgMar w:left="320" w:top="1384" w:right="359" w:bottom="1440" w:gutter="0" w:footer="0" w:header="0"/>
          <w:type w:val="continuous"/>
        </w:sectPr>
      </w:pPr>
    </w:p>
    <w:p>
      <w:pPr>
        <w:ind w:left="4640"/>
        <w:spacing w:after="0"/>
        <w:rPr>
          <w:sz w:val="20"/>
          <w:szCs w:val="20"/>
          <w:color w:val="auto"/>
        </w:rPr>
      </w:pPr>
      <w:r>
        <w:rPr>
          <w:rFonts w:ascii="Times New Roman" w:cs="Times New Roman" w:eastAsia="Times New Roman" w:hAnsi="Times New Roman"/>
          <w:sz w:val="22"/>
          <w:szCs w:val="22"/>
          <w:b w:val="1"/>
          <w:bCs w:val="1"/>
          <w:color w:val="auto"/>
        </w:rPr>
        <w:t>Three Allen Center</w:t>
      </w:r>
    </w:p>
    <w:p>
      <w:pPr>
        <w:spacing w:after="0" w:line="12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333 Clay Street, Suite 4400</w:t>
      </w:r>
    </w:p>
    <w:p>
      <w:pPr>
        <w:sectPr>
          <w:pgSz w:w="11900" w:h="16838" w:orient="portrait"/>
          <w:cols w:equalWidth="0" w:num="1">
            <w:col w:w="11220"/>
          </w:cols>
          <w:pgMar w:left="320" w:top="1384" w:right="359" w:bottom="1440" w:gutter="0" w:footer="0" w:header="0"/>
          <w:type w:val="continuous"/>
        </w:sectPr>
      </w:pPr>
    </w:p>
    <w:p>
      <w:pPr>
        <w:spacing w:after="0" w:line="15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9"/>
          <w:szCs w:val="19"/>
          <w:b w:val="1"/>
          <w:bCs w:val="1"/>
          <w:color w:val="auto"/>
        </w:rPr>
        <w:t>Houston, Texas</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77002</w:t>
      </w:r>
    </w:p>
    <w:p>
      <w:pPr>
        <w:spacing w:after="0" w:line="45" w:lineRule="exact"/>
        <w:rPr>
          <w:sz w:val="24"/>
          <w:szCs w:val="24"/>
          <w:color w:val="auto"/>
        </w:rPr>
      </w:pPr>
    </w:p>
    <w:p>
      <w:pPr>
        <w:sectPr>
          <w:pgSz w:w="11900" w:h="16838" w:orient="portrait"/>
          <w:cols w:equalWidth="0" w:num="2">
            <w:col w:w="6080" w:space="360"/>
            <w:col w:w="4780"/>
          </w:cols>
          <w:pgMar w:left="320" w:top="1384"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(Address and zip code of principal executive offices)</w:t>
      </w:r>
    </w:p>
    <w:p>
      <w:pPr>
        <w:sectPr>
          <w:pgSz w:w="11900" w:h="16838" w:orient="portrait"/>
          <w:cols w:equalWidth="0" w:num="1">
            <w:col w:w="11220"/>
          </w:cols>
          <w:pgMar w:left="320" w:top="1384" w:right="359" w:bottom="1440" w:gutter="0" w:footer="0" w:header="0"/>
          <w:type w:val="continuous"/>
        </w:sect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17"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9"/>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4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r>
        <w:trPr>
          <w:trHeight w:val="228"/>
        </w:trPr>
        <w:tc>
          <w:tcPr>
            <w:tcW w:w="376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no par value</w:t>
            </w:r>
          </w:p>
        </w:tc>
        <w:tc>
          <w:tcPr>
            <w:tcW w:w="26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CVEO</w:t>
            </w:r>
          </w:p>
        </w:tc>
        <w:tc>
          <w:tcPr>
            <w:tcW w:w="48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bl>
    <w:p>
      <w:pPr>
        <w:spacing w:after="0" w:line="198"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778510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4" w:right="359" w:bottom="1440" w:gutter="0" w:footer="0" w:header="0"/>
          <w:type w:val="continuous"/>
        </w:sectPr>
      </w:pPr>
    </w:p>
    <w:bookmarkStart w:id="1" w:name="page2"/>
    <w:bookmarkEnd w:id="1"/>
    <w:p>
      <w:pPr>
        <w:spacing w:after="0" w:line="3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1075690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251" w:lineRule="exact"/>
        <w:rPr>
          <w:sz w:val="20"/>
          <w:szCs w:val="20"/>
          <w:color w:val="auto"/>
        </w:rPr>
      </w:pPr>
    </w:p>
    <w:p>
      <w:pPr>
        <w:jc w:val="both"/>
        <w:ind w:firstLine="378"/>
        <w:spacing w:after="0" w:line="263" w:lineRule="auto"/>
        <w:rPr>
          <w:sz w:val="20"/>
          <w:szCs w:val="20"/>
          <w:color w:val="auto"/>
        </w:rPr>
      </w:pPr>
      <w:r>
        <w:rPr>
          <w:rFonts w:ascii="Times New Roman" w:cs="Times New Roman" w:eastAsia="Times New Roman" w:hAnsi="Times New Roman"/>
          <w:sz w:val="22"/>
          <w:szCs w:val="22"/>
          <w:color w:val="auto"/>
        </w:rPr>
        <w:t>On May 1, 2026, Civeo Corporation (“Civeo”) issued a press release announcing its financial condition and results of operations as of and for the quarter ended March 31, 2026. A copy of the press release is furnished as Exhibit 99.1 to this report on Form 8-K, and is incorporated herein by reference.</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information contained in this report and the exhibit hereto shall not be deemed to be “filed” for purposes of Section 18 of the Securities Exchange Act of 1934, as amended (the “Exchange Act”), or otherwise subject to the liabilities of that section, and shall not be deemed incorporated by reference into any filings made by Civeo under the Securities Act of 1933, as amended, or the Exchange Act, except as may be expressly set forth by specific reference in such filing.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51" w:lineRule="exact"/>
        <w:rPr>
          <w:sz w:val="20"/>
          <w:szCs w:val="20"/>
          <w:color w:val="auto"/>
        </w:rPr>
      </w:pPr>
    </w:p>
    <w:p>
      <w:pPr>
        <w:ind w:left="700" w:hanging="476"/>
        <w:spacing w:after="0"/>
        <w:tabs>
          <w:tab w:leader="none" w:pos="7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w:t>
            </w:r>
          </w:p>
        </w:tc>
        <w:tc>
          <w:tcPr>
            <w:tcW w:w="9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Description of Document</w:t>
            </w:r>
          </w:p>
        </w:tc>
      </w:tr>
      <w:tr>
        <w:trPr>
          <w:trHeight w:val="196"/>
        </w:trPr>
        <w:tc>
          <w:tcPr>
            <w:tcW w:w="20" w:type="dxa"/>
            <w:vAlign w:val="bottom"/>
          </w:tcPr>
          <w:p>
            <w:pPr>
              <w:spacing w:after="0"/>
              <w:rPr>
                <w:sz w:val="17"/>
                <w:szCs w:val="17"/>
                <w:color w:val="auto"/>
              </w:rPr>
            </w:pPr>
          </w:p>
        </w:tc>
        <w:tc>
          <w:tcPr>
            <w:tcW w:w="7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22"/>
                <w:szCs w:val="22"/>
                <w:color w:val="auto"/>
                <w:w w:val="97"/>
              </w:rPr>
              <w:t>Number</w:t>
            </w:r>
          </w:p>
        </w:tc>
        <w:tc>
          <w:tcPr>
            <w:tcW w:w="1020" w:type="dxa"/>
            <w:vAlign w:val="bottom"/>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6620" w:type="dxa"/>
            <w:vAlign w:val="bottom"/>
          </w:tcPr>
          <w:p>
            <w:pPr>
              <w:spacing w:after="0"/>
              <w:rPr>
                <w:sz w:val="17"/>
                <w:szCs w:val="17"/>
                <w:color w:val="auto"/>
              </w:rPr>
            </w:pPr>
          </w:p>
        </w:tc>
      </w:tr>
      <w:tr>
        <w:trPr>
          <w:trHeight w:val="493"/>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99.1</w:t>
            </w:r>
          </w:p>
        </w:tc>
        <w:tc>
          <w:tcPr>
            <w:tcW w:w="1020" w:type="dxa"/>
            <w:vAlign w:val="bottom"/>
          </w:tcPr>
          <w:p>
            <w:pPr>
              <w:spacing w:after="0"/>
              <w:rPr>
                <w:sz w:val="24"/>
                <w:szCs w:val="24"/>
                <w:color w:val="auto"/>
              </w:rPr>
            </w:pPr>
          </w:p>
        </w:tc>
        <w:tc>
          <w:tcPr>
            <w:tcW w:w="9480" w:type="dxa"/>
            <w:vAlign w:val="bottom"/>
            <w:gridSpan w:val="3"/>
          </w:tcPr>
          <w:p>
            <w:pPr>
              <w:spacing w:after="0"/>
              <w:rPr>
                <w:sz w:val="20"/>
                <w:szCs w:val="20"/>
                <w:color w:val="auto"/>
              </w:rPr>
            </w:pPr>
            <w:r>
              <w:rPr>
                <w:rFonts w:ascii="Times New Roman" w:cs="Times New Roman" w:eastAsia="Times New Roman" w:hAnsi="Times New Roman"/>
                <w:sz w:val="22"/>
                <w:szCs w:val="22"/>
                <w:color w:val="0000FF"/>
              </w:rPr>
              <w:t>Press Release dated May 1, 2026</w:t>
            </w:r>
          </w:p>
        </w:tc>
      </w:tr>
      <w:tr>
        <w:trPr>
          <w:trHeight w:val="20"/>
        </w:trPr>
        <w:tc>
          <w:tcPr>
            <w:tcW w:w="7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451"/>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104</w:t>
            </w:r>
          </w:p>
        </w:tc>
        <w:tc>
          <w:tcPr>
            <w:tcW w:w="1020" w:type="dxa"/>
            <w:vAlign w:val="bottom"/>
          </w:tcPr>
          <w:p>
            <w:pPr>
              <w:spacing w:after="0"/>
              <w:rPr>
                <w:sz w:val="24"/>
                <w:szCs w:val="24"/>
                <w:color w:val="auto"/>
              </w:rPr>
            </w:pPr>
          </w:p>
        </w:tc>
        <w:tc>
          <w:tcPr>
            <w:tcW w:w="9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Cover Page Interactive Data File (formatted as Inline XBRL and contained in Exhibit 101)</w:t>
            </w:r>
          </w:p>
        </w:tc>
      </w:tr>
      <w:tr>
        <w:trPr>
          <w:trHeight w:val="1385"/>
        </w:trPr>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5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May 1, 2026</w:t>
      </w:r>
    </w:p>
    <w:p>
      <w:pPr>
        <w:spacing w:after="0" w:line="25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CIVEO CORPORATION</w:t>
      </w:r>
    </w:p>
    <w:p>
      <w:pPr>
        <w:spacing w:after="0" w:line="200" w:lineRule="exact"/>
        <w:rPr>
          <w:sz w:val="20"/>
          <w:szCs w:val="20"/>
          <w:color w:val="auto"/>
        </w:rPr>
      </w:pPr>
    </w:p>
    <w:p>
      <w:pPr>
        <w:spacing w:after="0" w:line="29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 xml:space="preserve">By: /s/ E. Collin Gerry </w:t>
      </w:r>
      <w:r>
        <w:rPr>
          <w:rFonts w:ascii="Times New Roman" w:cs="Times New Roman" w:eastAsia="Times New Roman" w:hAnsi="Times New Roman"/>
          <w:sz w:val="22"/>
          <w:szCs w:val="22"/>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-13970</wp:posOffset>
            </wp:positionV>
            <wp:extent cx="1082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2040" cy="8255"/>
                    </a:xfrm>
                    <a:prstGeom prst="rect">
                      <a:avLst/>
                    </a:prstGeom>
                    <a:noFill/>
                  </pic:spPr>
                </pic:pic>
              </a:graphicData>
            </a:graphic>
          </wp:anchor>
        </w:drawing>
      </w:r>
    </w:p>
    <w:p>
      <w:pPr>
        <w:spacing w:after="0" w:line="8" w:lineRule="exact"/>
        <w:rPr>
          <w:sz w:val="20"/>
          <w:szCs w:val="20"/>
          <w:color w:val="auto"/>
        </w:rPr>
      </w:pPr>
    </w:p>
    <w:p>
      <w:pPr>
        <w:ind w:left="1740"/>
        <w:spacing w:after="0"/>
        <w:tabs>
          <w:tab w:leader="none" w:pos="25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E. Collin Gerry</w:t>
      </w:r>
    </w:p>
    <w:p>
      <w:pPr>
        <w:spacing w:after="0" w:line="5"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 Chief Financial Officer and Treasurer</w:t>
      </w:r>
    </w:p>
    <w:p>
      <w:pPr>
        <w:sectPr>
          <w:pgSz w:w="11900" w:h="16838" w:orient="portrait"/>
          <w:cols w:equalWidth="0" w:num="1">
            <w:col w:w="11220"/>
          </w:cols>
          <w:pgMar w:left="320" w:top="1296"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Civeo Reports First Quarter 2026 Results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Highlights:</w:t>
      </w:r>
    </w:p>
    <w:p>
      <w:pPr>
        <w:spacing w:after="0" w:line="144" w:lineRule="exact"/>
        <w:rPr>
          <w:sz w:val="20"/>
          <w:szCs w:val="20"/>
          <w:color w:val="auto"/>
        </w:rPr>
      </w:pPr>
    </w:p>
    <w:p>
      <w:pPr>
        <w:ind w:left="660" w:right="100" w:hanging="328"/>
        <w:spacing w:after="0" w:line="25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Reported revenues of $172.7 million, net loss of $3.8 million and Adjusted EBITDA of $22.5 million, reflecting year-over-year growth of 20% in revenues and 78% in Adjusted EBITDA;</w:t>
      </w:r>
    </w:p>
    <w:p>
      <w:pPr>
        <w:ind w:left="660" w:right="420" w:hanging="328"/>
        <w:spacing w:after="0" w:line="23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Australian segment revenues increased 19% driven by the contribution from recently acquired villages and increased integrated services activity;</w:t>
      </w:r>
    </w:p>
    <w:p>
      <w:pPr>
        <w:spacing w:after="0" w:line="1" w:lineRule="exact"/>
        <w:rPr>
          <w:rFonts w:ascii="Arial" w:cs="Arial" w:eastAsia="Arial" w:hAnsi="Arial"/>
          <w:sz w:val="18"/>
          <w:szCs w:val="18"/>
          <w:color w:val="auto"/>
        </w:rPr>
      </w:pPr>
    </w:p>
    <w:p>
      <w:pPr>
        <w:ind w:left="660" w:right="440" w:hanging="328"/>
        <w:spacing w:after="0" w:line="23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Canadian segment revenues increased 23% with strong year-over-year margin expansion driven by higher occupancy and cost reduction initiatives;</w:t>
      </w:r>
    </w:p>
    <w:p>
      <w:pPr>
        <w:spacing w:after="0" w:line="1" w:lineRule="exact"/>
        <w:rPr>
          <w:rFonts w:ascii="Arial" w:cs="Arial" w:eastAsia="Arial" w:hAnsi="Arial"/>
          <w:sz w:val="18"/>
          <w:szCs w:val="18"/>
          <w:color w:val="auto"/>
        </w:rPr>
      </w:pPr>
    </w:p>
    <w:p>
      <w:pPr>
        <w:ind w:left="660" w:right="300" w:hanging="328"/>
        <w:spacing w:after="0" w:line="23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Repurchased 0.5 million common shares, or approximately 4% of Civeo's common shares outstanding as of December 31, 2025; and</w:t>
      </w:r>
    </w:p>
    <w:p>
      <w:pPr>
        <w:spacing w:after="0" w:line="1" w:lineRule="exact"/>
        <w:rPr>
          <w:rFonts w:ascii="Arial" w:cs="Arial" w:eastAsia="Arial" w:hAnsi="Arial"/>
          <w:sz w:val="18"/>
          <w:szCs w:val="18"/>
          <w:color w:val="auto"/>
        </w:rPr>
      </w:pPr>
    </w:p>
    <w:p>
      <w:pPr>
        <w:ind w:left="660" w:right="2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Subsequent to quarter-end, amended credit agreement, extending maturity to April 2030 and increasing total revolving capacity to $285 million, further enhancing financial flexibility.</w:t>
      </w:r>
    </w:p>
    <w:p>
      <w:pPr>
        <w:spacing w:after="0" w:line="21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HOUSTON, May 1, 2026 (BUSINESS WIRE) -- Civeo Corporation (NYSE:CVEO) today reported financial and operating results for the first quarter ended March 31, 2026.</w:t>
      </w:r>
    </w:p>
    <w:p>
      <w:pPr>
        <w:spacing w:after="0" w:line="58"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Bradley J. Dodson, Civeo's President and Chief Executive Officer, said, "Disciplined execution powered our strong start to the year, helping to drive meaningful year-over-year growth in both revenue and Adjusted EBITDA. In Australia, our results reflect contributions from our recently acquired villages and continued revenue growth momentum in our integrated services business. In Canada, we achieved significant margin expansion, benefitting from higher occupancy across key lodges and cost savings realized due to the actions we implemented in 2025.”</w:t>
      </w:r>
    </w:p>
    <w:p>
      <w:pPr>
        <w:spacing w:after="0" w:line="203"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Mr. Dodson continued, “We are focused on further improving performance by operating safely and efficiently, prudently managing costs and allocating capital in a disciplined manner. During the first quarter, we continued to execute our capital allocation framework, returning capital to shareholders through share repurchases while maintaining balance sheet strength.”</w:t>
      </w:r>
    </w:p>
    <w:p>
      <w:pPr>
        <w:spacing w:after="0" w:line="19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Mr. Dodson concluded, “Looking ahead, we believe Civeo is well positioned to benefit from a diverse set of end markets across Australia and North America. Our Australian platform continues to generate strong, stable cash flow, while in Canada we are seeing the benefits of our cost</w:t>
      </w:r>
    </w:p>
    <w:p>
      <w:pPr>
        <w:spacing w:after="0" w:line="1"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structure improvements and positioning the business to support future demand. We are encouraged by the growing pipeline of North American infrastructure-related opportunities, including LNG, power and data center development, which we expect to develop over time,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remain focused on disciplined execution as we position the Company for long-term value creation.”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Quarter 2026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2026, Civeo generated revenues of $172.7 million and reported a net loss of $3.8 million, or $0.34 per diluted share.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Company's negative operating cash flow of $9.7 million reflects seasonal working capital outflows. Adjusted EBITDA was $22.5 million.</w:t>
      </w:r>
    </w:p>
    <w:p>
      <w:pPr>
        <w:spacing w:after="0" w:line="22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By comparison, in the first quarter of 2025, Civeo generated revenues of $144.0 million and reported a net loss of $9.8 million, or $0.72 per diluted share. During the first quarter of 2025, Civeo produced negative operating cash flow of $8.4 million and Adjusted EBITDA of $12.7 million.</w:t>
      </w:r>
    </w:p>
    <w:p>
      <w:pPr>
        <w:spacing w:after="0" w:line="88"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year-over-year increase in Adjusted EBITDA was primarily driven by improved margins in Canada resulting from higher occupancy and cost reduction initiatives, as well as increased contributions from the Australian villages acquired in May 2025.</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Segment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Australia</w:t>
      </w:r>
    </w:p>
    <w:p>
      <w:pPr>
        <w:spacing w:after="0" w:line="15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the first quarter of 2026, the Australian segment generated revenues of $123.0 million, operating income of $12.7 million and Adjusted EBITDA of $21.8 million, compared to revenues of $103.6 million, operating income of $11.2 million and Adjusted EBITDA of $19.0 million in the first quarter of 2025. Results for the first quarter of 2026 include the impact of a strengthened Australian dollar relative to the U.S. dollar, which positively impacted revenues and Adjusted EBITDA by $12.0 million and $2.1 million, respectively.</w:t>
      </w:r>
    </w:p>
    <w:p>
      <w:pPr>
        <w:spacing w:after="0" w:line="19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Australian segment reported a 19% increase in revenues and a 14% increase in Adjusted EBITDA, driven primarily by the addition of the acquired villages in May 2025.</w:t>
      </w:r>
    </w:p>
    <w:p>
      <w:pPr>
        <w:sectPr>
          <w:pgSz w:w="11900" w:h="16838" w:orient="portrait"/>
          <w:cols w:equalWidth="0" w:num="1">
            <w:col w:w="11220"/>
          </w:cols>
          <w:pgMar w:left="320" w:top="889"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Canada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2026, the Canadian segment generated revenues of $49.6 million, an operating loss of $4.4 million and Adjusted</w:t>
      </w:r>
    </w:p>
    <w:p>
      <w:pPr>
        <w:spacing w:after="0" w:line="14" w:lineRule="exact"/>
        <w:rPr>
          <w:sz w:val="20"/>
          <w:szCs w:val="20"/>
          <w:color w:val="auto"/>
        </w:rPr>
      </w:pPr>
    </w:p>
    <w:p>
      <w:pPr>
        <w:ind w:right="420"/>
        <w:spacing w:after="0" w:line="237" w:lineRule="auto"/>
        <w:rPr>
          <w:sz w:val="20"/>
          <w:szCs w:val="20"/>
          <w:color w:val="auto"/>
        </w:rPr>
      </w:pPr>
      <w:r>
        <w:rPr>
          <w:rFonts w:ascii="Arial" w:cs="Arial" w:eastAsia="Arial" w:hAnsi="Arial"/>
          <w:sz w:val="18"/>
          <w:szCs w:val="18"/>
          <w:color w:val="auto"/>
        </w:rPr>
        <w:t>EBITDA of $5.2 million, compared to revenues of $40.4 million, an operating loss of $10.6 million and negative Adjusted EBITDA of $0.8 million in the first quarter of 2025.</w:t>
      </w:r>
    </w:p>
    <w:p>
      <w:pPr>
        <w:spacing w:after="0" w:line="208" w:lineRule="exact"/>
        <w:rPr>
          <w:sz w:val="20"/>
          <w:szCs w:val="20"/>
          <w:color w:val="auto"/>
        </w:rPr>
      </w:pPr>
    </w:p>
    <w:p>
      <w:pPr>
        <w:ind w:right="40"/>
        <w:spacing w:after="0" w:line="301" w:lineRule="auto"/>
        <w:rPr>
          <w:sz w:val="20"/>
          <w:szCs w:val="20"/>
          <w:color w:val="auto"/>
        </w:rPr>
      </w:pPr>
      <w:r>
        <w:rPr>
          <w:rFonts w:ascii="Arial" w:cs="Arial" w:eastAsia="Arial" w:hAnsi="Arial"/>
          <w:sz w:val="17"/>
          <w:szCs w:val="17"/>
          <w:color w:val="auto"/>
        </w:rPr>
        <w:t>The Canadian segment reported higher revenues and Adjusted EBITDA driven by improved occupancy across key lodges. Adjusted EBITDA increased due to cost reduction efforts and operational efficiencies implemented during 2025, resulting in significant margin improvement.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2026, Civeo had total liquidity of approximately $68.4 million. Civeo's total debt at March 31, 2026 was $212.3 million, a</w:t>
      </w:r>
    </w:p>
    <w:p>
      <w:pPr>
        <w:spacing w:after="0" w:line="2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$29.4 million increase from December 31, 2025. Civeo's net debt at March 31, 2026 was $198.9 million, a $27.5 million increase since year-end 2025, primarily attributable to recent share repurchases, consistent with the Company's capital allocation framework, bringing Civeo's reported net leverage ratio to 2.2x as of March 31, 2026.</w:t>
      </w:r>
    </w:p>
    <w:p>
      <w:pPr>
        <w:spacing w:after="0" w:line="84" w:lineRule="exact"/>
        <w:rPr>
          <w:sz w:val="20"/>
          <w:szCs w:val="20"/>
          <w:color w:val="auto"/>
        </w:rPr>
      </w:pPr>
    </w:p>
    <w:p>
      <w:pPr>
        <w:ind w:right="300"/>
        <w:spacing w:after="0" w:line="301" w:lineRule="auto"/>
        <w:rPr>
          <w:sz w:val="20"/>
          <w:szCs w:val="20"/>
          <w:color w:val="auto"/>
        </w:rPr>
      </w:pPr>
      <w:r>
        <w:rPr>
          <w:rFonts w:ascii="Arial" w:cs="Arial" w:eastAsia="Arial" w:hAnsi="Arial"/>
          <w:sz w:val="17"/>
          <w:szCs w:val="17"/>
          <w:color w:val="auto"/>
        </w:rPr>
        <w:t>In the first quarter of 2026, Civeo repurchased approximately 0.5 million shares for approximately $14.4 million. As of March 31, 2026, the Company has completed approximately 96% of the share repurchase program authorized by the Civeo Board of Directors in April 2025.</w:t>
      </w:r>
    </w:p>
    <w:p>
      <w:pPr>
        <w:spacing w:after="0" w:line="158" w:lineRule="exact"/>
        <w:rPr>
          <w:sz w:val="20"/>
          <w:szCs w:val="20"/>
          <w:color w:val="auto"/>
        </w:rPr>
      </w:pPr>
    </w:p>
    <w:p>
      <w:pPr>
        <w:ind w:right="180"/>
        <w:spacing w:after="0" w:line="301" w:lineRule="auto"/>
        <w:rPr>
          <w:sz w:val="20"/>
          <w:szCs w:val="20"/>
          <w:color w:val="auto"/>
        </w:rPr>
      </w:pPr>
      <w:r>
        <w:rPr>
          <w:rFonts w:ascii="Arial" w:cs="Arial" w:eastAsia="Arial" w:hAnsi="Arial"/>
          <w:sz w:val="17"/>
          <w:szCs w:val="17"/>
          <w:color w:val="auto"/>
        </w:rPr>
        <w:t>During the first quarter of 2026, Civeo invested $4.1 million in capital expenditures compared to $5.3 million invested during the first quarter of 2025. Capital expenditures in both periods were primarily related to maintenance spending on the Company’s lodges and villages.</w:t>
      </w:r>
    </w:p>
    <w:p>
      <w:pPr>
        <w:spacing w:after="0" w:line="158"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In April 2026, the Company amended its credit agreement, extending the maturity to April 2030 from August 2028 and increasing total revolving credit facility capacity to $285 million from $265 million. The amendment further enhances the Company’s liquidity position and financial flexibility.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Full Year 2026 Guidance</w:t>
      </w:r>
    </w:p>
    <w:p>
      <w:pPr>
        <w:spacing w:after="0" w:line="144" w:lineRule="exact"/>
        <w:rPr>
          <w:sz w:val="20"/>
          <w:szCs w:val="20"/>
          <w:color w:val="auto"/>
        </w:rPr>
      </w:pPr>
    </w:p>
    <w:p>
      <w:pPr>
        <w:ind w:right="300"/>
        <w:spacing w:after="0" w:line="285" w:lineRule="auto"/>
        <w:rPr>
          <w:sz w:val="20"/>
          <w:szCs w:val="20"/>
          <w:color w:val="auto"/>
        </w:rPr>
      </w:pPr>
      <w:r>
        <w:rPr>
          <w:rFonts w:ascii="Arial" w:cs="Arial" w:eastAsia="Arial" w:hAnsi="Arial"/>
          <w:sz w:val="17"/>
          <w:szCs w:val="17"/>
          <w:color w:val="auto"/>
        </w:rPr>
        <w:t>For the full year of 2026, Civeo is raising the low end of its revenue guidance to $675 million to $700 million, from its prior range of $650 million to $700 million. The Company is maintaining its previously provided Adjusted EBITDA guidance range of $85 million to $90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maintaining its full year 2026 capital expenditure guidance range of $25 million to $30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Conference Call</w:t>
      </w:r>
    </w:p>
    <w:p>
      <w:pPr>
        <w:spacing w:after="0" w:line="14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Civeo will host a conference call to discuss its first quarter 2026 financial results today at 11:00 a.m. Eastern time. This call is being webcast and can be accessed at Civeo's website at www.civeo.com. Participants may also join the conference call by dialing (877) 423-9813 in the United States or (201) 689-8573 internationally and asking for the Civeo call or using the conference ID 13760283#. A replay will be available after the call by dialing (844) 512-2921 in the United States or (412) 317-6671 internationally and using the conference ID 13760283#.</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Civeo</w:t>
      </w:r>
    </w:p>
    <w:p>
      <w:pPr>
        <w:spacing w:after="0" w:line="144"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Civeo Corporation is a leading provider of hospitality services with prominent market positions in the Australian natural resource regions and the Canadian oil sands. Civeo offers comprehensive solutions for lodging hundreds or thousands of workers with its long-term and temporary accommodations and provides food services, housekeeping, facility management, laundry, water and wastewater treatment, power generation, communications systems, security and logistics services. Civeo currently owns and operates a total of 26 lodges and villages in Australia and North America with an aggregate of approximately 26,500 rooms. In addition, Civeo operates and provides hospitality services</w:t>
      </w:r>
    </w:p>
    <w:p>
      <w:pPr>
        <w:ind w:right="200"/>
        <w:spacing w:after="0" w:line="237" w:lineRule="auto"/>
        <w:rPr>
          <w:sz w:val="20"/>
          <w:szCs w:val="20"/>
          <w:color w:val="auto"/>
        </w:rPr>
      </w:pPr>
      <w:r>
        <w:rPr>
          <w:rFonts w:ascii="Arial" w:cs="Arial" w:eastAsia="Arial" w:hAnsi="Arial"/>
          <w:sz w:val="18"/>
          <w:szCs w:val="18"/>
          <w:color w:val="auto"/>
        </w:rPr>
        <w:t xml:space="preserve">at 24 customer-owned locations with approximately 19,500 rooms. Civeo is publicly traded under the symbol CVEO on the New York Stock Exchange. For more information, please visit Civeo's website at </w:t>
      </w:r>
      <w:r>
        <w:rPr>
          <w:rFonts w:ascii="Arial" w:cs="Arial" w:eastAsia="Arial" w:hAnsi="Arial"/>
          <w:sz w:val="18"/>
          <w:szCs w:val="18"/>
          <w:color w:val="0563C1"/>
        </w:rPr>
        <w:t>www.civeo.com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Looking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news release contains forward-looking statements within the meaning of the Securities Act of 1933 and Section</w:t>
      </w:r>
    </w:p>
    <w:p>
      <w:pPr>
        <w:sectPr>
          <w:pgSz w:w="11900" w:h="16838" w:orient="portrait"/>
          <w:cols w:equalWidth="0" w:num="1">
            <w:col w:w="11240"/>
          </w:cols>
          <w:pgMar w:left="320" w:top="1120" w:right="339" w:bottom="1440" w:gutter="0" w:footer="0" w:header="0"/>
        </w:sectPr>
      </w:pPr>
    </w:p>
    <w:bookmarkStart w:id="6" w:name="page7"/>
    <w:bookmarkEnd w:id="6"/>
    <w:p>
      <w:pPr>
        <w:ind w:right="2100"/>
        <w:spacing w:after="0" w:line="257" w:lineRule="auto"/>
        <w:rPr>
          <w:sz w:val="20"/>
          <w:szCs w:val="20"/>
          <w:color w:val="auto"/>
        </w:rPr>
      </w:pPr>
      <w:r>
        <w:rPr>
          <w:rFonts w:ascii="Arial" w:cs="Arial" w:eastAsia="Arial" w:hAnsi="Arial"/>
          <w:sz w:val="18"/>
          <w:szCs w:val="18"/>
          <w:color w:val="auto"/>
        </w:rPr>
        <w:t>21E of the Securities Exchange Act of 1934. Forward-looking statements are those that do not state historical facts and are, therefore, inherently subject to risks and uncertainties. The forward-looking statements herein, including the statements regarding Civeo’s future plans and outlook, strategic priorities, guidance, current trends,</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expectations with respect to Adjusted EBITDA, capital expenditures, future revenues, share repurchases, free cash flow generation, cost reductions, integration of the Australian asset acquisition, future infrastructure-related opportunities and liquidity needs,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the general nature of the accommodations industry, risks associated with the level of supply and demand for oil, coal, iron ore and other minerals, including the level of activity, spending and developments in the Canadian oil sands, the level of demand for coal and other natural resources from, and investments and opportunities in, Australia, and fluctuations or sharp declines in the current and future prices of coal, iron ore, oil, natural gas and other minerals, risks associated with failure by our customers to reach positive final investment decisions on, or otherwise not complete, projects with respect to which we have been awarded contracts, which may cause those customers to terminate or postpone contracts, risks associated with currency exchange rates, risks associated with inflation and volatility in the banking sector, risks associated with the company’s ability to integrate any future acquisitions, risks associated with labor shortages, risks associated with the development of new projects, including whether such projects will continue in the future, risks associated with the trading price of the company’s common shares, availability and cost of capital, risks associated with general global economic conditions, geopolitical events, inflation, global weather conditions, natural disasters, including wildfires, global health concerns, and security threats and changes to government and environmental regulations, including climate change, and other factors discussed in the “Management’s Discussion and Analysis of Financial Condition and Results of Operations” and “Risk Factors” sections of Civeo’s most recent annual report on Form 10-K and other reports the company may file from time to time with the U.S. Securities and Exchange Commission. Each forward-looking statement contained herein speaks only as of the date of this release. Except as required by law, Civeo expressly disclaims any intention or obligation to revise or update any forward-looking statements, whether as a result of new information, future events or otherwise.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Non-GAAP Financial Information</w:t>
      </w:r>
    </w:p>
    <w:p>
      <w:pPr>
        <w:spacing w:after="0" w:line="158" w:lineRule="exact"/>
        <w:rPr>
          <w:sz w:val="20"/>
          <w:szCs w:val="20"/>
          <w:color w:val="auto"/>
        </w:rPr>
      </w:pPr>
    </w:p>
    <w:p>
      <w:pPr>
        <w:ind w:right="2020"/>
        <w:spacing w:after="0" w:line="255" w:lineRule="auto"/>
        <w:rPr>
          <w:sz w:val="20"/>
          <w:szCs w:val="20"/>
          <w:color w:val="auto"/>
        </w:rPr>
      </w:pPr>
      <w:r>
        <w:rPr>
          <w:rFonts w:ascii="Arial" w:cs="Arial" w:eastAsia="Arial" w:hAnsi="Arial"/>
          <w:sz w:val="18"/>
          <w:szCs w:val="18"/>
          <w:color w:val="auto"/>
        </w:rPr>
        <w:t>EBITDA, Adjusted EBITDA, free cash flow, net debt, bank-adjusted EBITDA and net leverage ratio are non-GAAP financial measures. See “Non-GAAP Reconciliation” below for definitions and additional information concerning non-GAAP financial measures, including a reconciliation of the non-GAAP financial information presented in this press release to the most directly comparable financial information presented in accordance with GAAP. Non-GAAP financial information supplements and should be read together with, and is not an alternative or substitute for, the Company’s financial results reported in accordance with GAAP. Because non-GAAP financial information is not standardized, it may not be possible to compare these financial measures with other companies’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 Financial Schedules Follow -</w:t>
      </w:r>
    </w:p>
    <w:p>
      <w:pPr>
        <w:sectPr>
          <w:pgSz w:w="11900" w:h="16838" w:orient="portrait"/>
          <w:cols w:equalWidth="0" w:num="1">
            <w:col w:w="11220"/>
          </w:cols>
          <w:pgMar w:left="320" w:top="890" w:right="3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8" w:lineRule="exact"/>
        <w:rPr>
          <w:sz w:val="20"/>
          <w:szCs w:val="20"/>
          <w:color w:val="auto"/>
        </w:rPr>
      </w:pPr>
    </w:p>
    <w:p>
      <w:pPr>
        <w:jc w:val="center"/>
        <w:ind w:left="4500"/>
        <w:spacing w:after="0"/>
        <w:rPr>
          <w:sz w:val="20"/>
          <w:szCs w:val="20"/>
          <w:color w:val="auto"/>
        </w:rPr>
      </w:pPr>
      <w:r>
        <w:rPr>
          <w:rFonts w:ascii="Arial" w:cs="Arial" w:eastAsia="Arial" w:hAnsi="Arial"/>
          <w:sz w:val="14"/>
          <w:szCs w:val="14"/>
          <w:b w:val="1"/>
          <w:bCs w:val="1"/>
          <w:color w:val="auto"/>
        </w:rPr>
        <w:t>Three Months Ended</w:t>
      </w:r>
    </w:p>
    <w:p>
      <w:pPr>
        <w:jc w:val="center"/>
        <w:ind w:left="4500"/>
        <w:spacing w:after="0"/>
        <w:rPr>
          <w:sz w:val="20"/>
          <w:szCs w:val="20"/>
          <w:color w:val="auto"/>
        </w:rPr>
      </w:pPr>
      <w:r>
        <w:rPr>
          <w:rFonts w:ascii="Arial" w:cs="Arial" w:eastAsia="Arial" w:hAnsi="Arial"/>
          <w:sz w:val="14"/>
          <w:szCs w:val="14"/>
          <w:b w:val="1"/>
          <w:bCs w:val="1"/>
          <w:color w:val="auto"/>
        </w:rPr>
        <w:t>March 31,</w:t>
      </w:r>
    </w:p>
    <w:p>
      <w:pPr>
        <w:spacing w:after="0" w:line="95" w:lineRule="exact"/>
        <w:rPr>
          <w:sz w:val="20"/>
          <w:szCs w:val="20"/>
          <w:color w:val="auto"/>
        </w:rPr>
      </w:pPr>
    </w:p>
    <w:tbl>
      <w:tblPr>
        <w:tblLayout w:type="fixed"/>
        <w:tblInd w:w="1060" w:type="dxa"/>
        <w:tblCellMar>
          <w:top w:w="0" w:type="dxa"/>
          <w:left w:w="0" w:type="dxa"/>
          <w:bottom w:w="0" w:type="dxa"/>
          <w:right w:w="0" w:type="dxa"/>
        </w:tblCellMar>
      </w:tblPr>
      <w:tr>
        <w:trPr>
          <w:trHeight w:val="197"/>
        </w:trPr>
        <w:tc>
          <w:tcPr>
            <w:tcW w:w="45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2026</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2025</w:t>
            </w:r>
          </w:p>
        </w:tc>
      </w:tr>
      <w:tr>
        <w:trPr>
          <w:trHeight w:val="499"/>
        </w:trPr>
        <w:tc>
          <w:tcPr>
            <w:tcW w:w="4500" w:type="dxa"/>
            <w:vAlign w:val="bottom"/>
          </w:tcPr>
          <w:p>
            <w:pPr>
              <w:spacing w:after="0"/>
              <w:rPr>
                <w:sz w:val="20"/>
                <w:szCs w:val="20"/>
                <w:color w:val="auto"/>
              </w:rPr>
            </w:pPr>
            <w:r>
              <w:rPr>
                <w:rFonts w:ascii="Arial" w:cs="Arial" w:eastAsia="Arial" w:hAnsi="Arial"/>
                <w:sz w:val="14"/>
                <w:szCs w:val="14"/>
                <w:color w:val="auto"/>
              </w:rPr>
              <w:t>Revenues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172,667</w:t>
            </w:r>
          </w:p>
        </w:tc>
        <w:tc>
          <w:tcPr>
            <w:tcW w:w="18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144,044</w:t>
            </w:r>
          </w:p>
        </w:tc>
      </w:tr>
      <w:tr>
        <w:trPr>
          <w:trHeight w:val="513"/>
        </w:trPr>
        <w:tc>
          <w:tcPr>
            <w:tcW w:w="4500" w:type="dxa"/>
            <w:vAlign w:val="bottom"/>
          </w:tcPr>
          <w:p>
            <w:pPr>
              <w:spacing w:after="0"/>
              <w:rPr>
                <w:sz w:val="20"/>
                <w:szCs w:val="20"/>
                <w:color w:val="auto"/>
              </w:rPr>
            </w:pPr>
            <w:r>
              <w:rPr>
                <w:rFonts w:ascii="Arial" w:cs="Arial" w:eastAsia="Arial" w:hAnsi="Arial"/>
                <w:sz w:val="14"/>
                <w:szCs w:val="14"/>
                <w:color w:val="auto"/>
              </w:rPr>
              <w:t>Costs and expenses:</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7"/>
        </w:trPr>
        <w:tc>
          <w:tcPr>
            <w:tcW w:w="4500" w:type="dxa"/>
            <w:vAlign w:val="bottom"/>
          </w:tcPr>
          <w:p>
            <w:pPr>
              <w:ind w:left="120"/>
              <w:spacing w:after="0"/>
              <w:rPr>
                <w:sz w:val="20"/>
                <w:szCs w:val="20"/>
                <w:color w:val="auto"/>
              </w:rPr>
            </w:pPr>
            <w:r>
              <w:rPr>
                <w:rFonts w:ascii="Arial" w:cs="Arial" w:eastAsia="Arial" w:hAnsi="Arial"/>
                <w:sz w:val="14"/>
                <w:szCs w:val="14"/>
                <w:color w:val="auto"/>
              </w:rPr>
              <w:t>Cost of sales and services</w:t>
            </w:r>
          </w:p>
        </w:tc>
        <w:tc>
          <w:tcPr>
            <w:tcW w:w="34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132,506</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114,615</w:t>
            </w:r>
          </w:p>
        </w:tc>
      </w:tr>
      <w:tr>
        <w:trPr>
          <w:trHeight w:val="257"/>
        </w:trPr>
        <w:tc>
          <w:tcPr>
            <w:tcW w:w="4500" w:type="dxa"/>
            <w:vAlign w:val="bottom"/>
          </w:tcPr>
          <w:p>
            <w:pPr>
              <w:ind w:left="120"/>
              <w:spacing w:after="0"/>
              <w:rPr>
                <w:sz w:val="20"/>
                <w:szCs w:val="20"/>
                <w:color w:val="auto"/>
              </w:rPr>
            </w:pPr>
            <w:r>
              <w:rPr>
                <w:rFonts w:ascii="Arial" w:cs="Arial" w:eastAsia="Arial" w:hAnsi="Arial"/>
                <w:sz w:val="14"/>
                <w:szCs w:val="14"/>
                <w:color w:val="auto"/>
              </w:rPr>
              <w:t>Selling, general and administrative expenses</w:t>
            </w:r>
          </w:p>
        </w:tc>
        <w:tc>
          <w:tcPr>
            <w:tcW w:w="34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20,068</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18,185</w:t>
            </w:r>
          </w:p>
        </w:tc>
      </w:tr>
      <w:tr>
        <w:trPr>
          <w:trHeight w:val="256"/>
        </w:trPr>
        <w:tc>
          <w:tcPr>
            <w:tcW w:w="4500" w:type="dxa"/>
            <w:vAlign w:val="bottom"/>
          </w:tcPr>
          <w:p>
            <w:pPr>
              <w:ind w:left="120"/>
              <w:spacing w:after="0"/>
              <w:rPr>
                <w:sz w:val="20"/>
                <w:szCs w:val="20"/>
                <w:color w:val="auto"/>
              </w:rPr>
            </w:pPr>
            <w:r>
              <w:rPr>
                <w:rFonts w:ascii="Arial" w:cs="Arial" w:eastAsia="Arial" w:hAnsi="Arial"/>
                <w:sz w:val="14"/>
                <w:szCs w:val="14"/>
                <w:color w:val="auto"/>
              </w:rPr>
              <w:t>Depreciation and amortization expense</w:t>
            </w:r>
          </w:p>
        </w:tc>
        <w:tc>
          <w:tcPr>
            <w:tcW w:w="34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17,308</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16,253</w:t>
            </w:r>
          </w:p>
        </w:tc>
      </w:tr>
      <w:tr>
        <w:trPr>
          <w:trHeight w:val="261"/>
        </w:trPr>
        <w:tc>
          <w:tcPr>
            <w:tcW w:w="4500" w:type="dxa"/>
            <w:vAlign w:val="bottom"/>
          </w:tcPr>
          <w:p>
            <w:pPr>
              <w:ind w:left="120"/>
              <w:spacing w:after="0"/>
              <w:rPr>
                <w:sz w:val="20"/>
                <w:szCs w:val="20"/>
                <w:color w:val="auto"/>
              </w:rPr>
            </w:pPr>
            <w:r>
              <w:rPr>
                <w:rFonts w:ascii="Arial" w:cs="Arial" w:eastAsia="Arial" w:hAnsi="Arial"/>
                <w:sz w:val="14"/>
                <w:szCs w:val="14"/>
                <w:color w:val="auto"/>
              </w:rPr>
              <w:t>Other operating (income) expense</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507</w:t>
            </w:r>
          </w:p>
        </w:tc>
      </w:tr>
      <w:tr>
        <w:trPr>
          <w:trHeight w:val="237"/>
        </w:trPr>
        <w:tc>
          <w:tcPr>
            <w:tcW w:w="45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169,544</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149,560</w:t>
            </w:r>
          </w:p>
        </w:tc>
      </w:tr>
      <w:tr>
        <w:trPr>
          <w:trHeight w:val="233"/>
        </w:trPr>
        <w:tc>
          <w:tcPr>
            <w:tcW w:w="4500" w:type="dxa"/>
            <w:vAlign w:val="bottom"/>
          </w:tcPr>
          <w:p>
            <w:pPr>
              <w:spacing w:after="0"/>
              <w:rPr>
                <w:sz w:val="20"/>
                <w:szCs w:val="20"/>
                <w:color w:val="auto"/>
              </w:rPr>
            </w:pPr>
            <w:r>
              <w:rPr>
                <w:rFonts w:ascii="Arial" w:cs="Arial" w:eastAsia="Arial" w:hAnsi="Arial"/>
                <w:sz w:val="14"/>
                <w:szCs w:val="14"/>
                <w:color w:val="auto"/>
              </w:rPr>
              <w:t>Operating income (loss)</w:t>
            </w:r>
          </w:p>
        </w:tc>
        <w:tc>
          <w:tcPr>
            <w:tcW w:w="340" w:type="dxa"/>
            <w:vAlign w:val="bottom"/>
          </w:tcPr>
          <w:p>
            <w:pPr>
              <w:spacing w:after="0"/>
              <w:rPr>
                <w:sz w:val="20"/>
                <w:szCs w:val="20"/>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3,123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(5,516)</w:t>
            </w:r>
          </w:p>
        </w:tc>
      </w:tr>
      <w:tr>
        <w:trPr>
          <w:trHeight w:val="513"/>
        </w:trPr>
        <w:tc>
          <w:tcPr>
            <w:tcW w:w="4500" w:type="dxa"/>
            <w:vAlign w:val="bottom"/>
          </w:tcPr>
          <w:p>
            <w:pPr>
              <w:spacing w:after="0"/>
              <w:rPr>
                <w:sz w:val="20"/>
                <w:szCs w:val="20"/>
                <w:color w:val="auto"/>
              </w:rPr>
            </w:pPr>
            <w:r>
              <w:rPr>
                <w:rFonts w:ascii="Arial" w:cs="Arial" w:eastAsia="Arial" w:hAnsi="Arial"/>
                <w:sz w:val="14"/>
                <w:szCs w:val="14"/>
                <w:color w:val="auto"/>
              </w:rPr>
              <w:t>Interest expense</w:t>
            </w: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(3,762)</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(1,619)</w:t>
            </w:r>
          </w:p>
        </w:tc>
      </w:tr>
      <w:tr>
        <w:trPr>
          <w:trHeight w:val="257"/>
        </w:trPr>
        <w:tc>
          <w:tcPr>
            <w:tcW w:w="4500" w:type="dxa"/>
            <w:vAlign w:val="bottom"/>
          </w:tcPr>
          <w:p>
            <w:pPr>
              <w:spacing w:after="0"/>
              <w:rPr>
                <w:sz w:val="20"/>
                <w:szCs w:val="20"/>
                <w:color w:val="auto"/>
              </w:rPr>
            </w:pPr>
            <w:r>
              <w:rPr>
                <w:rFonts w:ascii="Arial" w:cs="Arial" w:eastAsia="Arial" w:hAnsi="Arial"/>
                <w:sz w:val="14"/>
                <w:szCs w:val="14"/>
                <w:color w:val="auto"/>
              </w:rPr>
              <w:t>Interest income</w:t>
            </w:r>
          </w:p>
        </w:tc>
        <w:tc>
          <w:tcPr>
            <w:tcW w:w="34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26</w:t>
            </w:r>
          </w:p>
        </w:tc>
      </w:tr>
      <w:tr>
        <w:trPr>
          <w:trHeight w:val="261"/>
        </w:trPr>
        <w:tc>
          <w:tcPr>
            <w:tcW w:w="4500" w:type="dxa"/>
            <w:vAlign w:val="bottom"/>
          </w:tcPr>
          <w:p>
            <w:pPr>
              <w:spacing w:after="0"/>
              <w:rPr>
                <w:sz w:val="20"/>
                <w:szCs w:val="20"/>
                <w:color w:val="auto"/>
              </w:rPr>
            </w:pPr>
            <w:r>
              <w:rPr>
                <w:rFonts w:ascii="Arial" w:cs="Arial" w:eastAsia="Arial" w:hAnsi="Arial"/>
                <w:sz w:val="14"/>
                <w:szCs w:val="14"/>
                <w:color w:val="auto"/>
              </w:rPr>
              <w:t>Other income (expense)</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347</w:t>
            </w:r>
          </w:p>
        </w:tc>
      </w:tr>
      <w:tr>
        <w:trPr>
          <w:trHeight w:val="233"/>
        </w:trPr>
        <w:tc>
          <w:tcPr>
            <w:tcW w:w="4500" w:type="dxa"/>
            <w:vAlign w:val="bottom"/>
          </w:tcPr>
          <w:p>
            <w:pPr>
              <w:ind w:left="120"/>
              <w:spacing w:after="0"/>
              <w:rPr>
                <w:sz w:val="20"/>
                <w:szCs w:val="20"/>
                <w:color w:val="auto"/>
              </w:rPr>
            </w:pPr>
            <w:r>
              <w:rPr>
                <w:rFonts w:ascii="Arial" w:cs="Arial" w:eastAsia="Arial" w:hAnsi="Arial"/>
                <w:sz w:val="14"/>
                <w:szCs w:val="14"/>
                <w:color w:val="auto"/>
              </w:rPr>
              <w:t>Loss before income taxes</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(662)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(6,762)</w:t>
            </w:r>
          </w:p>
        </w:tc>
      </w:tr>
      <w:tr>
        <w:trPr>
          <w:trHeight w:val="260"/>
        </w:trPr>
        <w:tc>
          <w:tcPr>
            <w:tcW w:w="4500" w:type="dxa"/>
            <w:vAlign w:val="bottom"/>
          </w:tcPr>
          <w:p>
            <w:pPr>
              <w:spacing w:after="0"/>
              <w:rPr>
                <w:sz w:val="20"/>
                <w:szCs w:val="20"/>
                <w:color w:val="auto"/>
              </w:rPr>
            </w:pPr>
            <w:r>
              <w:rPr>
                <w:rFonts w:ascii="Arial" w:cs="Arial" w:eastAsia="Arial" w:hAnsi="Arial"/>
                <w:sz w:val="14"/>
                <w:szCs w:val="14"/>
                <w:color w:val="auto"/>
              </w:rPr>
              <w:t>Income tax expense</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(3,141)</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(3,088)</w:t>
            </w:r>
          </w:p>
        </w:tc>
      </w:tr>
      <w:tr>
        <w:trPr>
          <w:trHeight w:val="233"/>
        </w:trPr>
        <w:tc>
          <w:tcPr>
            <w:tcW w:w="4500" w:type="dxa"/>
            <w:vAlign w:val="bottom"/>
          </w:tcPr>
          <w:p>
            <w:pPr>
              <w:spacing w:after="0"/>
              <w:rPr>
                <w:sz w:val="20"/>
                <w:szCs w:val="20"/>
                <w:color w:val="auto"/>
              </w:rPr>
            </w:pPr>
            <w:r>
              <w:rPr>
                <w:rFonts w:ascii="Arial" w:cs="Arial" w:eastAsia="Arial" w:hAnsi="Arial"/>
                <w:sz w:val="14"/>
                <w:szCs w:val="14"/>
                <w:color w:val="auto"/>
              </w:rPr>
              <w:t>Net loss</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(3,803)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(9,850)</w:t>
            </w:r>
          </w:p>
        </w:tc>
      </w:tr>
      <w:tr>
        <w:trPr>
          <w:trHeight w:val="261"/>
        </w:trPr>
        <w:tc>
          <w:tcPr>
            <w:tcW w:w="4500" w:type="dxa"/>
            <w:vAlign w:val="bottom"/>
          </w:tcPr>
          <w:p>
            <w:pPr>
              <w:ind w:left="120"/>
              <w:spacing w:after="0"/>
              <w:rPr>
                <w:sz w:val="20"/>
                <w:szCs w:val="20"/>
                <w:color w:val="auto"/>
              </w:rPr>
            </w:pPr>
            <w:r>
              <w:rPr>
                <w:rFonts w:ascii="Arial" w:cs="Arial" w:eastAsia="Arial" w:hAnsi="Arial"/>
                <w:sz w:val="14"/>
                <w:szCs w:val="14"/>
                <w:color w:val="auto"/>
              </w:rPr>
              <w:t>Less: Net loss attributable to noncontrolling interest</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r>
      <w:tr>
        <w:trPr>
          <w:trHeight w:val="213"/>
        </w:trPr>
        <w:tc>
          <w:tcPr>
            <w:tcW w:w="4500" w:type="dxa"/>
            <w:vAlign w:val="bottom"/>
          </w:tcPr>
          <w:p>
            <w:pPr>
              <w:spacing w:after="0"/>
              <w:rPr>
                <w:sz w:val="20"/>
                <w:szCs w:val="20"/>
                <w:color w:val="auto"/>
              </w:rPr>
            </w:pPr>
            <w:r>
              <w:rPr>
                <w:rFonts w:ascii="Arial" w:cs="Arial" w:eastAsia="Arial" w:hAnsi="Arial"/>
                <w:sz w:val="14"/>
                <w:szCs w:val="14"/>
                <w:color w:val="auto"/>
              </w:rPr>
              <w:t>Net loss attributable to Civeo Corporation</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(3,808)</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(9,842)</w:t>
            </w:r>
          </w:p>
        </w:tc>
      </w:tr>
      <w:tr>
        <w:trPr>
          <w:trHeight w:val="20"/>
        </w:trPr>
        <w:tc>
          <w:tcPr>
            <w:tcW w:w="4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71"/>
        </w:trPr>
        <w:tc>
          <w:tcPr>
            <w:tcW w:w="4840" w:type="dxa"/>
            <w:vAlign w:val="bottom"/>
            <w:gridSpan w:val="2"/>
          </w:tcPr>
          <w:p>
            <w:pPr>
              <w:spacing w:after="0"/>
              <w:rPr>
                <w:sz w:val="20"/>
                <w:szCs w:val="20"/>
                <w:color w:val="auto"/>
              </w:rPr>
            </w:pPr>
            <w:r>
              <w:rPr>
                <w:rFonts w:ascii="Arial" w:cs="Arial" w:eastAsia="Arial" w:hAnsi="Arial"/>
                <w:sz w:val="14"/>
                <w:szCs w:val="14"/>
                <w:color w:val="auto"/>
              </w:rPr>
              <w:t>Net loss per share attributable to Civeo Corporation common shareholders:</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7"/>
        </w:trPr>
        <w:tc>
          <w:tcPr>
            <w:tcW w:w="4500" w:type="dxa"/>
            <w:vAlign w:val="bottom"/>
          </w:tcPr>
          <w:p>
            <w:pPr>
              <w:ind w:left="120"/>
              <w:spacing w:after="0"/>
              <w:rPr>
                <w:sz w:val="20"/>
                <w:szCs w:val="20"/>
                <w:color w:val="auto"/>
              </w:rPr>
            </w:pPr>
            <w:r>
              <w:rPr>
                <w:rFonts w:ascii="Arial" w:cs="Arial" w:eastAsia="Arial" w:hAnsi="Arial"/>
                <w:sz w:val="14"/>
                <w:szCs w:val="14"/>
                <w:color w:val="auto"/>
              </w:rPr>
              <w:t>Basic</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(0.34)</w:t>
            </w:r>
          </w:p>
        </w:tc>
        <w:tc>
          <w:tcPr>
            <w:tcW w:w="18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(0.72)</w:t>
            </w:r>
          </w:p>
        </w:tc>
      </w:tr>
      <w:tr>
        <w:trPr>
          <w:trHeight w:val="257"/>
        </w:trPr>
        <w:tc>
          <w:tcPr>
            <w:tcW w:w="4500" w:type="dxa"/>
            <w:vAlign w:val="bottom"/>
          </w:tcPr>
          <w:p>
            <w:pPr>
              <w:ind w:left="120"/>
              <w:spacing w:after="0"/>
              <w:rPr>
                <w:sz w:val="20"/>
                <w:szCs w:val="20"/>
                <w:color w:val="auto"/>
              </w:rPr>
            </w:pPr>
            <w:r>
              <w:rPr>
                <w:rFonts w:ascii="Arial" w:cs="Arial" w:eastAsia="Arial" w:hAnsi="Arial"/>
                <w:sz w:val="14"/>
                <w:szCs w:val="14"/>
                <w:color w:val="auto"/>
              </w:rPr>
              <w:t>Diluted</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(0.34)</w:t>
            </w:r>
          </w:p>
        </w:tc>
        <w:tc>
          <w:tcPr>
            <w:tcW w:w="18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(0.72)</w:t>
            </w:r>
          </w:p>
        </w:tc>
      </w:tr>
      <w:tr>
        <w:trPr>
          <w:trHeight w:val="513"/>
        </w:trPr>
        <w:tc>
          <w:tcPr>
            <w:tcW w:w="4500" w:type="dxa"/>
            <w:vAlign w:val="bottom"/>
          </w:tcPr>
          <w:p>
            <w:pPr>
              <w:spacing w:after="0"/>
              <w:rPr>
                <w:sz w:val="20"/>
                <w:szCs w:val="20"/>
                <w:color w:val="auto"/>
              </w:rPr>
            </w:pPr>
            <w:r>
              <w:rPr>
                <w:rFonts w:ascii="Arial" w:cs="Arial" w:eastAsia="Arial" w:hAnsi="Arial"/>
                <w:sz w:val="14"/>
                <w:szCs w:val="14"/>
                <w:color w:val="auto"/>
              </w:rPr>
              <w:t>Weighted average number of common shares outstanding:</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6"/>
        </w:trPr>
        <w:tc>
          <w:tcPr>
            <w:tcW w:w="4500" w:type="dxa"/>
            <w:vAlign w:val="bottom"/>
          </w:tcPr>
          <w:p>
            <w:pPr>
              <w:ind w:left="120"/>
              <w:spacing w:after="0"/>
              <w:rPr>
                <w:sz w:val="20"/>
                <w:szCs w:val="20"/>
                <w:color w:val="auto"/>
              </w:rPr>
            </w:pPr>
            <w:r>
              <w:rPr>
                <w:rFonts w:ascii="Arial" w:cs="Arial" w:eastAsia="Arial" w:hAnsi="Arial"/>
                <w:sz w:val="14"/>
                <w:szCs w:val="14"/>
                <w:color w:val="auto"/>
              </w:rPr>
              <w:t>Basic</w:t>
            </w:r>
          </w:p>
        </w:tc>
        <w:tc>
          <w:tcPr>
            <w:tcW w:w="34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11,122</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13,600</w:t>
            </w:r>
          </w:p>
        </w:tc>
      </w:tr>
      <w:tr>
        <w:trPr>
          <w:trHeight w:val="257"/>
        </w:trPr>
        <w:tc>
          <w:tcPr>
            <w:tcW w:w="4500" w:type="dxa"/>
            <w:vAlign w:val="bottom"/>
          </w:tcPr>
          <w:p>
            <w:pPr>
              <w:ind w:left="120"/>
              <w:spacing w:after="0"/>
              <w:rPr>
                <w:sz w:val="20"/>
                <w:szCs w:val="20"/>
                <w:color w:val="auto"/>
              </w:rPr>
            </w:pPr>
            <w:r>
              <w:rPr>
                <w:rFonts w:ascii="Arial" w:cs="Arial" w:eastAsia="Arial" w:hAnsi="Arial"/>
                <w:sz w:val="14"/>
                <w:szCs w:val="14"/>
                <w:color w:val="auto"/>
              </w:rPr>
              <w:t>Diluted</w:t>
            </w:r>
          </w:p>
        </w:tc>
        <w:tc>
          <w:tcPr>
            <w:tcW w:w="34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11,122</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13,600</w:t>
            </w:r>
          </w:p>
        </w:tc>
      </w:tr>
    </w:tbl>
    <w:p>
      <w:pPr>
        <w:sectPr>
          <w:pgSz w:w="11900" w:h="16838" w:orient="portrait"/>
          <w:cols w:equalWidth="0" w:num="1">
            <w:col w:w="9019"/>
          </w:cols>
          <w:pgMar w:left="1440" w:top="890" w:right="1440"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192" w:lineRule="exact"/>
        <w:rPr>
          <w:sz w:val="20"/>
          <w:szCs w:val="20"/>
          <w:color w:val="auto"/>
        </w:rPr>
      </w:pPr>
    </w:p>
    <w:tbl>
      <w:tblPr>
        <w:tblLayout w:type="fixed"/>
        <w:tblInd w:w="1020" w:type="dxa"/>
        <w:tblCellMar>
          <w:top w:w="0" w:type="dxa"/>
          <w:left w:w="0" w:type="dxa"/>
          <w:bottom w:w="0" w:type="dxa"/>
          <w:right w:w="0" w:type="dxa"/>
        </w:tblCellMar>
      </w:tblPr>
      <w:tr>
        <w:trPr>
          <w:trHeight w:val="217"/>
        </w:trPr>
        <w:tc>
          <w:tcPr>
            <w:tcW w:w="3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March 31, 2026</w:t>
            </w:r>
          </w:p>
        </w:tc>
        <w:tc>
          <w:tcPr>
            <w:tcW w:w="200" w:type="dxa"/>
            <w:vAlign w:val="bottom"/>
          </w:tcPr>
          <w:p>
            <w:pPr>
              <w:spacing w:after="0"/>
              <w:rPr>
                <w:sz w:val="18"/>
                <w:szCs w:val="18"/>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 2025</w:t>
            </w:r>
          </w:p>
        </w:tc>
        <w:tc>
          <w:tcPr>
            <w:tcW w:w="0" w:type="dxa"/>
            <w:vAlign w:val="bottom"/>
          </w:tcPr>
          <w:p>
            <w:pPr>
              <w:spacing w:after="0"/>
              <w:rPr>
                <w:sz w:val="1"/>
                <w:szCs w:val="1"/>
                <w:color w:val="auto"/>
              </w:rPr>
            </w:pPr>
          </w:p>
        </w:tc>
      </w:tr>
      <w:tr>
        <w:trPr>
          <w:trHeight w:val="194"/>
        </w:trPr>
        <w:tc>
          <w:tcPr>
            <w:tcW w:w="3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(UNAUDITED)</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16,549</w:t>
            </w:r>
          </w:p>
        </w:tc>
        <w:tc>
          <w:tcPr>
            <w:tcW w:w="2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14,439</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107,166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90,470</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6,337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6,218</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22,771</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20,086</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152,823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131,213</w:t>
            </w:r>
          </w:p>
        </w:tc>
        <w:tc>
          <w:tcPr>
            <w:tcW w:w="0" w:type="dxa"/>
            <w:vAlign w:val="bottom"/>
          </w:tcPr>
          <w:p>
            <w:pPr>
              <w:spacing w:after="0"/>
              <w:rPr>
                <w:sz w:val="1"/>
                <w:szCs w:val="1"/>
                <w:color w:val="auto"/>
              </w:rPr>
            </w:pPr>
          </w:p>
        </w:tc>
      </w:tr>
      <w:tr>
        <w:trPr>
          <w:trHeight w:val="431"/>
        </w:trPr>
        <w:tc>
          <w:tcPr>
            <w:tcW w:w="372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235,259</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244,517</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Goodwill, net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7,774</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7,541</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68,229</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70,410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17,713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14,485</w:t>
            </w:r>
          </w:p>
        </w:tc>
        <w:tc>
          <w:tcPr>
            <w:tcW w:w="0" w:type="dxa"/>
            <w:vAlign w:val="bottom"/>
          </w:tcPr>
          <w:p>
            <w:pPr>
              <w:spacing w:after="0"/>
              <w:rPr>
                <w:sz w:val="1"/>
                <w:szCs w:val="1"/>
                <w:color w:val="auto"/>
              </w:rPr>
            </w:pPr>
          </w:p>
        </w:tc>
      </w:tr>
      <w:tr>
        <w:trPr>
          <w:trHeight w:val="217"/>
        </w:trPr>
        <w:tc>
          <w:tcPr>
            <w:tcW w:w="372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9,807</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9,245</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491,605</w:t>
            </w:r>
          </w:p>
        </w:tc>
        <w:tc>
          <w:tcPr>
            <w:tcW w:w="2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477,411</w:t>
            </w:r>
          </w:p>
        </w:tc>
        <w:tc>
          <w:tcPr>
            <w:tcW w:w="0" w:type="dxa"/>
            <w:vAlign w:val="bottom"/>
          </w:tcPr>
          <w:p>
            <w:pPr>
              <w:spacing w:after="0"/>
              <w:rPr>
                <w:sz w:val="1"/>
                <w:szCs w:val="1"/>
                <w:color w:val="auto"/>
              </w:rPr>
            </w:pPr>
          </w:p>
        </w:tc>
      </w:tr>
      <w:tr>
        <w:trPr>
          <w:trHeight w:val="21"/>
        </w:trPr>
        <w:tc>
          <w:tcPr>
            <w:tcW w:w="3720" w:type="dxa"/>
            <w:vAlign w:val="bottom"/>
            <w:vMerge w:val="restart"/>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6"/>
        </w:trPr>
        <w:tc>
          <w:tcPr>
            <w:tcW w:w="3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44,654</w:t>
            </w:r>
          </w:p>
        </w:tc>
        <w:tc>
          <w:tcPr>
            <w:tcW w:w="2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44,282</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Accrued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26,251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30,837</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Income taxes payable</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Deferred revenue</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2,806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2,903</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7,181</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6,761</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81,074</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84,936</w:t>
            </w:r>
          </w:p>
        </w:tc>
        <w:tc>
          <w:tcPr>
            <w:tcW w:w="0" w:type="dxa"/>
            <w:vAlign w:val="bottom"/>
          </w:tcPr>
          <w:p>
            <w:pPr>
              <w:spacing w:after="0"/>
              <w:rPr>
                <w:sz w:val="1"/>
                <w:szCs w:val="1"/>
                <w:color w:val="auto"/>
              </w:rPr>
            </w:pPr>
          </w:p>
        </w:tc>
      </w:tr>
      <w:tr>
        <w:trPr>
          <w:trHeight w:val="431"/>
        </w:trPr>
        <w:tc>
          <w:tcPr>
            <w:tcW w:w="3720" w:type="dxa"/>
            <w:vAlign w:val="bottom"/>
          </w:tcPr>
          <w:p>
            <w:pPr>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212,276</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182,842</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3,272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3,318</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14,040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11,142</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20,197</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20,789</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330,859</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303,027</w:t>
            </w:r>
          </w:p>
        </w:tc>
        <w:tc>
          <w:tcPr>
            <w:tcW w:w="0" w:type="dxa"/>
            <w:vAlign w:val="bottom"/>
          </w:tcPr>
          <w:p>
            <w:pPr>
              <w:spacing w:after="0"/>
              <w:rPr>
                <w:sz w:val="1"/>
                <w:szCs w:val="1"/>
                <w:color w:val="auto"/>
              </w:rPr>
            </w:pPr>
          </w:p>
        </w:tc>
      </w:tr>
      <w:tr>
        <w:trPr>
          <w:trHeight w:val="431"/>
        </w:trPr>
        <w:tc>
          <w:tcPr>
            <w:tcW w:w="3720" w:type="dxa"/>
            <w:vAlign w:val="bottom"/>
          </w:tcPr>
          <w:p>
            <w:pPr>
              <w:spacing w:after="0"/>
              <w:rPr>
                <w:sz w:val="20"/>
                <w:szCs w:val="20"/>
                <w:color w:val="auto"/>
              </w:rPr>
            </w:pPr>
            <w:r>
              <w:rPr>
                <w:rFonts w:ascii="Arial" w:cs="Arial" w:eastAsia="Arial" w:hAnsi="Arial"/>
                <w:sz w:val="16"/>
                <w:szCs w:val="16"/>
                <w:color w:val="auto"/>
              </w:rPr>
              <w:t>Shareholders' equity:</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Common shares</w:t>
            </w:r>
          </w:p>
        </w:tc>
        <w:tc>
          <w:tcPr>
            <w:tcW w:w="16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1,635,135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1,634,883</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Accumulated deficit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(1,077,359)</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(1,058,911)</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Treasury stock</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(11,112)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(10,775)</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(385,918)</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(390,813)</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Civeo Corporation shareholders' equity</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160,746</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174,384</w:t>
            </w:r>
          </w:p>
        </w:tc>
        <w:tc>
          <w:tcPr>
            <w:tcW w:w="0" w:type="dxa"/>
            <w:vAlign w:val="bottom"/>
          </w:tcPr>
          <w:p>
            <w:pPr>
              <w:spacing w:after="0"/>
              <w:rPr>
                <w:sz w:val="1"/>
                <w:szCs w:val="1"/>
                <w:color w:val="auto"/>
              </w:rPr>
            </w:pPr>
          </w:p>
        </w:tc>
      </w:tr>
      <w:tr>
        <w:trPr>
          <w:trHeight w:val="210"/>
        </w:trPr>
        <w:tc>
          <w:tcPr>
            <w:tcW w:w="372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720" w:type="dxa"/>
            <w:vAlign w:val="bottom"/>
          </w:tcPr>
          <w:p>
            <w:pPr>
              <w:ind w:left="120"/>
              <w:spacing w:after="0"/>
              <w:rPr>
                <w:sz w:val="20"/>
                <w:szCs w:val="20"/>
                <w:color w:val="auto"/>
              </w:rPr>
            </w:pPr>
            <w:r>
              <w:rPr>
                <w:rFonts w:ascii="Arial" w:cs="Arial" w:eastAsia="Arial" w:hAnsi="Arial"/>
                <w:sz w:val="16"/>
                <w:szCs w:val="16"/>
                <w:color w:val="auto"/>
              </w:rPr>
              <w:t>Total shareholders' equity</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160,746</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174,384</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491,605</w:t>
            </w:r>
          </w:p>
        </w:tc>
        <w:tc>
          <w:tcPr>
            <w:tcW w:w="2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477,411</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95" w:right="144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CONSOLIDATED STATEMENTS OF CASH FLOWS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172" w:lineRule="exact"/>
        <w:rPr>
          <w:sz w:val="20"/>
          <w:szCs w:val="20"/>
          <w:color w:val="auto"/>
        </w:rPr>
      </w:pPr>
    </w:p>
    <w:p>
      <w:pPr>
        <w:jc w:val="center"/>
        <w:ind w:left="5800"/>
        <w:spacing w:after="0"/>
        <w:rPr>
          <w:sz w:val="20"/>
          <w:szCs w:val="20"/>
          <w:color w:val="auto"/>
        </w:rPr>
      </w:pPr>
      <w:r>
        <w:rPr>
          <w:rFonts w:ascii="Arial" w:cs="Arial" w:eastAsia="Arial" w:hAnsi="Arial"/>
          <w:sz w:val="16"/>
          <w:szCs w:val="16"/>
          <w:b w:val="1"/>
          <w:bCs w:val="1"/>
          <w:color w:val="auto"/>
        </w:rPr>
        <w:t>Three Months Ended</w:t>
      </w:r>
    </w:p>
    <w:p>
      <w:pPr>
        <w:jc w:val="center"/>
        <w:ind w:left="5800"/>
        <w:spacing w:after="0"/>
        <w:rPr>
          <w:sz w:val="20"/>
          <w:szCs w:val="20"/>
          <w:color w:val="auto"/>
        </w:rPr>
      </w:pPr>
      <w:r>
        <w:rPr>
          <w:rFonts w:ascii="Arial" w:cs="Arial" w:eastAsia="Arial" w:hAnsi="Arial"/>
          <w:sz w:val="16"/>
          <w:szCs w:val="16"/>
          <w:b w:val="1"/>
          <w:bCs w:val="1"/>
          <w:color w:val="auto"/>
        </w:rPr>
        <w:t>March 31,</w:t>
      </w:r>
    </w:p>
    <w:p>
      <w:pPr>
        <w:spacing w:after="0" w:line="70"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8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2026</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r>
      <w:tr>
        <w:trPr>
          <w:trHeight w:val="491"/>
        </w:trPr>
        <w:tc>
          <w:tcPr>
            <w:tcW w:w="580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5800" w:type="dxa"/>
            <w:vAlign w:val="bottom"/>
          </w:tcPr>
          <w:p>
            <w:pPr>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(3,803)</w:t>
            </w:r>
          </w:p>
        </w:tc>
        <w:tc>
          <w:tcPr>
            <w:tcW w:w="18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(9,850)</w:t>
            </w:r>
          </w:p>
        </w:tc>
      </w:tr>
      <w:tr>
        <w:trPr>
          <w:trHeight w:val="418"/>
        </w:trPr>
        <w:tc>
          <w:tcPr>
            <w:tcW w:w="5800" w:type="dxa"/>
            <w:vAlign w:val="bottom"/>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17,308</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16,253</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Deferred income tax benefit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(139)</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(510)</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Non-cash compensation charge</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252</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597</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Gains on disposals of assets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Provision for credit losses, net of recoveries</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862</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661</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6"/>
        </w:trPr>
        <w:tc>
          <w:tcPr>
            <w:tcW w:w="580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(15,992)</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(4,156)</w:t>
            </w: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1,841</w:t>
            </w: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(4,108)</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(9,835)</w:t>
            </w: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Taxes payable</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(2,332)</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(2,059)</w:t>
            </w:r>
          </w:p>
        </w:tc>
      </w:tr>
      <w:tr>
        <w:trPr>
          <w:trHeight w:val="258"/>
        </w:trPr>
        <w:tc>
          <w:tcPr>
            <w:tcW w:w="5800" w:type="dxa"/>
            <w:vAlign w:val="bottom"/>
          </w:tcPr>
          <w:p>
            <w:pPr>
              <w:ind w:left="200"/>
              <w:spacing w:after="0"/>
              <w:rPr>
                <w:sz w:val="20"/>
                <w:szCs w:val="20"/>
                <w:color w:val="auto"/>
              </w:rPr>
            </w:pPr>
            <w:r>
              <w:rPr>
                <w:rFonts w:ascii="Arial" w:cs="Arial" w:eastAsia="Arial" w:hAnsi="Arial"/>
                <w:sz w:val="16"/>
                <w:szCs w:val="16"/>
                <w:color w:val="auto"/>
              </w:rPr>
              <w:t>Other current and noncurrent assets and liabilities, net</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(2,417)</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w:t>
            </w:r>
          </w:p>
        </w:tc>
      </w:tr>
      <w:tr>
        <w:trPr>
          <w:trHeight w:val="236"/>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used in operating activities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(9,744)</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(8,445)</w:t>
            </w:r>
          </w:p>
        </w:tc>
      </w:tr>
      <w:tr>
        <w:trPr>
          <w:trHeight w:val="513"/>
        </w:trPr>
        <w:tc>
          <w:tcPr>
            <w:tcW w:w="580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(4,133)</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(5,271)</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Proceeds from dispositions of property, plant and equipment</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200</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258"/>
        </w:trPr>
        <w:tc>
          <w:tcPr>
            <w:tcW w:w="580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20" w:type="dxa"/>
            <w:vAlign w:val="bottom"/>
          </w:tcPr>
          <w:p>
            <w:pPr>
              <w:spacing w:after="0"/>
              <w:rPr>
                <w:sz w:val="22"/>
                <w:szCs w:val="22"/>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used in investing activities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(3,933)</w:t>
            </w:r>
          </w:p>
        </w:tc>
        <w:tc>
          <w:tcPr>
            <w:tcW w:w="1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(5,104)</w:t>
            </w:r>
          </w:p>
        </w:tc>
      </w:tr>
      <w:tr>
        <w:trPr>
          <w:trHeight w:val="513"/>
        </w:trPr>
        <w:tc>
          <w:tcPr>
            <w:tcW w:w="580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Revolving credit borrowings (repayments), net</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30,558</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44,166</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Debt issuance costs</w:t>
            </w:r>
          </w:p>
        </w:tc>
        <w:tc>
          <w:tcPr>
            <w:tcW w:w="320" w:type="dxa"/>
            <w:vAlign w:val="bottom"/>
          </w:tcPr>
          <w:p>
            <w:pPr>
              <w:spacing w:after="0"/>
              <w:rPr>
                <w:sz w:val="22"/>
                <w:szCs w:val="22"/>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Dividends paid</w:t>
            </w:r>
          </w:p>
        </w:tc>
        <w:tc>
          <w:tcPr>
            <w:tcW w:w="320" w:type="dxa"/>
            <w:vAlign w:val="bottom"/>
          </w:tcPr>
          <w:p>
            <w:pPr>
              <w:spacing w:after="0"/>
              <w:rPr>
                <w:sz w:val="22"/>
                <w:szCs w:val="22"/>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(3,437)</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Repurchases of common shares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(14,353)</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(3,334)</w:t>
            </w:r>
          </w:p>
        </w:tc>
      </w:tr>
      <w:tr>
        <w:trPr>
          <w:trHeight w:val="258"/>
        </w:trPr>
        <w:tc>
          <w:tcPr>
            <w:tcW w:w="5800" w:type="dxa"/>
            <w:vAlign w:val="bottom"/>
          </w:tcPr>
          <w:p>
            <w:pPr>
              <w:ind w:left="120"/>
              <w:spacing w:after="0"/>
              <w:rPr>
                <w:sz w:val="20"/>
                <w:szCs w:val="20"/>
                <w:color w:val="auto"/>
              </w:rPr>
            </w:pPr>
            <w:r>
              <w:rPr>
                <w:rFonts w:ascii="Arial" w:cs="Arial" w:eastAsia="Arial" w:hAnsi="Arial"/>
                <w:sz w:val="16"/>
                <w:szCs w:val="16"/>
                <w:color w:val="auto"/>
              </w:rPr>
              <w:t>Taxes paid on vested shares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w:t>
            </w:r>
          </w:p>
        </w:tc>
      </w:tr>
      <w:tr>
        <w:trPr>
          <w:trHeight w:val="235"/>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provided by financing activities</w:t>
            </w:r>
          </w:p>
        </w:tc>
        <w:tc>
          <w:tcPr>
            <w:tcW w:w="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15,868</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36,625</w:t>
            </w:r>
          </w:p>
        </w:tc>
      </w:tr>
      <w:tr>
        <w:trPr>
          <w:trHeight w:val="514"/>
        </w:trPr>
        <w:tc>
          <w:tcPr>
            <w:tcW w:w="580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r>
      <w:tr>
        <w:trPr>
          <w:trHeight w:val="235"/>
        </w:trPr>
        <w:tc>
          <w:tcPr>
            <w:tcW w:w="580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2,110</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23,168</w:t>
            </w:r>
          </w:p>
        </w:tc>
      </w:tr>
      <w:tr>
        <w:trPr>
          <w:trHeight w:val="514"/>
        </w:trPr>
        <w:tc>
          <w:tcPr>
            <w:tcW w:w="580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14,439</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5,204</w:t>
            </w:r>
          </w:p>
        </w:tc>
      </w:tr>
      <w:tr>
        <w:trPr>
          <w:trHeight w:val="224"/>
        </w:trPr>
        <w:tc>
          <w:tcPr>
            <w:tcW w:w="580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16,549</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28,372</w:t>
            </w:r>
          </w:p>
        </w:tc>
      </w:tr>
      <w:tr>
        <w:trPr>
          <w:trHeight w:val="20"/>
        </w:trPr>
        <w:tc>
          <w:tcPr>
            <w:tcW w:w="5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895" w:right="1440"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SEGMENT DATA</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78" w:lineRule="exact"/>
        <w:rPr>
          <w:sz w:val="20"/>
          <w:szCs w:val="20"/>
          <w:color w:val="auto"/>
        </w:rPr>
      </w:pPr>
    </w:p>
    <w:p>
      <w:pPr>
        <w:jc w:val="center"/>
        <w:ind w:left="3540"/>
        <w:spacing w:after="0"/>
        <w:rPr>
          <w:sz w:val="20"/>
          <w:szCs w:val="20"/>
          <w:color w:val="auto"/>
        </w:rPr>
      </w:pPr>
      <w:r>
        <w:rPr>
          <w:rFonts w:ascii="Arial" w:cs="Arial" w:eastAsia="Arial" w:hAnsi="Arial"/>
          <w:sz w:val="16"/>
          <w:szCs w:val="16"/>
          <w:b w:val="1"/>
          <w:bCs w:val="1"/>
          <w:color w:val="auto"/>
        </w:rPr>
        <w:t>Three Months Ended</w:t>
      </w:r>
    </w:p>
    <w:p>
      <w:pPr>
        <w:jc w:val="center"/>
        <w:ind w:left="3540"/>
        <w:spacing w:after="0"/>
        <w:rPr>
          <w:sz w:val="20"/>
          <w:szCs w:val="20"/>
          <w:color w:val="auto"/>
        </w:rPr>
      </w:pPr>
      <w:r>
        <w:rPr>
          <w:rFonts w:ascii="Arial" w:cs="Arial" w:eastAsia="Arial" w:hAnsi="Arial"/>
          <w:sz w:val="16"/>
          <w:szCs w:val="16"/>
          <w:b w:val="1"/>
          <w:bCs w:val="1"/>
          <w:color w:val="auto"/>
        </w:rPr>
        <w:t>March 31,</w:t>
      </w:r>
    </w:p>
    <w:p>
      <w:pPr>
        <w:spacing w:after="0" w:line="70" w:lineRule="exact"/>
        <w:rPr>
          <w:sz w:val="20"/>
          <w:szCs w:val="20"/>
          <w:color w:val="auto"/>
        </w:rPr>
      </w:pPr>
    </w:p>
    <w:tbl>
      <w:tblPr>
        <w:tblLayout w:type="fixed"/>
        <w:tblInd w:w="1300" w:type="dxa"/>
        <w:tblCellMar>
          <w:top w:w="0" w:type="dxa"/>
          <w:left w:w="0" w:type="dxa"/>
          <w:bottom w:w="0" w:type="dxa"/>
          <w:right w:w="0" w:type="dxa"/>
        </w:tblCellMar>
      </w:tblPr>
      <w:tr>
        <w:trPr>
          <w:trHeight w:val="217"/>
        </w:trPr>
        <w:tc>
          <w:tcPr>
            <w:tcW w:w="3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r>
              <w:rPr>
                <w:rFonts w:ascii="Arial" w:cs="Arial" w:eastAsia="Arial" w:hAnsi="Arial"/>
                <w:sz w:val="16"/>
                <w:szCs w:val="16"/>
                <w:color w:val="auto"/>
              </w:rPr>
              <w:t>Revenues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54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123,018</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103,646</w:t>
            </w:r>
          </w:p>
        </w:tc>
        <w:tc>
          <w:tcPr>
            <w:tcW w:w="0" w:type="dxa"/>
            <w:vAlign w:val="bottom"/>
          </w:tcPr>
          <w:p>
            <w:pPr>
              <w:spacing w:after="0"/>
              <w:rPr>
                <w:sz w:val="1"/>
                <w:szCs w:val="1"/>
                <w:color w:val="auto"/>
              </w:rPr>
            </w:pPr>
          </w:p>
        </w:tc>
      </w:tr>
      <w:tr>
        <w:trPr>
          <w:trHeight w:val="256"/>
        </w:trPr>
        <w:tc>
          <w:tcPr>
            <w:tcW w:w="3540" w:type="dxa"/>
            <w:vAlign w:val="bottom"/>
          </w:tcPr>
          <w:p>
            <w:pPr>
              <w:ind w:left="220"/>
              <w:spacing w:after="0"/>
              <w:rPr>
                <w:sz w:val="20"/>
                <w:szCs w:val="20"/>
                <w:color w:val="auto"/>
              </w:rPr>
            </w:pPr>
            <w:r>
              <w:rPr>
                <w:rFonts w:ascii="Arial" w:cs="Arial" w:eastAsia="Arial" w:hAnsi="Arial"/>
                <w:sz w:val="16"/>
                <w:szCs w:val="16"/>
                <w:color w:val="auto"/>
              </w:rPr>
              <w:t>Canada</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49,649</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40,398</w:t>
            </w:r>
          </w:p>
        </w:tc>
        <w:tc>
          <w:tcPr>
            <w:tcW w:w="0" w:type="dxa"/>
            <w:vAlign w:val="bottom"/>
          </w:tcPr>
          <w:p>
            <w:pPr>
              <w:spacing w:after="0"/>
              <w:rPr>
                <w:sz w:val="1"/>
                <w:szCs w:val="1"/>
                <w:color w:val="auto"/>
              </w:rPr>
            </w:pPr>
          </w:p>
        </w:tc>
      </w:tr>
      <w:tr>
        <w:trPr>
          <w:trHeight w:val="258"/>
        </w:trPr>
        <w:tc>
          <w:tcPr>
            <w:tcW w:w="3540" w:type="dxa"/>
            <w:vAlign w:val="bottom"/>
          </w:tcPr>
          <w:p>
            <w:pPr>
              <w:ind w:left="22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2"/>
                <w:szCs w:val="22"/>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54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172,667</w:t>
            </w:r>
          </w:p>
        </w:tc>
        <w:tc>
          <w:tcPr>
            <w:tcW w:w="1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144,044</w:t>
            </w:r>
          </w:p>
        </w:tc>
        <w:tc>
          <w:tcPr>
            <w:tcW w:w="0" w:type="dxa"/>
            <w:vAlign w:val="bottom"/>
          </w:tcPr>
          <w:p>
            <w:pPr>
              <w:spacing w:after="0"/>
              <w:rPr>
                <w:sz w:val="1"/>
                <w:szCs w:val="1"/>
                <w:color w:val="auto"/>
              </w:rPr>
            </w:pPr>
          </w:p>
        </w:tc>
      </w:tr>
      <w:tr>
        <w:trPr>
          <w:trHeight w:val="21"/>
        </w:trPr>
        <w:tc>
          <w:tcPr>
            <w:tcW w:w="3540" w:type="dxa"/>
            <w:vAlign w:val="bottom"/>
            <w:vMerge w:val="restart"/>
          </w:tcPr>
          <w:p>
            <w:pPr>
              <w:spacing w:after="0"/>
              <w:rPr>
                <w:sz w:val="20"/>
                <w:szCs w:val="20"/>
                <w:color w:val="auto"/>
              </w:rPr>
            </w:pPr>
            <w:r>
              <w:rPr>
                <w:rFonts w:ascii="Arial" w:cs="Arial" w:eastAsia="Arial" w:hAnsi="Arial"/>
                <w:sz w:val="16"/>
                <w:szCs w:val="16"/>
                <w:color w:val="auto"/>
              </w:rPr>
              <w:t>EBITDA (1)</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7"/>
        </w:trPr>
        <w:tc>
          <w:tcPr>
            <w:tcW w:w="3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54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21,826</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18,995</w:t>
            </w:r>
          </w:p>
        </w:tc>
        <w:tc>
          <w:tcPr>
            <w:tcW w:w="0" w:type="dxa"/>
            <w:vAlign w:val="bottom"/>
          </w:tcPr>
          <w:p>
            <w:pPr>
              <w:spacing w:after="0"/>
              <w:rPr>
                <w:sz w:val="1"/>
                <w:szCs w:val="1"/>
                <w:color w:val="auto"/>
              </w:rPr>
            </w:pPr>
          </w:p>
        </w:tc>
      </w:tr>
      <w:tr>
        <w:trPr>
          <w:trHeight w:val="257"/>
        </w:trPr>
        <w:tc>
          <w:tcPr>
            <w:tcW w:w="3540" w:type="dxa"/>
            <w:vAlign w:val="bottom"/>
          </w:tcPr>
          <w:p>
            <w:pPr>
              <w:ind w:left="220"/>
              <w:spacing w:after="0"/>
              <w:rPr>
                <w:sz w:val="20"/>
                <w:szCs w:val="20"/>
                <w:color w:val="auto"/>
              </w:rPr>
            </w:pPr>
            <w:r>
              <w:rPr>
                <w:rFonts w:ascii="Arial" w:cs="Arial" w:eastAsia="Arial" w:hAnsi="Arial"/>
                <w:sz w:val="16"/>
                <w:szCs w:val="16"/>
                <w:color w:val="auto"/>
              </w:rPr>
              <w:t>Canada</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3,693</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(1,814)</w:t>
            </w:r>
          </w:p>
        </w:tc>
        <w:tc>
          <w:tcPr>
            <w:tcW w:w="0" w:type="dxa"/>
            <w:vAlign w:val="bottom"/>
          </w:tcPr>
          <w:p>
            <w:pPr>
              <w:spacing w:after="0"/>
              <w:rPr>
                <w:sz w:val="1"/>
                <w:szCs w:val="1"/>
                <w:color w:val="auto"/>
              </w:rPr>
            </w:pPr>
          </w:p>
        </w:tc>
      </w:tr>
      <w:tr>
        <w:trPr>
          <w:trHeight w:val="258"/>
        </w:trPr>
        <w:tc>
          <w:tcPr>
            <w:tcW w:w="3540" w:type="dxa"/>
            <w:vAlign w:val="bottom"/>
          </w:tcPr>
          <w:p>
            <w:pPr>
              <w:ind w:left="220"/>
              <w:spacing w:after="0"/>
              <w:rPr>
                <w:sz w:val="20"/>
                <w:szCs w:val="20"/>
                <w:color w:val="auto"/>
              </w:rPr>
            </w:pPr>
            <w:r>
              <w:rPr>
                <w:rFonts w:ascii="Arial" w:cs="Arial" w:eastAsia="Arial" w:hAnsi="Arial"/>
                <w:sz w:val="16"/>
                <w:szCs w:val="16"/>
                <w:color w:val="auto"/>
              </w:rPr>
              <w:t>Corporate, other and eliminations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(5,154)</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(6,089)</w:t>
            </w:r>
          </w:p>
        </w:tc>
        <w:tc>
          <w:tcPr>
            <w:tcW w:w="0" w:type="dxa"/>
            <w:vAlign w:val="bottom"/>
          </w:tcPr>
          <w:p>
            <w:pPr>
              <w:spacing w:after="0"/>
              <w:rPr>
                <w:sz w:val="1"/>
                <w:szCs w:val="1"/>
                <w:color w:val="auto"/>
              </w:rPr>
            </w:pPr>
          </w:p>
        </w:tc>
      </w:tr>
      <w:tr>
        <w:trPr>
          <w:trHeight w:val="211"/>
        </w:trPr>
        <w:tc>
          <w:tcPr>
            <w:tcW w:w="3540" w:type="dxa"/>
            <w:vAlign w:val="bottom"/>
          </w:tcPr>
          <w:p>
            <w:pPr>
              <w:ind w:left="460"/>
              <w:spacing w:after="0"/>
              <w:rPr>
                <w:sz w:val="20"/>
                <w:szCs w:val="20"/>
                <w:color w:val="auto"/>
              </w:rPr>
            </w:pPr>
            <w:r>
              <w:rPr>
                <w:rFonts w:ascii="Arial" w:cs="Arial" w:eastAsia="Arial" w:hAnsi="Arial"/>
                <w:sz w:val="16"/>
                <w:szCs w:val="16"/>
                <w:color w:val="auto"/>
              </w:rPr>
              <w:t>Total EBITDA</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20,365</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11,092</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6"/>
                <w:szCs w:val="16"/>
                <w:color w:val="auto"/>
              </w:rPr>
              <w:t>Adjusted EBITDA (1)</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8"/>
        </w:trPr>
        <w:tc>
          <w:tcPr>
            <w:tcW w:w="3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54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21,797</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19,040</w:t>
            </w:r>
          </w:p>
        </w:tc>
        <w:tc>
          <w:tcPr>
            <w:tcW w:w="0" w:type="dxa"/>
            <w:vAlign w:val="bottom"/>
          </w:tcPr>
          <w:p>
            <w:pPr>
              <w:spacing w:after="0"/>
              <w:rPr>
                <w:sz w:val="1"/>
                <w:szCs w:val="1"/>
                <w:color w:val="auto"/>
              </w:rPr>
            </w:pPr>
          </w:p>
        </w:tc>
      </w:tr>
      <w:tr>
        <w:trPr>
          <w:trHeight w:val="257"/>
        </w:trPr>
        <w:tc>
          <w:tcPr>
            <w:tcW w:w="3540" w:type="dxa"/>
            <w:vAlign w:val="bottom"/>
          </w:tcPr>
          <w:p>
            <w:pPr>
              <w:ind w:left="220"/>
              <w:spacing w:after="0"/>
              <w:rPr>
                <w:sz w:val="20"/>
                <w:szCs w:val="20"/>
                <w:color w:val="auto"/>
              </w:rPr>
            </w:pPr>
            <w:r>
              <w:rPr>
                <w:rFonts w:ascii="Arial" w:cs="Arial" w:eastAsia="Arial" w:hAnsi="Arial"/>
                <w:sz w:val="16"/>
                <w:szCs w:val="16"/>
                <w:color w:val="auto"/>
              </w:rPr>
              <w:t>Canada</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5,155</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(787)</w:t>
            </w:r>
          </w:p>
        </w:tc>
        <w:tc>
          <w:tcPr>
            <w:tcW w:w="0" w:type="dxa"/>
            <w:vAlign w:val="bottom"/>
          </w:tcPr>
          <w:p>
            <w:pPr>
              <w:spacing w:after="0"/>
              <w:rPr>
                <w:sz w:val="1"/>
                <w:szCs w:val="1"/>
                <w:color w:val="auto"/>
              </w:rPr>
            </w:pPr>
          </w:p>
        </w:tc>
      </w:tr>
      <w:tr>
        <w:trPr>
          <w:trHeight w:val="257"/>
        </w:trPr>
        <w:tc>
          <w:tcPr>
            <w:tcW w:w="3540" w:type="dxa"/>
            <w:vAlign w:val="bottom"/>
          </w:tcPr>
          <w:p>
            <w:pPr>
              <w:ind w:left="220"/>
              <w:spacing w:after="0"/>
              <w:rPr>
                <w:sz w:val="20"/>
                <w:szCs w:val="20"/>
                <w:color w:val="auto"/>
              </w:rPr>
            </w:pPr>
            <w:r>
              <w:rPr>
                <w:rFonts w:ascii="Arial" w:cs="Arial" w:eastAsia="Arial" w:hAnsi="Arial"/>
                <w:sz w:val="16"/>
                <w:szCs w:val="16"/>
                <w:color w:val="auto"/>
              </w:rPr>
              <w:t>Corporate, other and eliminations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(4,423)</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(5,598)</w:t>
            </w:r>
          </w:p>
        </w:tc>
        <w:tc>
          <w:tcPr>
            <w:tcW w:w="0" w:type="dxa"/>
            <w:vAlign w:val="bottom"/>
          </w:tcPr>
          <w:p>
            <w:pPr>
              <w:spacing w:after="0"/>
              <w:rPr>
                <w:sz w:val="1"/>
                <w:szCs w:val="1"/>
                <w:color w:val="auto"/>
              </w:rPr>
            </w:pPr>
          </w:p>
        </w:tc>
      </w:tr>
      <w:tr>
        <w:trPr>
          <w:trHeight w:val="211"/>
        </w:trPr>
        <w:tc>
          <w:tcPr>
            <w:tcW w:w="3540" w:type="dxa"/>
            <w:vAlign w:val="bottom"/>
          </w:tcPr>
          <w:p>
            <w:pPr>
              <w:ind w:left="460"/>
              <w:spacing w:after="0"/>
              <w:rPr>
                <w:sz w:val="20"/>
                <w:szCs w:val="20"/>
                <w:color w:val="auto"/>
              </w:rPr>
            </w:pPr>
            <w:r>
              <w:rPr>
                <w:rFonts w:ascii="Arial" w:cs="Arial" w:eastAsia="Arial" w:hAnsi="Arial"/>
                <w:sz w:val="16"/>
                <w:szCs w:val="16"/>
                <w:color w:val="auto"/>
              </w:rPr>
              <w:t>Total adjusted EBITDA</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22,529</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12,655</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6"/>
                <w:szCs w:val="16"/>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8"/>
        </w:trPr>
        <w:tc>
          <w:tcPr>
            <w:tcW w:w="3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54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12,688</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11,194</w:t>
            </w:r>
          </w:p>
        </w:tc>
        <w:tc>
          <w:tcPr>
            <w:tcW w:w="0" w:type="dxa"/>
            <w:vAlign w:val="bottom"/>
          </w:tcPr>
          <w:p>
            <w:pPr>
              <w:spacing w:after="0"/>
              <w:rPr>
                <w:sz w:val="1"/>
                <w:szCs w:val="1"/>
                <w:color w:val="auto"/>
              </w:rPr>
            </w:pPr>
          </w:p>
        </w:tc>
      </w:tr>
      <w:tr>
        <w:trPr>
          <w:trHeight w:val="257"/>
        </w:trPr>
        <w:tc>
          <w:tcPr>
            <w:tcW w:w="3540" w:type="dxa"/>
            <w:vAlign w:val="bottom"/>
          </w:tcPr>
          <w:p>
            <w:pPr>
              <w:ind w:left="220"/>
              <w:spacing w:after="0"/>
              <w:rPr>
                <w:sz w:val="20"/>
                <w:szCs w:val="20"/>
                <w:color w:val="auto"/>
              </w:rPr>
            </w:pPr>
            <w:r>
              <w:rPr>
                <w:rFonts w:ascii="Arial" w:cs="Arial" w:eastAsia="Arial" w:hAnsi="Arial"/>
                <w:sz w:val="16"/>
                <w:szCs w:val="16"/>
                <w:color w:val="auto"/>
              </w:rPr>
              <w:t>Canada</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(4,389)</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(10,588)</w:t>
            </w:r>
          </w:p>
        </w:tc>
        <w:tc>
          <w:tcPr>
            <w:tcW w:w="0" w:type="dxa"/>
            <w:vAlign w:val="bottom"/>
          </w:tcPr>
          <w:p>
            <w:pPr>
              <w:spacing w:after="0"/>
              <w:rPr>
                <w:sz w:val="1"/>
                <w:szCs w:val="1"/>
                <w:color w:val="auto"/>
              </w:rPr>
            </w:pPr>
          </w:p>
        </w:tc>
      </w:tr>
      <w:tr>
        <w:trPr>
          <w:trHeight w:val="258"/>
        </w:trPr>
        <w:tc>
          <w:tcPr>
            <w:tcW w:w="3540" w:type="dxa"/>
            <w:vAlign w:val="bottom"/>
          </w:tcPr>
          <w:p>
            <w:pPr>
              <w:ind w:left="220"/>
              <w:spacing w:after="0"/>
              <w:rPr>
                <w:sz w:val="20"/>
                <w:szCs w:val="20"/>
                <w:color w:val="auto"/>
              </w:rPr>
            </w:pPr>
            <w:r>
              <w:rPr>
                <w:rFonts w:ascii="Arial" w:cs="Arial" w:eastAsia="Arial" w:hAnsi="Arial"/>
                <w:sz w:val="16"/>
                <w:szCs w:val="16"/>
                <w:color w:val="auto"/>
              </w:rPr>
              <w:t>Corporate, other and eliminations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(5,176)</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(6,122)</w:t>
            </w:r>
          </w:p>
        </w:tc>
        <w:tc>
          <w:tcPr>
            <w:tcW w:w="0" w:type="dxa"/>
            <w:vAlign w:val="bottom"/>
          </w:tcPr>
          <w:p>
            <w:pPr>
              <w:spacing w:after="0"/>
              <w:rPr>
                <w:sz w:val="1"/>
                <w:szCs w:val="1"/>
                <w:color w:val="auto"/>
              </w:rPr>
            </w:pPr>
          </w:p>
        </w:tc>
      </w:tr>
      <w:tr>
        <w:trPr>
          <w:trHeight w:val="210"/>
        </w:trPr>
        <w:tc>
          <w:tcPr>
            <w:tcW w:w="3540" w:type="dxa"/>
            <w:vAlign w:val="bottom"/>
          </w:tcPr>
          <w:p>
            <w:pPr>
              <w:ind w:left="460"/>
              <w:spacing w:after="0"/>
              <w:rPr>
                <w:sz w:val="20"/>
                <w:szCs w:val="20"/>
                <w:color w:val="auto"/>
              </w:rPr>
            </w:pPr>
            <w:r>
              <w:rPr>
                <w:rFonts w:ascii="Arial" w:cs="Arial" w:eastAsia="Arial" w:hAnsi="Arial"/>
                <w:sz w:val="16"/>
                <w:szCs w:val="16"/>
                <w:color w:val="auto"/>
              </w:rPr>
              <w:t>Total operating income (loss)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3,123</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(5,516)</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 Please see Non-GAAP Reconciliation Schedule.</w:t>
      </w:r>
    </w:p>
    <w:p>
      <w:pPr>
        <w:sectPr>
          <w:pgSz w:w="11900" w:h="16838" w:orient="portrait"/>
          <w:cols w:equalWidth="0" w:num="1">
            <w:col w:w="9019"/>
          </w:cols>
          <w:pgMar w:left="1440" w:top="895" w:right="1440" w:bottom="1440" w:gutter="0" w:footer="0" w:header="0"/>
        </w:sectPr>
      </w:pPr>
    </w:p>
    <w:bookmarkStart w:id="11" w:name="page12"/>
    <w:bookmarkEnd w:id="11"/>
    <w:p>
      <w:pPr>
        <w:jc w:val="center"/>
        <w:ind w:right="-51"/>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51"/>
        <w:spacing w:after="0"/>
        <w:rPr>
          <w:sz w:val="20"/>
          <w:szCs w:val="20"/>
          <w:color w:val="auto"/>
        </w:rPr>
      </w:pPr>
      <w:r>
        <w:rPr>
          <w:rFonts w:ascii="Arial" w:cs="Arial" w:eastAsia="Arial" w:hAnsi="Arial"/>
          <w:sz w:val="16"/>
          <w:szCs w:val="16"/>
          <w:b w:val="1"/>
          <w:bCs w:val="1"/>
          <w:color w:val="auto"/>
        </w:rPr>
        <w:t>SUPPLEMENTAL QUARTERLY SEGMENT AND OPERATING DATA</w:t>
      </w:r>
    </w:p>
    <w:p>
      <w:pPr>
        <w:spacing w:after="0" w:line="19" w:lineRule="exact"/>
        <w:rPr>
          <w:sz w:val="20"/>
          <w:szCs w:val="20"/>
          <w:color w:val="auto"/>
        </w:rPr>
      </w:pPr>
    </w:p>
    <w:p>
      <w:pPr>
        <w:jc w:val="center"/>
        <w:ind w:right="-51"/>
        <w:spacing w:after="0"/>
        <w:rPr>
          <w:sz w:val="20"/>
          <w:szCs w:val="20"/>
          <w:color w:val="auto"/>
        </w:rPr>
      </w:pPr>
      <w:r>
        <w:rPr>
          <w:rFonts w:ascii="Arial" w:cs="Arial" w:eastAsia="Arial" w:hAnsi="Arial"/>
          <w:sz w:val="16"/>
          <w:szCs w:val="16"/>
          <w:b w:val="1"/>
          <w:bCs w:val="1"/>
          <w:color w:val="auto"/>
        </w:rPr>
        <w:t>(U.S. dollars in thousands, except for room counts and average daily rates)</w:t>
      </w:r>
    </w:p>
    <w:p>
      <w:pPr>
        <w:spacing w:after="0" w:line="5" w:lineRule="exact"/>
        <w:rPr>
          <w:sz w:val="20"/>
          <w:szCs w:val="20"/>
          <w:color w:val="auto"/>
        </w:rPr>
      </w:pPr>
    </w:p>
    <w:p>
      <w:pPr>
        <w:jc w:val="center"/>
        <w:ind w:right="-51"/>
        <w:spacing w:after="0"/>
        <w:rPr>
          <w:sz w:val="20"/>
          <w:szCs w:val="20"/>
          <w:color w:val="auto"/>
        </w:rPr>
      </w:pPr>
      <w:r>
        <w:rPr>
          <w:rFonts w:ascii="Arial" w:cs="Arial" w:eastAsia="Arial" w:hAnsi="Arial"/>
          <w:sz w:val="16"/>
          <w:szCs w:val="16"/>
          <w:b w:val="1"/>
          <w:bCs w:val="1"/>
          <w:color w:val="auto"/>
        </w:rPr>
        <w:t>(unaudited)</w:t>
      </w:r>
    </w:p>
    <w:p>
      <w:pPr>
        <w:spacing w:after="0" w:line="91" w:lineRule="exact"/>
        <w:rPr>
          <w:sz w:val="20"/>
          <w:szCs w:val="20"/>
          <w:color w:val="auto"/>
        </w:rPr>
      </w:pPr>
    </w:p>
    <w:p>
      <w:pPr>
        <w:jc w:val="center"/>
        <w:ind w:left="4420"/>
        <w:spacing w:after="0"/>
        <w:rPr>
          <w:sz w:val="20"/>
          <w:szCs w:val="20"/>
          <w:color w:val="auto"/>
        </w:rPr>
      </w:pPr>
      <w:r>
        <w:rPr>
          <w:rFonts w:ascii="Arial" w:cs="Arial" w:eastAsia="Arial" w:hAnsi="Arial"/>
          <w:sz w:val="16"/>
          <w:szCs w:val="16"/>
          <w:b w:val="1"/>
          <w:bCs w:val="1"/>
          <w:color w:val="auto"/>
        </w:rPr>
        <w:t>Three Months Ended</w:t>
      </w:r>
    </w:p>
    <w:p>
      <w:pPr>
        <w:jc w:val="center"/>
        <w:ind w:left="4420"/>
        <w:spacing w:after="0"/>
        <w:rPr>
          <w:sz w:val="20"/>
          <w:szCs w:val="20"/>
          <w:color w:val="auto"/>
        </w:rPr>
      </w:pPr>
      <w:r>
        <w:rPr>
          <w:rFonts w:ascii="Arial" w:cs="Arial" w:eastAsia="Arial" w:hAnsi="Arial"/>
          <w:sz w:val="16"/>
          <w:szCs w:val="16"/>
          <w:b w:val="1"/>
          <w:bCs w:val="1"/>
          <w:color w:val="auto"/>
        </w:rPr>
        <w:t>March 31,</w:t>
      </w:r>
    </w:p>
    <w:p>
      <w:pPr>
        <w:spacing w:after="0" w:line="70" w:lineRule="exact"/>
        <w:rPr>
          <w:sz w:val="20"/>
          <w:szCs w:val="20"/>
          <w:color w:val="auto"/>
        </w:rPr>
      </w:pPr>
    </w:p>
    <w:tbl>
      <w:tblPr>
        <w:tblLayout w:type="fixed"/>
        <w:tblInd w:w="2172" w:type="dxa"/>
        <w:tblCellMar>
          <w:top w:w="0" w:type="dxa"/>
          <w:left w:w="0" w:type="dxa"/>
          <w:bottom w:w="0" w:type="dxa"/>
          <w:right w:w="0" w:type="dxa"/>
        </w:tblCellMar>
      </w:tblPr>
      <w:tr>
        <w:trPr>
          <w:trHeight w:val="217"/>
        </w:trPr>
        <w:tc>
          <w:tcPr>
            <w:tcW w:w="4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2026</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351"/>
        </w:trPr>
        <w:tc>
          <w:tcPr>
            <w:tcW w:w="4420" w:type="dxa"/>
            <w:vAlign w:val="bottom"/>
          </w:tcPr>
          <w:p>
            <w:pPr>
              <w:spacing w:after="0"/>
              <w:rPr>
                <w:sz w:val="20"/>
                <w:szCs w:val="20"/>
                <w:color w:val="auto"/>
              </w:rPr>
            </w:pPr>
            <w:r>
              <w:rPr>
                <w:rFonts w:ascii="Arial" w:cs="Arial" w:eastAsia="Arial" w:hAnsi="Arial"/>
                <w:sz w:val="16"/>
                <w:szCs w:val="16"/>
                <w:b w:val="1"/>
                <w:bCs w:val="1"/>
                <w:color w:val="auto"/>
              </w:rPr>
              <w:t>Supplemental Operating Data - Australian Segment</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420" w:type="dxa"/>
            <w:vAlign w:val="bottom"/>
          </w:tcPr>
          <w:p>
            <w:pPr>
              <w:ind w:left="240"/>
              <w:spacing w:after="0"/>
              <w:rPr>
                <w:sz w:val="20"/>
                <w:szCs w:val="20"/>
                <w:color w:val="auto"/>
              </w:rPr>
            </w:pPr>
            <w:r>
              <w:rPr>
                <w:rFonts w:ascii="Arial" w:cs="Arial" w:eastAsia="Arial" w:hAnsi="Arial"/>
                <w:sz w:val="16"/>
                <w:szCs w:val="16"/>
                <w:color w:val="auto"/>
              </w:rPr>
              <w:t>Revenues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420" w:type="dxa"/>
            <w:vAlign w:val="bottom"/>
          </w:tcPr>
          <w:p>
            <w:pPr>
              <w:ind w:left="460"/>
              <w:spacing w:after="0"/>
              <w:rPr>
                <w:sz w:val="20"/>
                <w:szCs w:val="20"/>
                <w:color w:val="auto"/>
              </w:rPr>
            </w:pPr>
            <w:r>
              <w:rPr>
                <w:rFonts w:ascii="Arial" w:cs="Arial" w:eastAsia="Arial" w:hAnsi="Arial"/>
                <w:sz w:val="16"/>
                <w:szCs w:val="16"/>
                <w:color w:val="auto"/>
              </w:rPr>
              <w:t>Accommodation and associated services revenue (1)</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55,806</w:t>
            </w:r>
          </w:p>
        </w:tc>
        <w:tc>
          <w:tcPr>
            <w:tcW w:w="20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46,823</w:t>
            </w:r>
          </w:p>
        </w:tc>
        <w:tc>
          <w:tcPr>
            <w:tcW w:w="0" w:type="dxa"/>
            <w:vAlign w:val="bottom"/>
          </w:tcPr>
          <w:p>
            <w:pPr>
              <w:spacing w:after="0"/>
              <w:rPr>
                <w:sz w:val="1"/>
                <w:szCs w:val="1"/>
                <w:color w:val="auto"/>
              </w:rPr>
            </w:pPr>
          </w:p>
        </w:tc>
      </w:tr>
      <w:tr>
        <w:trPr>
          <w:trHeight w:val="258"/>
        </w:trPr>
        <w:tc>
          <w:tcPr>
            <w:tcW w:w="4420" w:type="dxa"/>
            <w:vAlign w:val="bottom"/>
          </w:tcPr>
          <w:p>
            <w:pPr>
              <w:ind w:left="460"/>
              <w:spacing w:after="0"/>
              <w:rPr>
                <w:sz w:val="20"/>
                <w:szCs w:val="20"/>
                <w:color w:val="auto"/>
              </w:rPr>
            </w:pPr>
            <w:r>
              <w:rPr>
                <w:rFonts w:ascii="Arial" w:cs="Arial" w:eastAsia="Arial" w:hAnsi="Arial"/>
                <w:sz w:val="16"/>
                <w:szCs w:val="16"/>
                <w:color w:val="auto"/>
              </w:rPr>
              <w:t>Integrated services and other services revenue (3)</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67,212</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56,823</w:t>
            </w:r>
          </w:p>
        </w:tc>
        <w:tc>
          <w:tcPr>
            <w:tcW w:w="0" w:type="dxa"/>
            <w:vAlign w:val="bottom"/>
          </w:tcPr>
          <w:p>
            <w:pPr>
              <w:spacing w:after="0"/>
              <w:rPr>
                <w:sz w:val="1"/>
                <w:szCs w:val="1"/>
                <w:color w:val="auto"/>
              </w:rPr>
            </w:pPr>
          </w:p>
        </w:tc>
      </w:tr>
      <w:tr>
        <w:trPr>
          <w:trHeight w:val="235"/>
        </w:trPr>
        <w:tc>
          <w:tcPr>
            <w:tcW w:w="4420" w:type="dxa"/>
            <w:vAlign w:val="bottom"/>
          </w:tcPr>
          <w:p>
            <w:pPr>
              <w:ind w:left="680"/>
              <w:spacing w:after="0"/>
              <w:rPr>
                <w:sz w:val="20"/>
                <w:szCs w:val="20"/>
                <w:color w:val="auto"/>
              </w:rPr>
            </w:pPr>
            <w:r>
              <w:rPr>
                <w:rFonts w:ascii="Arial" w:cs="Arial" w:eastAsia="Arial" w:hAnsi="Arial"/>
                <w:sz w:val="16"/>
                <w:szCs w:val="16"/>
                <w:color w:val="auto"/>
              </w:rPr>
              <w:t>Total Australian revenues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123,018</w:t>
            </w:r>
          </w:p>
        </w:tc>
        <w:tc>
          <w:tcPr>
            <w:tcW w:w="2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103,646</w:t>
            </w:r>
          </w:p>
        </w:tc>
        <w:tc>
          <w:tcPr>
            <w:tcW w:w="0" w:type="dxa"/>
            <w:vAlign w:val="bottom"/>
          </w:tcPr>
          <w:p>
            <w:pPr>
              <w:spacing w:after="0"/>
              <w:rPr>
                <w:sz w:val="1"/>
                <w:szCs w:val="1"/>
                <w:color w:val="auto"/>
              </w:rPr>
            </w:pPr>
          </w:p>
        </w:tc>
      </w:tr>
      <w:tr>
        <w:trPr>
          <w:trHeight w:val="364"/>
        </w:trPr>
        <w:tc>
          <w:tcPr>
            <w:tcW w:w="4420" w:type="dxa"/>
            <w:vAlign w:val="bottom"/>
          </w:tcPr>
          <w:p>
            <w:pPr>
              <w:ind w:left="200"/>
              <w:spacing w:after="0"/>
              <w:rPr>
                <w:sz w:val="20"/>
                <w:szCs w:val="20"/>
                <w:color w:val="auto"/>
              </w:rPr>
            </w:pPr>
            <w:r>
              <w:rPr>
                <w:rFonts w:ascii="Arial" w:cs="Arial" w:eastAsia="Arial" w:hAnsi="Arial"/>
                <w:sz w:val="16"/>
                <w:szCs w:val="16"/>
                <w:color w:val="auto"/>
              </w:rPr>
              <w:t>Costs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420" w:type="dxa"/>
            <w:vAlign w:val="bottom"/>
          </w:tcPr>
          <w:p>
            <w:pPr>
              <w:ind w:left="460"/>
              <w:spacing w:after="0"/>
              <w:rPr>
                <w:sz w:val="20"/>
                <w:szCs w:val="20"/>
                <w:color w:val="auto"/>
              </w:rPr>
            </w:pPr>
            <w:r>
              <w:rPr>
                <w:rFonts w:ascii="Arial" w:cs="Arial" w:eastAsia="Arial" w:hAnsi="Arial"/>
                <w:sz w:val="16"/>
                <w:szCs w:val="16"/>
                <w:color w:val="auto"/>
              </w:rPr>
              <w:t>Accommodation and associated services cost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28,057</w:t>
            </w:r>
          </w:p>
        </w:tc>
        <w:tc>
          <w:tcPr>
            <w:tcW w:w="20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23,071</w:t>
            </w:r>
          </w:p>
        </w:tc>
        <w:tc>
          <w:tcPr>
            <w:tcW w:w="0" w:type="dxa"/>
            <w:vAlign w:val="bottom"/>
          </w:tcPr>
          <w:p>
            <w:pPr>
              <w:spacing w:after="0"/>
              <w:rPr>
                <w:sz w:val="1"/>
                <w:szCs w:val="1"/>
                <w:color w:val="auto"/>
              </w:rPr>
            </w:pPr>
          </w:p>
        </w:tc>
      </w:tr>
      <w:tr>
        <w:trPr>
          <w:trHeight w:val="257"/>
        </w:trPr>
        <w:tc>
          <w:tcPr>
            <w:tcW w:w="4420" w:type="dxa"/>
            <w:vAlign w:val="bottom"/>
          </w:tcPr>
          <w:p>
            <w:pPr>
              <w:ind w:left="460"/>
              <w:spacing w:after="0"/>
              <w:rPr>
                <w:sz w:val="20"/>
                <w:szCs w:val="20"/>
                <w:color w:val="auto"/>
              </w:rPr>
            </w:pPr>
            <w:r>
              <w:rPr>
                <w:rFonts w:ascii="Arial" w:cs="Arial" w:eastAsia="Arial" w:hAnsi="Arial"/>
                <w:sz w:val="16"/>
                <w:szCs w:val="16"/>
                <w:color w:val="auto"/>
              </w:rPr>
              <w:t>Integrated services and other services cost</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60,549</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50,651</w:t>
            </w:r>
          </w:p>
        </w:tc>
        <w:tc>
          <w:tcPr>
            <w:tcW w:w="0" w:type="dxa"/>
            <w:vAlign w:val="bottom"/>
          </w:tcPr>
          <w:p>
            <w:pPr>
              <w:spacing w:after="0"/>
              <w:rPr>
                <w:sz w:val="1"/>
                <w:szCs w:val="1"/>
                <w:color w:val="auto"/>
              </w:rPr>
            </w:pPr>
          </w:p>
        </w:tc>
      </w:tr>
      <w:tr>
        <w:trPr>
          <w:trHeight w:val="257"/>
        </w:trPr>
        <w:tc>
          <w:tcPr>
            <w:tcW w:w="4420" w:type="dxa"/>
            <w:vAlign w:val="bottom"/>
          </w:tcPr>
          <w:p>
            <w:pPr>
              <w:ind w:left="460"/>
              <w:spacing w:after="0"/>
              <w:rPr>
                <w:sz w:val="20"/>
                <w:szCs w:val="20"/>
                <w:color w:val="auto"/>
              </w:rPr>
            </w:pPr>
            <w:r>
              <w:rPr>
                <w:rFonts w:ascii="Arial" w:cs="Arial" w:eastAsia="Arial" w:hAnsi="Arial"/>
                <w:sz w:val="16"/>
                <w:szCs w:val="16"/>
                <w:color w:val="auto"/>
              </w:rPr>
              <w:t>Indirect other cost</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3,862</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2,998</w:t>
            </w:r>
          </w:p>
        </w:tc>
        <w:tc>
          <w:tcPr>
            <w:tcW w:w="0" w:type="dxa"/>
            <w:vAlign w:val="bottom"/>
          </w:tcPr>
          <w:p>
            <w:pPr>
              <w:spacing w:after="0"/>
              <w:rPr>
                <w:sz w:val="1"/>
                <w:szCs w:val="1"/>
                <w:color w:val="auto"/>
              </w:rPr>
            </w:pPr>
          </w:p>
        </w:tc>
      </w:tr>
      <w:tr>
        <w:trPr>
          <w:trHeight w:val="236"/>
        </w:trPr>
        <w:tc>
          <w:tcPr>
            <w:tcW w:w="4420" w:type="dxa"/>
            <w:vAlign w:val="bottom"/>
          </w:tcPr>
          <w:p>
            <w:pPr>
              <w:ind w:left="660"/>
              <w:spacing w:after="0"/>
              <w:rPr>
                <w:sz w:val="20"/>
                <w:szCs w:val="20"/>
                <w:color w:val="auto"/>
              </w:rPr>
            </w:pPr>
            <w:r>
              <w:rPr>
                <w:rFonts w:ascii="Arial" w:cs="Arial" w:eastAsia="Arial" w:hAnsi="Arial"/>
                <w:sz w:val="16"/>
                <w:szCs w:val="16"/>
                <w:color w:val="auto"/>
              </w:rPr>
              <w:t>Total Australian cost of sales and services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92,468</w:t>
            </w:r>
          </w:p>
        </w:tc>
        <w:tc>
          <w:tcPr>
            <w:tcW w:w="2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76,720</w:t>
            </w:r>
          </w:p>
        </w:tc>
        <w:tc>
          <w:tcPr>
            <w:tcW w:w="0" w:type="dxa"/>
            <w:vAlign w:val="bottom"/>
          </w:tcPr>
          <w:p>
            <w:pPr>
              <w:spacing w:after="0"/>
              <w:rPr>
                <w:sz w:val="1"/>
                <w:szCs w:val="1"/>
                <w:color w:val="auto"/>
              </w:rPr>
            </w:pPr>
          </w:p>
        </w:tc>
      </w:tr>
      <w:tr>
        <w:trPr>
          <w:trHeight w:val="364"/>
        </w:trPr>
        <w:tc>
          <w:tcPr>
            <w:tcW w:w="442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83</w:t>
            </w:r>
          </w:p>
        </w:tc>
        <w:tc>
          <w:tcPr>
            <w:tcW w:w="20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365"/>
        </w:trPr>
        <w:tc>
          <w:tcPr>
            <w:tcW w:w="4420" w:type="dxa"/>
            <w:vAlign w:val="bottom"/>
          </w:tcPr>
          <w:p>
            <w:pPr>
              <w:ind w:left="240"/>
              <w:spacing w:after="0"/>
              <w:rPr>
                <w:sz w:val="20"/>
                <w:szCs w:val="20"/>
                <w:color w:val="auto"/>
              </w:rPr>
            </w:pPr>
            <w:r>
              <w:rPr>
                <w:rFonts w:ascii="Arial" w:cs="Arial" w:eastAsia="Arial" w:hAnsi="Arial"/>
                <w:sz w:val="16"/>
                <w:szCs w:val="16"/>
                <w:color w:val="auto"/>
              </w:rPr>
              <w:t>Billed rooms (5)</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675,502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625,636</w:t>
            </w:r>
          </w:p>
        </w:tc>
        <w:tc>
          <w:tcPr>
            <w:tcW w:w="0" w:type="dxa"/>
            <w:vAlign w:val="bottom"/>
          </w:tcPr>
          <w:p>
            <w:pPr>
              <w:spacing w:after="0"/>
              <w:rPr>
                <w:sz w:val="1"/>
                <w:szCs w:val="1"/>
                <w:color w:val="auto"/>
              </w:rPr>
            </w:pPr>
          </w:p>
        </w:tc>
      </w:tr>
      <w:tr>
        <w:trPr>
          <w:trHeight w:val="364"/>
        </w:trPr>
        <w:tc>
          <w:tcPr>
            <w:tcW w:w="4420" w:type="dxa"/>
            <w:vAlign w:val="bottom"/>
          </w:tcPr>
          <w:p>
            <w:pPr>
              <w:ind w:left="220"/>
              <w:spacing w:after="0"/>
              <w:rPr>
                <w:sz w:val="20"/>
                <w:szCs w:val="20"/>
                <w:color w:val="auto"/>
              </w:rPr>
            </w:pPr>
            <w:r>
              <w:rPr>
                <w:rFonts w:ascii="Arial" w:cs="Arial" w:eastAsia="Arial" w:hAnsi="Arial"/>
                <w:sz w:val="16"/>
                <w:szCs w:val="16"/>
                <w:color w:val="auto"/>
              </w:rPr>
              <w:t>Australian dollar to U.S. dollar</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0.695</w:t>
            </w:r>
          </w:p>
        </w:tc>
        <w:tc>
          <w:tcPr>
            <w:tcW w:w="20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0.628</w:t>
            </w:r>
          </w:p>
        </w:tc>
        <w:tc>
          <w:tcPr>
            <w:tcW w:w="0" w:type="dxa"/>
            <w:vAlign w:val="bottom"/>
          </w:tcPr>
          <w:p>
            <w:pPr>
              <w:spacing w:after="0"/>
              <w:rPr>
                <w:sz w:val="1"/>
                <w:szCs w:val="1"/>
                <w:color w:val="auto"/>
              </w:rPr>
            </w:pPr>
          </w:p>
        </w:tc>
      </w:tr>
      <w:tr>
        <w:trPr>
          <w:trHeight w:val="629"/>
        </w:trPr>
        <w:tc>
          <w:tcPr>
            <w:tcW w:w="4420" w:type="dxa"/>
            <w:vAlign w:val="bottom"/>
          </w:tcPr>
          <w:p>
            <w:pPr>
              <w:spacing w:after="0"/>
              <w:rPr>
                <w:sz w:val="20"/>
                <w:szCs w:val="20"/>
                <w:color w:val="auto"/>
              </w:rPr>
            </w:pPr>
            <w:r>
              <w:rPr>
                <w:rFonts w:ascii="Arial" w:cs="Arial" w:eastAsia="Arial" w:hAnsi="Arial"/>
                <w:sz w:val="16"/>
                <w:szCs w:val="16"/>
                <w:b w:val="1"/>
                <w:bCs w:val="1"/>
                <w:color w:val="auto"/>
              </w:rPr>
              <w:t>Supplemental Operating Data - Canadian Segment</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420" w:type="dxa"/>
            <w:vAlign w:val="bottom"/>
          </w:tcPr>
          <w:p>
            <w:pPr>
              <w:ind w:left="240"/>
              <w:spacing w:after="0"/>
              <w:rPr>
                <w:sz w:val="20"/>
                <w:szCs w:val="20"/>
                <w:color w:val="auto"/>
              </w:rPr>
            </w:pPr>
            <w:r>
              <w:rPr>
                <w:rFonts w:ascii="Arial" w:cs="Arial" w:eastAsia="Arial" w:hAnsi="Arial"/>
                <w:sz w:val="16"/>
                <w:szCs w:val="16"/>
                <w:color w:val="auto"/>
              </w:rPr>
              <w:t>Revenues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420" w:type="dxa"/>
            <w:vAlign w:val="bottom"/>
          </w:tcPr>
          <w:p>
            <w:pPr>
              <w:ind w:left="460"/>
              <w:spacing w:after="0"/>
              <w:rPr>
                <w:sz w:val="20"/>
                <w:szCs w:val="20"/>
                <w:color w:val="auto"/>
              </w:rPr>
            </w:pPr>
            <w:r>
              <w:rPr>
                <w:rFonts w:ascii="Arial" w:cs="Arial" w:eastAsia="Arial" w:hAnsi="Arial"/>
                <w:sz w:val="16"/>
                <w:szCs w:val="16"/>
                <w:color w:val="auto"/>
              </w:rPr>
              <w:t>Accommodation and associated services revenue (1)</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43,134</w:t>
            </w:r>
          </w:p>
        </w:tc>
        <w:tc>
          <w:tcPr>
            <w:tcW w:w="20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33,436</w:t>
            </w:r>
          </w:p>
        </w:tc>
        <w:tc>
          <w:tcPr>
            <w:tcW w:w="0" w:type="dxa"/>
            <w:vAlign w:val="bottom"/>
          </w:tcPr>
          <w:p>
            <w:pPr>
              <w:spacing w:after="0"/>
              <w:rPr>
                <w:sz w:val="1"/>
                <w:szCs w:val="1"/>
                <w:color w:val="auto"/>
              </w:rPr>
            </w:pPr>
          </w:p>
        </w:tc>
      </w:tr>
      <w:tr>
        <w:trPr>
          <w:trHeight w:val="164"/>
        </w:trPr>
        <w:tc>
          <w:tcPr>
            <w:tcW w:w="4420" w:type="dxa"/>
            <w:vAlign w:val="bottom"/>
          </w:tcPr>
          <w:p>
            <w:pPr>
              <w:ind w:left="460"/>
              <w:spacing w:after="0" w:line="164" w:lineRule="exact"/>
              <w:rPr>
                <w:sz w:val="20"/>
                <w:szCs w:val="20"/>
                <w:color w:val="auto"/>
              </w:rPr>
            </w:pPr>
            <w:r>
              <w:rPr>
                <w:rFonts w:ascii="Arial" w:cs="Arial" w:eastAsia="Arial" w:hAnsi="Arial"/>
                <w:sz w:val="16"/>
                <w:szCs w:val="16"/>
                <w:color w:val="auto"/>
              </w:rPr>
              <w:t>Mobile facility rental and associated services revenue</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1,038</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15"/>
        </w:trPr>
        <w:tc>
          <w:tcPr>
            <w:tcW w:w="4420" w:type="dxa"/>
            <w:vAlign w:val="bottom"/>
          </w:tcPr>
          <w:p>
            <w:pPr>
              <w:ind w:left="460"/>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420" w:type="dxa"/>
            <w:vAlign w:val="bottom"/>
          </w:tcPr>
          <w:p>
            <w:pPr>
              <w:ind w:left="460"/>
              <w:spacing w:after="0"/>
              <w:rPr>
                <w:sz w:val="20"/>
                <w:szCs w:val="20"/>
                <w:color w:val="auto"/>
              </w:rPr>
            </w:pPr>
            <w:r>
              <w:rPr>
                <w:rFonts w:ascii="Arial" w:cs="Arial" w:eastAsia="Arial" w:hAnsi="Arial"/>
                <w:sz w:val="16"/>
                <w:szCs w:val="16"/>
                <w:color w:val="auto"/>
              </w:rPr>
              <w:t>Integrated services and other services revenue (3)</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5,477</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6,743</w:t>
            </w:r>
          </w:p>
        </w:tc>
        <w:tc>
          <w:tcPr>
            <w:tcW w:w="0" w:type="dxa"/>
            <w:vAlign w:val="bottom"/>
          </w:tcPr>
          <w:p>
            <w:pPr>
              <w:spacing w:after="0"/>
              <w:rPr>
                <w:sz w:val="1"/>
                <w:szCs w:val="1"/>
                <w:color w:val="auto"/>
              </w:rPr>
            </w:pPr>
          </w:p>
        </w:tc>
      </w:tr>
      <w:tr>
        <w:trPr>
          <w:trHeight w:val="235"/>
        </w:trPr>
        <w:tc>
          <w:tcPr>
            <w:tcW w:w="4420" w:type="dxa"/>
            <w:vAlign w:val="bottom"/>
          </w:tcPr>
          <w:p>
            <w:pPr>
              <w:ind w:left="680"/>
              <w:spacing w:after="0"/>
              <w:rPr>
                <w:sz w:val="20"/>
                <w:szCs w:val="20"/>
                <w:color w:val="auto"/>
              </w:rPr>
            </w:pPr>
            <w:r>
              <w:rPr>
                <w:rFonts w:ascii="Arial" w:cs="Arial" w:eastAsia="Arial" w:hAnsi="Arial"/>
                <w:sz w:val="16"/>
                <w:szCs w:val="16"/>
                <w:color w:val="auto"/>
              </w:rPr>
              <w:t>Total Canadian revenues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49,649</w:t>
            </w:r>
          </w:p>
        </w:tc>
        <w:tc>
          <w:tcPr>
            <w:tcW w:w="2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40,398</w:t>
            </w:r>
          </w:p>
        </w:tc>
        <w:tc>
          <w:tcPr>
            <w:tcW w:w="0" w:type="dxa"/>
            <w:vAlign w:val="bottom"/>
          </w:tcPr>
          <w:p>
            <w:pPr>
              <w:spacing w:after="0"/>
              <w:rPr>
                <w:sz w:val="1"/>
                <w:szCs w:val="1"/>
                <w:color w:val="auto"/>
              </w:rPr>
            </w:pPr>
          </w:p>
        </w:tc>
      </w:tr>
      <w:tr>
        <w:trPr>
          <w:trHeight w:val="365"/>
        </w:trPr>
        <w:tc>
          <w:tcPr>
            <w:tcW w:w="4420" w:type="dxa"/>
            <w:vAlign w:val="bottom"/>
          </w:tcPr>
          <w:p>
            <w:pPr>
              <w:ind w:left="200"/>
              <w:spacing w:after="0"/>
              <w:rPr>
                <w:sz w:val="20"/>
                <w:szCs w:val="20"/>
                <w:color w:val="auto"/>
              </w:rPr>
            </w:pPr>
            <w:r>
              <w:rPr>
                <w:rFonts w:ascii="Arial" w:cs="Arial" w:eastAsia="Arial" w:hAnsi="Arial"/>
                <w:sz w:val="16"/>
                <w:szCs w:val="16"/>
                <w:color w:val="auto"/>
              </w:rPr>
              <w:t>Costs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420" w:type="dxa"/>
            <w:vAlign w:val="bottom"/>
          </w:tcPr>
          <w:p>
            <w:pPr>
              <w:ind w:left="460"/>
              <w:spacing w:after="0"/>
              <w:rPr>
                <w:sz w:val="20"/>
                <w:szCs w:val="20"/>
                <w:color w:val="auto"/>
              </w:rPr>
            </w:pPr>
            <w:r>
              <w:rPr>
                <w:rFonts w:ascii="Arial" w:cs="Arial" w:eastAsia="Arial" w:hAnsi="Arial"/>
                <w:sz w:val="16"/>
                <w:szCs w:val="16"/>
                <w:color w:val="auto"/>
              </w:rPr>
              <w:t>Accommodation and associated services cost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32,124</w:t>
            </w:r>
          </w:p>
        </w:tc>
        <w:tc>
          <w:tcPr>
            <w:tcW w:w="20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28,865</w:t>
            </w:r>
          </w:p>
        </w:tc>
        <w:tc>
          <w:tcPr>
            <w:tcW w:w="0" w:type="dxa"/>
            <w:vAlign w:val="bottom"/>
          </w:tcPr>
          <w:p>
            <w:pPr>
              <w:spacing w:after="0"/>
              <w:rPr>
                <w:sz w:val="1"/>
                <w:szCs w:val="1"/>
                <w:color w:val="auto"/>
              </w:rPr>
            </w:pPr>
          </w:p>
        </w:tc>
      </w:tr>
      <w:tr>
        <w:trPr>
          <w:trHeight w:val="257"/>
        </w:trPr>
        <w:tc>
          <w:tcPr>
            <w:tcW w:w="4420" w:type="dxa"/>
            <w:vAlign w:val="bottom"/>
          </w:tcPr>
          <w:p>
            <w:pPr>
              <w:ind w:left="460"/>
              <w:spacing w:after="0"/>
              <w:rPr>
                <w:sz w:val="20"/>
                <w:szCs w:val="20"/>
                <w:color w:val="auto"/>
              </w:rPr>
            </w:pPr>
            <w:r>
              <w:rPr>
                <w:rFonts w:ascii="Arial" w:cs="Arial" w:eastAsia="Arial" w:hAnsi="Arial"/>
                <w:sz w:val="16"/>
                <w:szCs w:val="16"/>
                <w:color w:val="auto"/>
              </w:rPr>
              <w:t>Mobile facility rental and associated services cost</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679</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4420" w:type="dxa"/>
            <w:vAlign w:val="bottom"/>
          </w:tcPr>
          <w:p>
            <w:pPr>
              <w:ind w:left="460"/>
              <w:spacing w:after="0"/>
              <w:rPr>
                <w:sz w:val="20"/>
                <w:szCs w:val="20"/>
                <w:color w:val="auto"/>
              </w:rPr>
            </w:pPr>
            <w:r>
              <w:rPr>
                <w:rFonts w:ascii="Arial" w:cs="Arial" w:eastAsia="Arial" w:hAnsi="Arial"/>
                <w:sz w:val="16"/>
                <w:szCs w:val="16"/>
                <w:color w:val="auto"/>
              </w:rPr>
              <w:t>Integrated services and other services cost</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5,077</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6,473</w:t>
            </w:r>
          </w:p>
        </w:tc>
        <w:tc>
          <w:tcPr>
            <w:tcW w:w="0" w:type="dxa"/>
            <w:vAlign w:val="bottom"/>
          </w:tcPr>
          <w:p>
            <w:pPr>
              <w:spacing w:after="0"/>
              <w:rPr>
                <w:sz w:val="1"/>
                <w:szCs w:val="1"/>
                <w:color w:val="auto"/>
              </w:rPr>
            </w:pPr>
          </w:p>
        </w:tc>
      </w:tr>
      <w:tr>
        <w:trPr>
          <w:trHeight w:val="258"/>
        </w:trPr>
        <w:tc>
          <w:tcPr>
            <w:tcW w:w="4420" w:type="dxa"/>
            <w:vAlign w:val="bottom"/>
          </w:tcPr>
          <w:p>
            <w:pPr>
              <w:ind w:left="460"/>
              <w:spacing w:after="0"/>
              <w:rPr>
                <w:sz w:val="20"/>
                <w:szCs w:val="20"/>
                <w:color w:val="auto"/>
              </w:rPr>
            </w:pPr>
            <w:r>
              <w:rPr>
                <w:rFonts w:ascii="Arial" w:cs="Arial" w:eastAsia="Arial" w:hAnsi="Arial"/>
                <w:sz w:val="16"/>
                <w:szCs w:val="16"/>
                <w:color w:val="auto"/>
              </w:rPr>
              <w:t>Indirect other cost</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2,147</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2,307</w:t>
            </w:r>
          </w:p>
        </w:tc>
        <w:tc>
          <w:tcPr>
            <w:tcW w:w="0" w:type="dxa"/>
            <w:vAlign w:val="bottom"/>
          </w:tcPr>
          <w:p>
            <w:pPr>
              <w:spacing w:after="0"/>
              <w:rPr>
                <w:sz w:val="1"/>
                <w:szCs w:val="1"/>
                <w:color w:val="auto"/>
              </w:rPr>
            </w:pPr>
          </w:p>
        </w:tc>
      </w:tr>
      <w:tr>
        <w:trPr>
          <w:trHeight w:val="236"/>
        </w:trPr>
        <w:tc>
          <w:tcPr>
            <w:tcW w:w="4420" w:type="dxa"/>
            <w:vAlign w:val="bottom"/>
          </w:tcPr>
          <w:p>
            <w:pPr>
              <w:ind w:left="660"/>
              <w:spacing w:after="0"/>
              <w:rPr>
                <w:sz w:val="20"/>
                <w:szCs w:val="20"/>
                <w:color w:val="auto"/>
              </w:rPr>
            </w:pPr>
            <w:r>
              <w:rPr>
                <w:rFonts w:ascii="Arial" w:cs="Arial" w:eastAsia="Arial" w:hAnsi="Arial"/>
                <w:sz w:val="16"/>
                <w:szCs w:val="16"/>
                <w:color w:val="auto"/>
              </w:rPr>
              <w:t>Total Canadian cost of sales and services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40,027</w:t>
            </w:r>
          </w:p>
        </w:tc>
        <w:tc>
          <w:tcPr>
            <w:tcW w:w="2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37,645</w:t>
            </w:r>
          </w:p>
        </w:tc>
        <w:tc>
          <w:tcPr>
            <w:tcW w:w="0" w:type="dxa"/>
            <w:vAlign w:val="bottom"/>
          </w:tcPr>
          <w:p>
            <w:pPr>
              <w:spacing w:after="0"/>
              <w:rPr>
                <w:sz w:val="1"/>
                <w:szCs w:val="1"/>
                <w:color w:val="auto"/>
              </w:rPr>
            </w:pPr>
          </w:p>
        </w:tc>
      </w:tr>
      <w:tr>
        <w:trPr>
          <w:trHeight w:val="310"/>
        </w:trPr>
        <w:tc>
          <w:tcPr>
            <w:tcW w:w="442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99</w:t>
            </w:r>
          </w:p>
        </w:tc>
        <w:tc>
          <w:tcPr>
            <w:tcW w:w="20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351"/>
        </w:trPr>
        <w:tc>
          <w:tcPr>
            <w:tcW w:w="4420" w:type="dxa"/>
            <w:vAlign w:val="bottom"/>
          </w:tcPr>
          <w:p>
            <w:pPr>
              <w:ind w:left="240"/>
              <w:spacing w:after="0"/>
              <w:rPr>
                <w:sz w:val="20"/>
                <w:szCs w:val="20"/>
                <w:color w:val="auto"/>
              </w:rPr>
            </w:pPr>
            <w:r>
              <w:rPr>
                <w:rFonts w:ascii="Arial" w:cs="Arial" w:eastAsia="Arial" w:hAnsi="Arial"/>
                <w:sz w:val="16"/>
                <w:szCs w:val="16"/>
                <w:color w:val="auto"/>
              </w:rPr>
              <w:t>Billed rooms (5)</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433,590</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358,697</w:t>
            </w:r>
          </w:p>
        </w:tc>
        <w:tc>
          <w:tcPr>
            <w:tcW w:w="0" w:type="dxa"/>
            <w:vAlign w:val="bottom"/>
          </w:tcPr>
          <w:p>
            <w:pPr>
              <w:spacing w:after="0"/>
              <w:rPr>
                <w:sz w:val="1"/>
                <w:szCs w:val="1"/>
                <w:color w:val="auto"/>
              </w:rPr>
            </w:pPr>
          </w:p>
        </w:tc>
      </w:tr>
      <w:tr>
        <w:trPr>
          <w:trHeight w:val="365"/>
        </w:trPr>
        <w:tc>
          <w:tcPr>
            <w:tcW w:w="4420" w:type="dxa"/>
            <w:vAlign w:val="bottom"/>
          </w:tcPr>
          <w:p>
            <w:pPr>
              <w:ind w:left="240"/>
              <w:spacing w:after="0"/>
              <w:rPr>
                <w:sz w:val="20"/>
                <w:szCs w:val="20"/>
                <w:color w:val="auto"/>
              </w:rPr>
            </w:pPr>
            <w:r>
              <w:rPr>
                <w:rFonts w:ascii="Arial" w:cs="Arial" w:eastAsia="Arial" w:hAnsi="Arial"/>
                <w:sz w:val="16"/>
                <w:szCs w:val="16"/>
                <w:color w:val="auto"/>
              </w:rPr>
              <w:t>Canadian dollar to U.S. dollar</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0.729</w:t>
            </w:r>
          </w:p>
        </w:tc>
        <w:tc>
          <w:tcPr>
            <w:tcW w:w="20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0.697</w:t>
            </w:r>
          </w:p>
        </w:tc>
        <w:tc>
          <w:tcPr>
            <w:tcW w:w="0" w:type="dxa"/>
            <w:vAlign w:val="bottom"/>
          </w:tcPr>
          <w:p>
            <w:pPr>
              <w:spacing w:after="0"/>
              <w:rPr>
                <w:sz w:val="1"/>
                <w:szCs w:val="1"/>
                <w:color w:val="auto"/>
              </w:rPr>
            </w:pPr>
          </w:p>
        </w:tc>
      </w:tr>
    </w:tbl>
    <w:p>
      <w:pPr>
        <w:spacing w:after="0" w:line="312" w:lineRule="exact"/>
        <w:rPr>
          <w:sz w:val="20"/>
          <w:szCs w:val="20"/>
          <w:color w:val="auto"/>
        </w:rPr>
      </w:pPr>
    </w:p>
    <w:p>
      <w:pPr>
        <w:ind w:left="312" w:hanging="312"/>
        <w:spacing w:after="0"/>
        <w:tabs>
          <w:tab w:leader="none" w:pos="312"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revenues related to village and lodge rooms and hospitality services for owned rooms for the periods presented.</w:t>
      </w:r>
    </w:p>
    <w:p>
      <w:pPr>
        <w:spacing w:after="0" w:line="30" w:lineRule="exact"/>
        <w:rPr>
          <w:rFonts w:ascii="Arial" w:cs="Arial" w:eastAsia="Arial" w:hAnsi="Arial"/>
          <w:sz w:val="16"/>
          <w:szCs w:val="16"/>
          <w:color w:val="auto"/>
        </w:rPr>
      </w:pPr>
    </w:p>
    <w:p>
      <w:pPr>
        <w:ind w:left="312" w:hanging="312"/>
        <w:spacing w:after="0"/>
        <w:tabs>
          <w:tab w:leader="none" w:pos="312"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revenues related to mobile assets for the periods presented.</w:t>
      </w:r>
    </w:p>
    <w:p>
      <w:pPr>
        <w:spacing w:after="0" w:line="8" w:lineRule="exact"/>
        <w:rPr>
          <w:rFonts w:ascii="Arial" w:cs="Arial" w:eastAsia="Arial" w:hAnsi="Arial"/>
          <w:sz w:val="16"/>
          <w:szCs w:val="16"/>
          <w:color w:val="auto"/>
        </w:rPr>
      </w:pPr>
    </w:p>
    <w:p>
      <w:pPr>
        <w:ind w:left="332" w:hanging="332"/>
        <w:spacing w:after="0" w:line="252" w:lineRule="auto"/>
        <w:tabs>
          <w:tab w:leader="none" w:pos="327"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revenues related to food service and other services, including laundry, facilities management and water and wastewater treatment services, for the periods presented.</w:t>
      </w:r>
    </w:p>
    <w:p>
      <w:pPr>
        <w:spacing w:after="0" w:line="1" w:lineRule="exact"/>
        <w:rPr>
          <w:rFonts w:ascii="Arial" w:cs="Arial" w:eastAsia="Arial" w:hAnsi="Arial"/>
          <w:sz w:val="16"/>
          <w:szCs w:val="16"/>
          <w:color w:val="auto"/>
        </w:rPr>
      </w:pPr>
    </w:p>
    <w:p>
      <w:pPr>
        <w:ind w:left="312" w:hanging="312"/>
        <w:spacing w:after="0"/>
        <w:tabs>
          <w:tab w:leader="none" w:pos="312" w:val="left"/>
        </w:tabs>
        <w:numPr>
          <w:ilvl w:val="0"/>
          <w:numId w:val="4"/>
        </w:numPr>
        <w:rPr>
          <w:rFonts w:ascii="Arial" w:cs="Arial" w:eastAsia="Arial" w:hAnsi="Arial"/>
          <w:sz w:val="16"/>
          <w:szCs w:val="16"/>
          <w:color w:val="auto"/>
        </w:rPr>
      </w:pPr>
      <w:r>
        <w:rPr>
          <w:rFonts w:ascii="Arial" w:cs="Arial" w:eastAsia="Arial" w:hAnsi="Arial"/>
          <w:sz w:val="16"/>
          <w:szCs w:val="16"/>
          <w:color w:val="auto"/>
        </w:rPr>
        <w:t>Average daily rate is based on billed rooms and accommodation revenue in our owned villages and lodges.</w:t>
      </w:r>
    </w:p>
    <w:p>
      <w:pPr>
        <w:spacing w:after="0" w:line="8" w:lineRule="exact"/>
        <w:rPr>
          <w:rFonts w:ascii="Arial" w:cs="Arial" w:eastAsia="Arial" w:hAnsi="Arial"/>
          <w:sz w:val="16"/>
          <w:szCs w:val="16"/>
          <w:color w:val="auto"/>
        </w:rPr>
      </w:pPr>
    </w:p>
    <w:p>
      <w:pPr>
        <w:ind w:left="312" w:hanging="312"/>
        <w:spacing w:after="0"/>
        <w:tabs>
          <w:tab w:leader="none" w:pos="312" w:val="left"/>
        </w:tabs>
        <w:numPr>
          <w:ilvl w:val="0"/>
          <w:numId w:val="4"/>
        </w:numPr>
        <w:rPr>
          <w:rFonts w:ascii="Arial" w:cs="Arial" w:eastAsia="Arial" w:hAnsi="Arial"/>
          <w:sz w:val="16"/>
          <w:szCs w:val="16"/>
          <w:color w:val="auto"/>
        </w:rPr>
      </w:pPr>
      <w:r>
        <w:rPr>
          <w:rFonts w:ascii="Arial" w:cs="Arial" w:eastAsia="Arial" w:hAnsi="Arial"/>
          <w:sz w:val="16"/>
          <w:szCs w:val="16"/>
          <w:color w:val="auto"/>
        </w:rPr>
        <w:t>Billed rooms represents total billed days for owned assets for the periods presented.</w:t>
      </w:r>
    </w:p>
    <w:p>
      <w:pPr>
        <w:sectPr>
          <w:pgSz w:w="11900" w:h="16838" w:orient="portrait"/>
          <w:cols w:equalWidth="0" w:num="1">
            <w:col w:w="11172"/>
          </w:cols>
          <w:pgMar w:left="328" w:top="89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1"/>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51"/>
        <w:spacing w:after="0"/>
        <w:rPr>
          <w:sz w:val="20"/>
          <w:szCs w:val="20"/>
          <w:color w:val="auto"/>
        </w:rPr>
      </w:pPr>
      <w:r>
        <w:rPr>
          <w:rFonts w:ascii="Arial" w:cs="Arial" w:eastAsia="Arial" w:hAnsi="Arial"/>
          <w:sz w:val="16"/>
          <w:szCs w:val="16"/>
          <w:b w:val="1"/>
          <w:bCs w:val="1"/>
          <w:color w:val="auto"/>
        </w:rPr>
        <w:t>SUPPLEMENTAL OPERATIONS BY SERVICE TYPE BY REGION DATA</w:t>
      </w:r>
    </w:p>
    <w:p>
      <w:pPr>
        <w:sectPr>
          <w:pgSz w:w="11900" w:h="16838" w:orient="portrait"/>
          <w:cols w:equalWidth="0" w:num="1">
            <w:col w:w="11172"/>
          </w:cols>
          <w:pgMar w:left="328" w:top="895" w:right="39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(U.S. dollars in thousands)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27"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The following table sets forth certain supplemental data for our Australia and Canada segment revenues attributable to the asset-light (“Catering and Facility Management”) portion of the Company’s business and the asset-intensive (“Accommodations and Infrastructure”) portion of the Company’s business. We provide Catering and Facility Management services to both customer-owned assets and Company-</w:t>
      </w:r>
    </w:p>
    <w:p>
      <w:pPr>
        <w:spacing w:after="0" w:line="2"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owned villages and lodges. When we provide Catering and Facility Management services to customer-owned assets, it is reflected in “Food and other services” in our Supplemental Quarterly Segment and Operating Data. However, when we provide those same services to</w:t>
      </w:r>
    </w:p>
    <w:p>
      <w:pPr>
        <w:spacing w:after="0" w:line="2"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customers at our owned villages and lodges, it is reflected in “Accommodation and other services”, which also includes the Accommodations and Infrastructure component of our owned villages and lodges. This is because we bill our customers in one combined rate for both Accommodations and Infrastructure services and Catering and Facility Management services at Company-owned villages and lodges.</w:t>
      </w:r>
    </w:p>
    <w:p>
      <w:pPr>
        <w:spacing w:after="0" w:line="187"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The purpose of the disclosure below is to disaggregate the embedded Catering and Facility Management revenues from the “Accommodation and other services” revenues associated with our owned villages and lodges that is included in our Supplemental Quarterly Segment and Operating Data. To do so, we apply a margin that is equal to Civeo’s margin in similar services we provide to customer-owned assets to the cost of sales that are associated with Catering and Facility Management services within “Accommodation and other services” for our owned villages and lodges. This table provides investors a supplemental view of the services provided by the Company which could assist with their valuation analysis.</w:t>
      </w:r>
    </w:p>
    <w:p>
      <w:pPr>
        <w:spacing w:after="0" w:line="200" w:lineRule="exact"/>
        <w:rPr>
          <w:sz w:val="20"/>
          <w:szCs w:val="20"/>
          <w:color w:val="auto"/>
        </w:rPr>
      </w:pP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6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Three months ended March 31, 2026</w:t>
            </w:r>
          </w:p>
        </w:tc>
        <w:tc>
          <w:tcPr>
            <w:tcW w:w="6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Three months ended March 31, 2025</w:t>
            </w: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Australia</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Canada</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Australia</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Canada</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3580" w:type="dxa"/>
            <w:vAlign w:val="bottom"/>
            <w:gridSpan w:val="2"/>
          </w:tcPr>
          <w:p>
            <w:pPr>
              <w:spacing w:after="0" w:line="144" w:lineRule="exact"/>
              <w:rPr>
                <w:sz w:val="20"/>
                <w:szCs w:val="20"/>
                <w:color w:val="auto"/>
              </w:rPr>
            </w:pPr>
            <w:r>
              <w:rPr>
                <w:rFonts w:ascii="Arial" w:cs="Arial" w:eastAsia="Arial" w:hAnsi="Arial"/>
                <w:sz w:val="14"/>
                <w:szCs w:val="14"/>
                <w:b w:val="1"/>
                <w:bCs w:val="1"/>
                <w:color w:val="auto"/>
              </w:rPr>
              <w:t>Revenues</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90,905</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28,494</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99"/>
              </w:rPr>
              <w:t>119,399</w:t>
            </w:r>
          </w:p>
        </w:tc>
        <w:tc>
          <w:tcPr>
            <w:tcW w:w="2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76,659</w:t>
            </w:r>
          </w:p>
        </w:tc>
        <w:tc>
          <w:tcPr>
            <w:tcW w:w="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25,649</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102,308</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580" w:type="dxa"/>
            <w:vAlign w:val="bottom"/>
            <w:gridSpan w:val="2"/>
          </w:tcPr>
          <w:p>
            <w:pPr>
              <w:spacing w:after="0"/>
              <w:rPr>
                <w:sz w:val="20"/>
                <w:szCs w:val="20"/>
                <w:color w:val="auto"/>
              </w:rPr>
            </w:pPr>
            <w:r>
              <w:rPr>
                <w:rFonts w:ascii="Arial" w:cs="Arial" w:eastAsia="Arial" w:hAnsi="Arial"/>
                <w:sz w:val="14"/>
                <w:szCs w:val="14"/>
                <w:color w:val="auto"/>
              </w:rPr>
              <w:t>Asset Light: Catering and Facility management</w:t>
            </w:r>
          </w:p>
        </w:tc>
        <w:tc>
          <w:tcPr>
            <w:tcW w:w="12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580" w:type="dxa"/>
            <w:vAlign w:val="bottom"/>
            <w:gridSpan w:val="2"/>
          </w:tcPr>
          <w:p>
            <w:pPr>
              <w:spacing w:after="0"/>
              <w:rPr>
                <w:sz w:val="20"/>
                <w:szCs w:val="20"/>
                <w:color w:val="auto"/>
              </w:rPr>
            </w:pPr>
            <w:r>
              <w:rPr>
                <w:rFonts w:ascii="Arial" w:cs="Arial" w:eastAsia="Arial" w:hAnsi="Arial"/>
                <w:sz w:val="14"/>
                <w:szCs w:val="14"/>
                <w:color w:val="auto"/>
              </w:rPr>
              <w:t>Asset Intensive: Accommodations and Infrastructure</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53,268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26,987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14,749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41,736</w:t>
            </w:r>
          </w:p>
        </w:tc>
        <w:tc>
          <w:tcPr>
            <w:tcW w:w="0" w:type="dxa"/>
            <w:vAlign w:val="bottom"/>
          </w:tcPr>
          <w:p>
            <w:pPr>
              <w:spacing w:after="0"/>
              <w:rPr>
                <w:sz w:val="1"/>
                <w:szCs w:val="1"/>
                <w:color w:val="auto"/>
              </w:rPr>
            </w:pPr>
          </w:p>
        </w:tc>
      </w:tr>
      <w:tr>
        <w:trPr>
          <w:trHeight w:val="213"/>
        </w:trPr>
        <w:tc>
          <w:tcPr>
            <w:tcW w:w="3580" w:type="dxa"/>
            <w:vAlign w:val="bottom"/>
            <w:gridSpan w:val="2"/>
          </w:tcPr>
          <w:p>
            <w:pPr>
              <w:spacing w:after="0"/>
              <w:rPr>
                <w:sz w:val="20"/>
                <w:szCs w:val="20"/>
                <w:color w:val="auto"/>
              </w:rPr>
            </w:pPr>
            <w:r>
              <w:rPr>
                <w:rFonts w:ascii="Arial" w:cs="Arial" w:eastAsia="Arial" w:hAnsi="Arial"/>
                <w:sz w:val="14"/>
                <w:szCs w:val="14"/>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123,018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49,649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172,667</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103,646</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40,398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144,044</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5" w:right="339" w:bottom="1440" w:gutter="0" w:footer="0" w:header="0"/>
        </w:sectPr>
      </w:pPr>
    </w:p>
    <w:bookmarkStart w:id="13" w:name="page14"/>
    <w:bookmarkEnd w:id="13"/>
    <w:p>
      <w:pPr>
        <w:jc w:val="center"/>
        <w:ind w:right="-91"/>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91"/>
        <w:spacing w:after="0"/>
        <w:rPr>
          <w:sz w:val="20"/>
          <w:szCs w:val="20"/>
          <w:color w:val="auto"/>
        </w:rPr>
      </w:pPr>
      <w:r>
        <w:rPr>
          <w:rFonts w:ascii="Arial" w:cs="Arial" w:eastAsia="Arial" w:hAnsi="Arial"/>
          <w:sz w:val="16"/>
          <w:szCs w:val="16"/>
          <w:b w:val="1"/>
          <w:bCs w:val="1"/>
          <w:color w:val="auto"/>
        </w:rPr>
        <w:t>NON-GAAP RECONCILIATIONS</w:t>
      </w:r>
    </w:p>
    <w:p>
      <w:pPr>
        <w:spacing w:after="0" w:line="19" w:lineRule="exact"/>
        <w:rPr>
          <w:sz w:val="20"/>
          <w:szCs w:val="20"/>
          <w:color w:val="auto"/>
        </w:rPr>
      </w:pPr>
    </w:p>
    <w:p>
      <w:pPr>
        <w:jc w:val="center"/>
        <w:ind w:right="-91"/>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91"/>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75" w:lineRule="exact"/>
        <w:rPr>
          <w:sz w:val="20"/>
          <w:szCs w:val="20"/>
          <w:color w:val="auto"/>
        </w:rPr>
      </w:pPr>
    </w:p>
    <w:tbl>
      <w:tblPr>
        <w:tblLayout w:type="fixed"/>
        <w:tblInd w:w="2712" w:type="dxa"/>
        <w:tblCellMar>
          <w:top w:w="0" w:type="dxa"/>
          <w:left w:w="0" w:type="dxa"/>
          <w:bottom w:w="0" w:type="dxa"/>
          <w:right w:w="0" w:type="dxa"/>
        </w:tblCellMar>
      </w:tblPr>
      <w:tr>
        <w:trPr>
          <w:trHeight w:val="184"/>
        </w:trPr>
        <w:tc>
          <w:tcPr>
            <w:tcW w:w="1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1280" w:type="dxa"/>
            <w:vAlign w:val="bottom"/>
          </w:tcPr>
          <w:p>
            <w:pPr>
              <w:jc w:val="center"/>
              <w:ind w:right="39"/>
              <w:spacing w:after="0"/>
              <w:rPr>
                <w:sz w:val="20"/>
                <w:szCs w:val="20"/>
                <w:color w:val="auto"/>
              </w:rPr>
            </w:pPr>
            <w:r>
              <w:rPr>
                <w:rFonts w:ascii="Arial" w:cs="Arial" w:eastAsia="Arial" w:hAnsi="Arial"/>
                <w:sz w:val="16"/>
                <w:szCs w:val="16"/>
                <w:b w:val="1"/>
                <w:bCs w:val="1"/>
                <w:color w:val="auto"/>
              </w:rPr>
              <w:t>Twelve Months</w:t>
            </w:r>
          </w:p>
        </w:tc>
      </w:tr>
      <w:tr>
        <w:trPr>
          <w:trHeight w:val="223"/>
        </w:trPr>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center"/>
              <w:spacing w:after="0"/>
              <w:rPr>
                <w:sz w:val="20"/>
                <w:szCs w:val="20"/>
                <w:color w:val="auto"/>
              </w:rPr>
            </w:pPr>
            <w:r>
              <w:rPr>
                <w:rFonts w:ascii="Arial" w:cs="Arial" w:eastAsia="Arial" w:hAnsi="Arial"/>
                <w:sz w:val="16"/>
                <w:szCs w:val="16"/>
                <w:b w:val="1"/>
                <w:bCs w:val="1"/>
                <w:color w:val="auto"/>
              </w:rPr>
              <w:t>Ended March 31,</w:t>
            </w:r>
          </w:p>
        </w:tc>
      </w:tr>
      <w:tr>
        <w:trPr>
          <w:trHeight w:val="263"/>
        </w:trPr>
        <w:tc>
          <w:tcPr>
            <w:tcW w:w="17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2026</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3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2026</w:t>
            </w:r>
          </w:p>
        </w:tc>
      </w:tr>
      <w:tr>
        <w:trPr>
          <w:trHeight w:val="518"/>
        </w:trPr>
        <w:tc>
          <w:tcPr>
            <w:tcW w:w="1720" w:type="dxa"/>
            <w:vAlign w:val="bottom"/>
          </w:tcPr>
          <w:p>
            <w:pPr>
              <w:spacing w:after="0"/>
              <w:rPr>
                <w:sz w:val="20"/>
                <w:szCs w:val="20"/>
                <w:color w:val="auto"/>
              </w:rPr>
            </w:pPr>
            <w:r>
              <w:rPr>
                <w:rFonts w:ascii="Arial" w:cs="Arial" w:eastAsia="Arial" w:hAnsi="Arial"/>
                <w:sz w:val="16"/>
                <w:szCs w:val="16"/>
                <w:color w:val="auto"/>
              </w:rPr>
              <w:t>EBITDA (1)</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20,365</w:t>
            </w:r>
          </w:p>
        </w:tc>
        <w:tc>
          <w:tcPr>
            <w:tcW w:w="18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11,092</w:t>
            </w:r>
          </w:p>
        </w:tc>
        <w:tc>
          <w:tcPr>
            <w:tcW w:w="3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86,694</w:t>
            </w:r>
          </w:p>
        </w:tc>
      </w:tr>
      <w:tr>
        <w:trPr>
          <w:trHeight w:val="270"/>
        </w:trPr>
        <w:tc>
          <w:tcPr>
            <w:tcW w:w="1720" w:type="dxa"/>
            <w:vAlign w:val="bottom"/>
          </w:tcPr>
          <w:p>
            <w:pPr>
              <w:spacing w:after="0"/>
              <w:rPr>
                <w:sz w:val="20"/>
                <w:szCs w:val="20"/>
                <w:color w:val="auto"/>
              </w:rPr>
            </w:pPr>
            <w:r>
              <w:rPr>
                <w:rFonts w:ascii="Arial" w:cs="Arial" w:eastAsia="Arial" w:hAnsi="Arial"/>
                <w:sz w:val="16"/>
                <w:szCs w:val="16"/>
                <w:color w:val="auto"/>
              </w:rPr>
              <w:t>Adjusted EBITDA (1)</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22,529</w:t>
            </w:r>
          </w:p>
        </w:tc>
        <w:tc>
          <w:tcPr>
            <w:tcW w:w="180" w:type="dxa"/>
            <w:vAlign w:val="bottom"/>
          </w:tcPr>
          <w:p>
            <w:pPr>
              <w:spacing w:after="0"/>
              <w:rPr>
                <w:sz w:val="23"/>
                <w:szCs w:val="23"/>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12,655</w:t>
            </w:r>
          </w:p>
        </w:tc>
        <w:tc>
          <w:tcPr>
            <w:tcW w:w="36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98,051</w:t>
            </w:r>
          </w:p>
        </w:tc>
      </w:tr>
      <w:tr>
        <w:trPr>
          <w:trHeight w:val="270"/>
        </w:trPr>
        <w:tc>
          <w:tcPr>
            <w:tcW w:w="1720" w:type="dxa"/>
            <w:vAlign w:val="bottom"/>
          </w:tcPr>
          <w:p>
            <w:pPr>
              <w:spacing w:after="0"/>
              <w:rPr>
                <w:sz w:val="20"/>
                <w:szCs w:val="20"/>
                <w:color w:val="auto"/>
              </w:rPr>
            </w:pPr>
            <w:r>
              <w:rPr>
                <w:rFonts w:ascii="Arial" w:cs="Arial" w:eastAsia="Arial" w:hAnsi="Arial"/>
                <w:sz w:val="16"/>
                <w:szCs w:val="16"/>
                <w:color w:val="auto"/>
              </w:rPr>
              <w:t>Net Leverage Ratio (2)</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2.2x</w:t>
            </w:r>
          </w:p>
        </w:tc>
      </w:tr>
    </w:tbl>
    <w:p>
      <w:pPr>
        <w:spacing w:after="0" w:line="312" w:lineRule="exact"/>
        <w:rPr>
          <w:sz w:val="20"/>
          <w:szCs w:val="20"/>
          <w:color w:val="auto"/>
        </w:rPr>
      </w:pPr>
    </w:p>
    <w:p>
      <w:pPr>
        <w:ind w:left="332" w:right="2180" w:hanging="332"/>
        <w:spacing w:after="0" w:line="256" w:lineRule="auto"/>
        <w:tabs>
          <w:tab w:leader="none" w:pos="327"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term EBITDA is a non-GAAP financial measure that is defined as net income (loss) attributable to Civeo Corporation plus interest, taxes, depreciation and amortization. The term Adjusted EBITDA is a non-GAAP financial measure that is</w:t>
      </w:r>
    </w:p>
    <w:p>
      <w:pPr>
        <w:spacing w:after="0" w:line="1" w:lineRule="exact"/>
        <w:rPr>
          <w:rFonts w:ascii="Arial" w:cs="Arial" w:eastAsia="Arial" w:hAnsi="Arial"/>
          <w:sz w:val="16"/>
          <w:szCs w:val="16"/>
          <w:color w:val="auto"/>
        </w:rPr>
      </w:pPr>
    </w:p>
    <w:p>
      <w:pPr>
        <w:ind w:left="332"/>
        <w:spacing w:after="0"/>
        <w:rPr>
          <w:rFonts w:ascii="Arial" w:cs="Arial" w:eastAsia="Arial" w:hAnsi="Arial"/>
          <w:sz w:val="16"/>
          <w:szCs w:val="16"/>
          <w:color w:val="auto"/>
        </w:rPr>
      </w:pPr>
      <w:r>
        <w:rPr>
          <w:rFonts w:ascii="Arial" w:cs="Arial" w:eastAsia="Arial" w:hAnsi="Arial"/>
          <w:sz w:val="16"/>
          <w:szCs w:val="16"/>
          <w:color w:val="auto"/>
        </w:rPr>
        <w:t>defined as EBITDA adjusted to exclude certain other unusual or non-operating items.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Civeo has included EBITDA and Adjusted EBITDA as supplemental disclosures because its management believes that EBITDA and Adjusted EBITDA provide useful information regarding its ability to service debt and to fund capital expenditures and provide investors a helpful measure for comparing Civeo's operating performance with the performance of other companies that have different financing and capital structures or tax rates. Civeo uses EBITDA and Adjusted EBITDA to compare and to monitor the performance of its business segments to other comparable public companies and as a benchmark for the award of incentive compensation under its annual incentive compensation plan.</w:t>
      </w:r>
    </w:p>
    <w:p>
      <w:pPr>
        <w:spacing w:after="0" w:line="218" w:lineRule="exact"/>
        <w:rPr>
          <w:rFonts w:ascii="Arial" w:cs="Arial" w:eastAsia="Arial" w:hAnsi="Arial"/>
          <w:sz w:val="16"/>
          <w:szCs w:val="16"/>
          <w:color w:val="auto"/>
        </w:rPr>
      </w:pPr>
    </w:p>
    <w:p>
      <w:pPr>
        <w:ind w:left="332" w:right="20"/>
        <w:spacing w:after="0" w:line="286"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EBITDA and Adjusted EBITDA to net income (loss) attributable to Civeo Corporation, which is the most directly comparable measure of financial performance calculated under generally accepted accounting principles (in thousands) (unaudited):</w:t>
      </w:r>
    </w:p>
    <w:p>
      <w:pPr>
        <w:spacing w:after="0" w:line="200" w:lineRule="exact"/>
        <w:rPr>
          <w:sz w:val="20"/>
          <w:szCs w:val="20"/>
          <w:color w:val="auto"/>
        </w:rPr>
      </w:pPr>
    </w:p>
    <w:p>
      <w:pPr>
        <w:spacing w:after="0" w:line="218" w:lineRule="exact"/>
        <w:rPr>
          <w:sz w:val="20"/>
          <w:szCs w:val="20"/>
          <w:color w:val="auto"/>
        </w:rPr>
      </w:pPr>
    </w:p>
    <w:tbl>
      <w:tblPr>
        <w:tblLayout w:type="fixed"/>
        <w:tblInd w:w="1912" w:type="dxa"/>
        <w:tblCellMar>
          <w:top w:w="0" w:type="dxa"/>
          <w:left w:w="0" w:type="dxa"/>
          <w:bottom w:w="0" w:type="dxa"/>
          <w:right w:w="0" w:type="dxa"/>
        </w:tblCellMar>
      </w:tblPr>
      <w:tr>
        <w:trPr>
          <w:trHeight w:val="184"/>
        </w:trPr>
        <w:tc>
          <w:tcPr>
            <w:tcW w:w="3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6"/>
                <w:szCs w:val="16"/>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Twelve Months</w:t>
            </w:r>
          </w:p>
        </w:tc>
      </w:tr>
      <w:tr>
        <w:trPr>
          <w:trHeight w:val="223"/>
        </w:trPr>
        <w:tc>
          <w:tcPr>
            <w:tcW w:w="3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center"/>
              <w:spacing w:after="0"/>
              <w:rPr>
                <w:sz w:val="20"/>
                <w:szCs w:val="20"/>
                <w:color w:val="auto"/>
              </w:rPr>
            </w:pPr>
            <w:r>
              <w:rPr>
                <w:rFonts w:ascii="Arial" w:cs="Arial" w:eastAsia="Arial" w:hAnsi="Arial"/>
                <w:sz w:val="16"/>
                <w:szCs w:val="16"/>
                <w:b w:val="1"/>
                <w:bCs w:val="1"/>
                <w:color w:val="auto"/>
              </w:rPr>
              <w:t>Ended March 31,</w:t>
            </w:r>
          </w:p>
        </w:tc>
      </w:tr>
      <w:tr>
        <w:trPr>
          <w:trHeight w:val="263"/>
        </w:trPr>
        <w:tc>
          <w:tcPr>
            <w:tcW w:w="34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2026</w:t>
            </w:r>
          </w:p>
        </w:tc>
        <w:tc>
          <w:tcPr>
            <w:tcW w:w="1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2026</w:t>
            </w:r>
          </w:p>
        </w:tc>
      </w:tr>
      <w:tr>
        <w:trPr>
          <w:trHeight w:val="518"/>
        </w:trPr>
        <w:tc>
          <w:tcPr>
            <w:tcW w:w="3420" w:type="dxa"/>
            <w:vAlign w:val="bottom"/>
          </w:tcPr>
          <w:p>
            <w:pPr>
              <w:spacing w:after="0"/>
              <w:rPr>
                <w:sz w:val="20"/>
                <w:szCs w:val="20"/>
                <w:color w:val="auto"/>
              </w:rPr>
            </w:pPr>
            <w:r>
              <w:rPr>
                <w:rFonts w:ascii="Arial" w:cs="Arial" w:eastAsia="Arial" w:hAnsi="Arial"/>
                <w:sz w:val="16"/>
                <w:szCs w:val="16"/>
                <w:color w:val="auto"/>
              </w:rPr>
              <w:t>Net loss attributable to Civeo Corporation</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(3,808)</w:t>
            </w:r>
          </w:p>
        </w:tc>
        <w:tc>
          <w:tcPr>
            <w:tcW w:w="18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(9,842)</w:t>
            </w: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(14,037)</w:t>
            </w:r>
          </w:p>
        </w:tc>
      </w:tr>
      <w:tr>
        <w:trPr>
          <w:trHeight w:val="270"/>
        </w:trPr>
        <w:tc>
          <w:tcPr>
            <w:tcW w:w="3420" w:type="dxa"/>
            <w:vAlign w:val="bottom"/>
          </w:tcPr>
          <w:p>
            <w:pPr>
              <w:spacing w:after="0"/>
              <w:rPr>
                <w:sz w:val="20"/>
                <w:szCs w:val="20"/>
                <w:color w:val="auto"/>
              </w:rPr>
            </w:pPr>
            <w:r>
              <w:rPr>
                <w:rFonts w:ascii="Arial" w:cs="Arial" w:eastAsia="Arial" w:hAnsi="Arial"/>
                <w:sz w:val="16"/>
                <w:szCs w:val="16"/>
                <w:color w:val="auto"/>
              </w:rPr>
              <w:t>Income tax expense</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3,141</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3,088</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13,673</w:t>
            </w:r>
          </w:p>
        </w:tc>
      </w:tr>
      <w:tr>
        <w:trPr>
          <w:trHeight w:val="270"/>
        </w:trPr>
        <w:tc>
          <w:tcPr>
            <w:tcW w:w="342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17,308</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16,253</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73,673</w:t>
            </w:r>
          </w:p>
        </w:tc>
      </w:tr>
      <w:tr>
        <w:trPr>
          <w:trHeight w:val="270"/>
        </w:trPr>
        <w:tc>
          <w:tcPr>
            <w:tcW w:w="3420" w:type="dxa"/>
            <w:vAlign w:val="bottom"/>
          </w:tcPr>
          <w:p>
            <w:pPr>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(176)</w:t>
            </w:r>
          </w:p>
        </w:tc>
      </w:tr>
      <w:tr>
        <w:trPr>
          <w:trHeight w:val="271"/>
        </w:trPr>
        <w:tc>
          <w:tcPr>
            <w:tcW w:w="3420" w:type="dxa"/>
            <w:vAlign w:val="bottom"/>
          </w:tcPr>
          <w:p>
            <w:pPr>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3,762</w:t>
            </w:r>
          </w:p>
        </w:tc>
        <w:tc>
          <w:tcPr>
            <w:tcW w:w="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1,619</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13,561</w:t>
            </w:r>
          </w:p>
        </w:tc>
      </w:tr>
      <w:tr>
        <w:trPr>
          <w:trHeight w:val="249"/>
        </w:trPr>
        <w:tc>
          <w:tcPr>
            <w:tcW w:w="3420" w:type="dxa"/>
            <w:vAlign w:val="bottom"/>
          </w:tcPr>
          <w:p>
            <w:pPr>
              <w:spacing w:after="0"/>
              <w:rPr>
                <w:sz w:val="20"/>
                <w:szCs w:val="20"/>
                <w:color w:val="auto"/>
              </w:rPr>
            </w:pPr>
            <w:r>
              <w:rPr>
                <w:rFonts w:ascii="Arial" w:cs="Arial" w:eastAsia="Arial" w:hAnsi="Arial"/>
                <w:sz w:val="16"/>
                <w:szCs w:val="16"/>
                <w:color w:val="auto"/>
              </w:rPr>
              <w:t>EBITDA</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20,365</w:t>
            </w:r>
          </w:p>
        </w:tc>
        <w:tc>
          <w:tcPr>
            <w:tcW w:w="180" w:type="dxa"/>
            <w:vAlign w:val="bottom"/>
          </w:tcPr>
          <w:p>
            <w:pPr>
              <w:spacing w:after="0"/>
              <w:rPr>
                <w:sz w:val="21"/>
                <w:szCs w:val="21"/>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11,092</w:t>
            </w:r>
          </w:p>
        </w:tc>
        <w:tc>
          <w:tcPr>
            <w:tcW w:w="1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86,694</w:t>
            </w:r>
          </w:p>
        </w:tc>
      </w:tr>
      <w:tr>
        <w:trPr>
          <w:trHeight w:val="250"/>
        </w:trPr>
        <w:tc>
          <w:tcPr>
            <w:tcW w:w="3420" w:type="dxa"/>
            <w:vAlign w:val="bottom"/>
          </w:tcPr>
          <w:p>
            <w:pPr>
              <w:spacing w:after="0"/>
              <w:rPr>
                <w:sz w:val="20"/>
                <w:szCs w:val="20"/>
                <w:color w:val="auto"/>
              </w:rPr>
            </w:pPr>
            <w:r>
              <w:rPr>
                <w:rFonts w:ascii="Arial" w:cs="Arial" w:eastAsia="Arial" w:hAnsi="Arial"/>
                <w:sz w:val="16"/>
                <w:szCs w:val="16"/>
                <w:color w:val="auto"/>
              </w:rPr>
              <w:t>Adjustments to EBITDA</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0"/>
        </w:trPr>
        <w:tc>
          <w:tcPr>
            <w:tcW w:w="3420" w:type="dxa"/>
            <w:vAlign w:val="bottom"/>
          </w:tcPr>
          <w:p>
            <w:pPr>
              <w:ind w:left="220"/>
              <w:spacing w:after="0"/>
              <w:rPr>
                <w:sz w:val="20"/>
                <w:szCs w:val="20"/>
                <w:color w:val="auto"/>
              </w:rPr>
            </w:pPr>
            <w:r>
              <w:rPr>
                <w:rFonts w:ascii="Arial" w:cs="Arial" w:eastAsia="Arial" w:hAnsi="Arial"/>
                <w:sz w:val="16"/>
                <w:szCs w:val="16"/>
                <w:color w:val="auto"/>
              </w:rPr>
              <w:t>Cost saving initiatives (a)</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1,502</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964</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2,723</w:t>
            </w:r>
          </w:p>
        </w:tc>
      </w:tr>
      <w:tr>
        <w:trPr>
          <w:trHeight w:val="270"/>
        </w:trPr>
        <w:tc>
          <w:tcPr>
            <w:tcW w:w="3420" w:type="dxa"/>
            <w:vAlign w:val="bottom"/>
          </w:tcPr>
          <w:p>
            <w:pPr>
              <w:ind w:left="220"/>
              <w:spacing w:after="0"/>
              <w:rPr>
                <w:sz w:val="20"/>
                <w:szCs w:val="20"/>
                <w:color w:val="auto"/>
              </w:rPr>
            </w:pPr>
            <w:r>
              <w:rPr>
                <w:rFonts w:ascii="Arial" w:cs="Arial" w:eastAsia="Arial" w:hAnsi="Arial"/>
                <w:sz w:val="16"/>
                <w:szCs w:val="16"/>
                <w:color w:val="auto"/>
              </w:rPr>
              <w:t>Share-based compensation (b)</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252</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599</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2,713</w:t>
            </w:r>
          </w:p>
        </w:tc>
      </w:tr>
      <w:tr>
        <w:trPr>
          <w:trHeight w:val="271"/>
        </w:trPr>
        <w:tc>
          <w:tcPr>
            <w:tcW w:w="3420" w:type="dxa"/>
            <w:vAlign w:val="bottom"/>
          </w:tcPr>
          <w:p>
            <w:pPr>
              <w:ind w:left="220"/>
              <w:spacing w:after="0"/>
              <w:rPr>
                <w:sz w:val="20"/>
                <w:szCs w:val="20"/>
                <w:color w:val="auto"/>
              </w:rPr>
            </w:pPr>
            <w:r>
              <w:rPr>
                <w:rFonts w:ascii="Arial" w:cs="Arial" w:eastAsia="Arial" w:hAnsi="Arial"/>
                <w:sz w:val="16"/>
                <w:szCs w:val="16"/>
                <w:color w:val="auto"/>
              </w:rPr>
              <w:t>Shareholder activist costs</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410</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5,921</w:t>
            </w:r>
          </w:p>
        </w:tc>
      </w:tr>
      <w:tr>
        <w:trPr>
          <w:trHeight w:val="224"/>
        </w:trPr>
        <w:tc>
          <w:tcPr>
            <w:tcW w:w="3420" w:type="dxa"/>
            <w:vAlign w:val="bottom"/>
          </w:tcPr>
          <w:p>
            <w:pPr>
              <w:spacing w:after="0"/>
              <w:rPr>
                <w:sz w:val="20"/>
                <w:szCs w:val="20"/>
                <w:color w:val="auto"/>
              </w:rPr>
            </w:pPr>
            <w:r>
              <w:rPr>
                <w:rFonts w:ascii="Arial" w:cs="Arial" w:eastAsia="Arial" w:hAnsi="Arial"/>
                <w:sz w:val="16"/>
                <w:szCs w:val="16"/>
                <w:color w:val="auto"/>
              </w:rPr>
              <w:t>Adjusted EBITDA</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22,529</w:t>
            </w: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12,655</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98,051</w:t>
            </w:r>
          </w:p>
        </w:tc>
      </w:tr>
      <w:tr>
        <w:trPr>
          <w:trHeight w:val="20"/>
        </w:trPr>
        <w:tc>
          <w:tcPr>
            <w:tcW w:w="3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652" w:hanging="328"/>
        <w:spacing w:after="0"/>
        <w:tabs>
          <w:tab w:leader="none" w:pos="652"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implementation costs (primarily severance costs and real estate expense rationalization) incurred as part of cost savings initiatives.</w:t>
      </w:r>
    </w:p>
    <w:p>
      <w:pPr>
        <w:spacing w:after="0" w:line="261" w:lineRule="exact"/>
        <w:rPr>
          <w:rFonts w:ascii="Arial" w:cs="Arial" w:eastAsia="Arial" w:hAnsi="Arial"/>
          <w:sz w:val="16"/>
          <w:szCs w:val="16"/>
          <w:color w:val="auto"/>
        </w:rPr>
      </w:pPr>
    </w:p>
    <w:p>
      <w:pPr>
        <w:ind w:left="652" w:right="200" w:hanging="328"/>
        <w:spacing w:after="0" w:line="286" w:lineRule="auto"/>
        <w:tabs>
          <w:tab w:leader="none" w:pos="647"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share-based compensation expense associated with performance share awards, restricted share awards, restricted share units and deferred share awards.</w:t>
      </w:r>
    </w:p>
    <w:p>
      <w:pPr>
        <w:sectPr>
          <w:pgSz w:w="11900" w:h="16838" w:orient="portrait"/>
          <w:cols w:equalWidth="0" w:num="1">
            <w:col w:w="11132"/>
          </w:cols>
          <w:pgMar w:left="328" w:top="895" w:right="439" w:bottom="1440" w:gutter="0" w:footer="0" w:header="0"/>
        </w:sectPr>
      </w:pPr>
    </w:p>
    <w:bookmarkStart w:id="14" w:name="page15"/>
    <w:bookmarkEnd w:id="14"/>
    <w:p>
      <w:pPr>
        <w:spacing w:after="0" w:line="184" w:lineRule="exact"/>
        <w:rPr>
          <w:sz w:val="20"/>
          <w:szCs w:val="20"/>
          <w:color w:val="auto"/>
        </w:rPr>
      </w:pPr>
    </w:p>
    <w:p>
      <w:pPr>
        <w:ind w:left="332" w:right="1680" w:hanging="332"/>
        <w:spacing w:after="0" w:line="258" w:lineRule="auto"/>
        <w:tabs>
          <w:tab w:leader="none" w:pos="32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term net leverage ratio is a non-GAAP financial measure that is defined as net debt divided by bank-adjusted EBITDA. Net debt, bank-adjusted EBITDA and net leverage ratio are not financial measures under GAAP and should not be considered in isolation from or as a substitute for total debt, net income (loss) or cash flow measures prepared in accordance with GAAP or as a measure of profitability or liquidity. Additionally, net debt, bank-adjusted EBITDA and net leverage ratio may not be comparable to other similarly titled measures of other companies. Civeo has included net debt, bank-adjusted EBITDA and net leverage ratio as a supplemental disclosure because its management believes that this data provides useful information regarding the level of the Company’s indebtedness and its ability to service debt. Additionally, per Civeo’s credit agreement, the Company is required to maintain a net leverage ratio below 3.0x every quarter to remain in compliance with the credit agreement.</w:t>
      </w:r>
    </w:p>
    <w:p>
      <w:pPr>
        <w:spacing w:after="0" w:line="217" w:lineRule="exact"/>
        <w:rPr>
          <w:rFonts w:ascii="Arial" w:cs="Arial" w:eastAsia="Arial" w:hAnsi="Arial"/>
          <w:sz w:val="16"/>
          <w:szCs w:val="16"/>
          <w:color w:val="auto"/>
        </w:rPr>
      </w:pPr>
    </w:p>
    <w:p>
      <w:pPr>
        <w:ind w:left="332"/>
        <w:spacing w:after="0" w:line="286"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net debt, bank-adjusted EBITDA and net leverage ratio to the most directly comparable measures of financial performance calculated under GAAP (in thousands) (unaudited):</w:t>
      </w:r>
    </w:p>
    <w:p>
      <w:pPr>
        <w:spacing w:after="0" w:line="223" w:lineRule="exact"/>
        <w:rPr>
          <w:sz w:val="20"/>
          <w:szCs w:val="20"/>
          <w:color w:val="auto"/>
        </w:rPr>
      </w:pPr>
    </w:p>
    <w:tbl>
      <w:tblPr>
        <w:tblLayout w:type="fixed"/>
        <w:tblInd w:w="352"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b w:val="1"/>
                <w:bCs w:val="1"/>
                <w:color w:val="auto"/>
              </w:rPr>
              <w:t>As of March 31,</w:t>
            </w:r>
          </w:p>
        </w:tc>
      </w:tr>
      <w:tr>
        <w:trPr>
          <w:trHeight w:val="217"/>
        </w:trPr>
        <w:tc>
          <w:tcPr>
            <w:tcW w:w="6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2026</w:t>
            </w:r>
          </w:p>
        </w:tc>
      </w:tr>
      <w:tr>
        <w:trPr>
          <w:trHeight w:val="464"/>
        </w:trPr>
        <w:tc>
          <w:tcPr>
            <w:tcW w:w="6260" w:type="dxa"/>
            <w:vAlign w:val="bottom"/>
          </w:tcPr>
          <w:p>
            <w:pPr>
              <w:spacing w:after="0"/>
              <w:rPr>
                <w:sz w:val="20"/>
                <w:szCs w:val="20"/>
                <w:color w:val="auto"/>
              </w:rPr>
            </w:pPr>
            <w:r>
              <w:rPr>
                <w:rFonts w:ascii="Arial" w:cs="Arial" w:eastAsia="Arial" w:hAnsi="Arial"/>
                <w:sz w:val="16"/>
                <w:szCs w:val="16"/>
                <w:color w:val="auto"/>
              </w:rPr>
              <w:t>Total debt (including finance lease obligations)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215,425</w:t>
            </w:r>
          </w:p>
        </w:tc>
      </w:tr>
      <w:tr>
        <w:trPr>
          <w:trHeight w:val="217"/>
        </w:trPr>
        <w:tc>
          <w:tcPr>
            <w:tcW w:w="6260" w:type="dxa"/>
            <w:vAlign w:val="bottom"/>
          </w:tcPr>
          <w:p>
            <w:pPr>
              <w:spacing w:after="0"/>
              <w:rPr>
                <w:sz w:val="20"/>
                <w:szCs w:val="20"/>
                <w:color w:val="auto"/>
              </w:rPr>
            </w:pPr>
            <w:r>
              <w:rPr>
                <w:rFonts w:ascii="Arial" w:cs="Arial" w:eastAsia="Arial" w:hAnsi="Arial"/>
                <w:sz w:val="16"/>
                <w:szCs w:val="16"/>
                <w:color w:val="auto"/>
              </w:rPr>
              <w:t>Less: Cash and cash equivalents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16,549</w:t>
            </w:r>
          </w:p>
        </w:tc>
      </w:tr>
      <w:tr>
        <w:trPr>
          <w:trHeight w:val="211"/>
        </w:trPr>
        <w:tc>
          <w:tcPr>
            <w:tcW w:w="6260" w:type="dxa"/>
            <w:vAlign w:val="bottom"/>
          </w:tcPr>
          <w:p>
            <w:pPr>
              <w:ind w:left="100"/>
              <w:spacing w:after="0"/>
              <w:rPr>
                <w:sz w:val="20"/>
                <w:szCs w:val="20"/>
                <w:color w:val="auto"/>
              </w:rPr>
            </w:pPr>
            <w:r>
              <w:rPr>
                <w:rFonts w:ascii="Arial" w:cs="Arial" w:eastAsia="Arial" w:hAnsi="Arial"/>
                <w:sz w:val="16"/>
                <w:szCs w:val="16"/>
                <w:color w:val="auto"/>
              </w:rPr>
              <w:t>Net debt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198,876</w:t>
            </w:r>
          </w:p>
        </w:tc>
      </w:tr>
      <w:tr>
        <w:trPr>
          <w:trHeight w:val="20"/>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450"/>
        </w:trPr>
        <w:tc>
          <w:tcPr>
            <w:tcW w:w="6260" w:type="dxa"/>
            <w:vAlign w:val="bottom"/>
          </w:tcPr>
          <w:p>
            <w:pPr>
              <w:spacing w:after="0"/>
              <w:rPr>
                <w:sz w:val="20"/>
                <w:szCs w:val="20"/>
                <w:color w:val="auto"/>
              </w:rPr>
            </w:pPr>
            <w:r>
              <w:rPr>
                <w:rFonts w:ascii="Arial" w:cs="Arial" w:eastAsia="Arial" w:hAnsi="Arial"/>
                <w:sz w:val="16"/>
                <w:szCs w:val="16"/>
                <w:color w:val="auto"/>
              </w:rPr>
              <w:t>Adjusted EBITDA for the twelve months ended March 31, 2026 (a)</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98,051</w:t>
            </w:r>
          </w:p>
        </w:tc>
      </w:tr>
      <w:tr>
        <w:trPr>
          <w:trHeight w:val="216"/>
        </w:trPr>
        <w:tc>
          <w:tcPr>
            <w:tcW w:w="6260" w:type="dxa"/>
            <w:vAlign w:val="bottom"/>
          </w:tcPr>
          <w:p>
            <w:pPr>
              <w:spacing w:after="0"/>
              <w:rPr>
                <w:sz w:val="20"/>
                <w:szCs w:val="20"/>
                <w:color w:val="auto"/>
              </w:rPr>
            </w:pPr>
            <w:r>
              <w:rPr>
                <w:rFonts w:ascii="Arial" w:cs="Arial" w:eastAsia="Arial" w:hAnsi="Arial"/>
                <w:sz w:val="16"/>
                <w:szCs w:val="16"/>
                <w:color w:val="auto"/>
              </w:rPr>
              <w:t>Adjustments to Adjusted EBITDA</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6260" w:type="dxa"/>
            <w:vAlign w:val="bottom"/>
          </w:tcPr>
          <w:p>
            <w:pPr>
              <w:ind w:left="100"/>
              <w:spacing w:after="0"/>
              <w:rPr>
                <w:sz w:val="20"/>
                <w:szCs w:val="20"/>
                <w:color w:val="auto"/>
              </w:rPr>
            </w:pPr>
            <w:r>
              <w:rPr>
                <w:rFonts w:ascii="Arial" w:cs="Arial" w:eastAsia="Arial" w:hAnsi="Arial"/>
                <w:sz w:val="16"/>
                <w:szCs w:val="16"/>
                <w:color w:val="auto"/>
              </w:rPr>
              <w:t>Acquisition pro-forma EBITDA</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1,982</w:t>
            </w:r>
          </w:p>
        </w:tc>
      </w:tr>
      <w:tr>
        <w:trPr>
          <w:trHeight w:val="216"/>
        </w:trPr>
        <w:tc>
          <w:tcPr>
            <w:tcW w:w="6260" w:type="dxa"/>
            <w:vAlign w:val="bottom"/>
          </w:tcPr>
          <w:p>
            <w:pPr>
              <w:ind w:left="10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176</w:t>
            </w:r>
          </w:p>
        </w:tc>
      </w:tr>
      <w:tr>
        <w:trPr>
          <w:trHeight w:val="216"/>
        </w:trPr>
        <w:tc>
          <w:tcPr>
            <w:tcW w:w="6260" w:type="dxa"/>
            <w:vAlign w:val="bottom"/>
          </w:tcPr>
          <w:p>
            <w:pPr>
              <w:ind w:left="100"/>
              <w:spacing w:after="0"/>
              <w:rPr>
                <w:sz w:val="20"/>
                <w:szCs w:val="20"/>
                <w:color w:val="auto"/>
              </w:rPr>
            </w:pPr>
            <w:r>
              <w:rPr>
                <w:rFonts w:ascii="Arial" w:cs="Arial" w:eastAsia="Arial" w:hAnsi="Arial"/>
                <w:sz w:val="16"/>
                <w:szCs w:val="16"/>
                <w:color w:val="auto"/>
              </w:rPr>
              <w:t>Cost saving initiatives (b)</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(2,723)</w:t>
            </w:r>
          </w:p>
        </w:tc>
      </w:tr>
      <w:tr>
        <w:trPr>
          <w:trHeight w:val="217"/>
        </w:trPr>
        <w:tc>
          <w:tcPr>
            <w:tcW w:w="6260" w:type="dxa"/>
            <w:vAlign w:val="bottom"/>
          </w:tcPr>
          <w:p>
            <w:pPr>
              <w:ind w:left="100"/>
              <w:spacing w:after="0"/>
              <w:rPr>
                <w:sz w:val="20"/>
                <w:szCs w:val="20"/>
                <w:color w:val="auto"/>
              </w:rPr>
            </w:pPr>
            <w:r>
              <w:rPr>
                <w:rFonts w:ascii="Arial" w:cs="Arial" w:eastAsia="Arial" w:hAnsi="Arial"/>
                <w:sz w:val="16"/>
                <w:szCs w:val="16"/>
                <w:color w:val="auto"/>
              </w:rPr>
              <w:t>Shareholder activist costs (b)</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(5,921)</w:t>
            </w:r>
          </w:p>
        </w:tc>
      </w:tr>
      <w:tr>
        <w:trPr>
          <w:trHeight w:val="210"/>
        </w:trPr>
        <w:tc>
          <w:tcPr>
            <w:tcW w:w="6260" w:type="dxa"/>
            <w:vAlign w:val="bottom"/>
          </w:tcPr>
          <w:p>
            <w:pPr>
              <w:ind w:left="200"/>
              <w:spacing w:after="0"/>
              <w:rPr>
                <w:sz w:val="20"/>
                <w:szCs w:val="20"/>
                <w:color w:val="auto"/>
              </w:rPr>
            </w:pPr>
            <w:r>
              <w:rPr>
                <w:rFonts w:ascii="Arial" w:cs="Arial" w:eastAsia="Arial" w:hAnsi="Arial"/>
                <w:sz w:val="16"/>
                <w:szCs w:val="16"/>
                <w:color w:val="auto"/>
              </w:rPr>
              <w:t>Bank-adjusted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91,565</w:t>
            </w:r>
          </w:p>
        </w:tc>
      </w:tr>
      <w:tr>
        <w:trPr>
          <w:trHeight w:val="20"/>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450"/>
        </w:trPr>
        <w:tc>
          <w:tcPr>
            <w:tcW w:w="6260" w:type="dxa"/>
            <w:vAlign w:val="bottom"/>
          </w:tcPr>
          <w:p>
            <w:pPr>
              <w:ind w:left="100"/>
              <w:spacing w:after="0"/>
              <w:rPr>
                <w:sz w:val="20"/>
                <w:szCs w:val="20"/>
                <w:color w:val="auto"/>
              </w:rPr>
            </w:pPr>
            <w:r>
              <w:rPr>
                <w:rFonts w:ascii="Arial" w:cs="Arial" w:eastAsia="Arial" w:hAnsi="Arial"/>
                <w:sz w:val="16"/>
                <w:szCs w:val="16"/>
                <w:color w:val="auto"/>
              </w:rPr>
              <w:t>Net leverage ratio (c)</w:t>
            </w: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2.2x</w:t>
            </w:r>
          </w:p>
        </w:tc>
      </w:tr>
    </w:tbl>
    <w:p>
      <w:pPr>
        <w:spacing w:after="0" w:line="200" w:lineRule="exact"/>
        <w:rPr>
          <w:sz w:val="20"/>
          <w:szCs w:val="20"/>
          <w:color w:val="auto"/>
        </w:rPr>
      </w:pPr>
    </w:p>
    <w:p>
      <w:pPr>
        <w:spacing w:after="0" w:line="220" w:lineRule="exact"/>
        <w:rPr>
          <w:sz w:val="20"/>
          <w:szCs w:val="20"/>
          <w:color w:val="auto"/>
        </w:rPr>
      </w:pPr>
    </w:p>
    <w:p>
      <w:pPr>
        <w:ind w:left="572" w:hanging="230"/>
        <w:spacing w:after="0"/>
        <w:tabs>
          <w:tab w:leader="none" w:pos="572" w:val="left"/>
        </w:tabs>
        <w:numPr>
          <w:ilvl w:val="0"/>
          <w:numId w:val="8"/>
        </w:numPr>
        <w:rPr>
          <w:rFonts w:ascii="Arial" w:cs="Arial" w:eastAsia="Arial" w:hAnsi="Arial"/>
          <w:sz w:val="16"/>
          <w:szCs w:val="16"/>
          <w:color w:val="auto"/>
        </w:rPr>
      </w:pPr>
      <w:r>
        <w:rPr>
          <w:rFonts w:ascii="Arial" w:cs="Arial" w:eastAsia="Arial" w:hAnsi="Arial"/>
          <w:sz w:val="16"/>
          <w:szCs w:val="16"/>
          <w:color w:val="auto"/>
        </w:rPr>
        <w:t>See footnote 1 above for reconciliation of Adjusted EBITDA to net loss attributable to Civeo Corporation.</w:t>
      </w:r>
    </w:p>
    <w:p>
      <w:pPr>
        <w:spacing w:after="0" w:line="32" w:lineRule="exact"/>
        <w:rPr>
          <w:rFonts w:ascii="Arial" w:cs="Arial" w:eastAsia="Arial" w:hAnsi="Arial"/>
          <w:sz w:val="16"/>
          <w:szCs w:val="16"/>
          <w:color w:val="auto"/>
        </w:rPr>
      </w:pPr>
    </w:p>
    <w:p>
      <w:pPr>
        <w:ind w:left="592" w:hanging="250"/>
        <w:spacing w:after="0"/>
        <w:tabs>
          <w:tab w:leader="none" w:pos="592"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Adjustments to EBITDA not allowed to be adjusted by our credit facility.</w:t>
      </w:r>
    </w:p>
    <w:p>
      <w:pPr>
        <w:spacing w:after="0" w:line="32" w:lineRule="exact"/>
        <w:rPr>
          <w:rFonts w:ascii="Arial" w:cs="Arial" w:eastAsia="Arial" w:hAnsi="Arial"/>
          <w:sz w:val="16"/>
          <w:szCs w:val="16"/>
          <w:color w:val="auto"/>
        </w:rPr>
      </w:pPr>
    </w:p>
    <w:p>
      <w:pPr>
        <w:ind w:left="572" w:hanging="230"/>
        <w:spacing w:after="0"/>
        <w:tabs>
          <w:tab w:leader="none" w:pos="572" w:val="left"/>
        </w:tabs>
        <w:numPr>
          <w:ilvl w:val="0"/>
          <w:numId w:val="8"/>
        </w:numPr>
        <w:rPr>
          <w:rFonts w:ascii="Arial" w:cs="Arial" w:eastAsia="Arial" w:hAnsi="Arial"/>
          <w:sz w:val="16"/>
          <w:szCs w:val="16"/>
          <w:color w:val="auto"/>
        </w:rPr>
      </w:pPr>
      <w:r>
        <w:rPr>
          <w:rFonts w:ascii="Arial" w:cs="Arial" w:eastAsia="Arial" w:hAnsi="Arial"/>
          <w:sz w:val="16"/>
          <w:szCs w:val="16"/>
          <w:color w:val="auto"/>
        </w:rPr>
        <w:t>Calculated as net debt divided by bank-adjusted EBITDA.</w:t>
      </w:r>
    </w:p>
    <w:p>
      <w:pPr>
        <w:sectPr>
          <w:pgSz w:w="11900" w:h="16838" w:orient="portrait"/>
          <w:cols w:equalWidth="0" w:num="1">
            <w:col w:w="10912"/>
          </w:cols>
          <w:pgMar w:left="328" w:top="1440" w:right="659" w:bottom="1440" w:gutter="0" w:footer="0" w:header="0"/>
        </w:sectPr>
      </w:pPr>
    </w:p>
    <w:bookmarkStart w:id="15" w:name="page16"/>
    <w:bookmarkEnd w:id="15"/>
    <w:p>
      <w:pPr>
        <w:jc w:val="center"/>
        <w:ind w:right="-231"/>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231"/>
        <w:spacing w:after="0"/>
        <w:rPr>
          <w:sz w:val="20"/>
          <w:szCs w:val="20"/>
          <w:color w:val="auto"/>
        </w:rPr>
      </w:pPr>
      <w:r>
        <w:rPr>
          <w:rFonts w:ascii="Arial" w:cs="Arial" w:eastAsia="Arial" w:hAnsi="Arial"/>
          <w:sz w:val="16"/>
          <w:szCs w:val="16"/>
          <w:b w:val="1"/>
          <w:bCs w:val="1"/>
          <w:color w:val="auto"/>
        </w:rPr>
        <w:t>NON-GAAP RECONCILIATIONS - GUIDANCE</w:t>
      </w:r>
    </w:p>
    <w:p>
      <w:pPr>
        <w:spacing w:after="0" w:line="19" w:lineRule="exact"/>
        <w:rPr>
          <w:sz w:val="20"/>
          <w:szCs w:val="20"/>
          <w:color w:val="auto"/>
        </w:rPr>
      </w:pPr>
    </w:p>
    <w:p>
      <w:pPr>
        <w:ind w:left="5152"/>
        <w:spacing w:after="0"/>
        <w:rPr>
          <w:sz w:val="20"/>
          <w:szCs w:val="20"/>
          <w:color w:val="auto"/>
        </w:rPr>
      </w:pPr>
      <w:r>
        <w:rPr>
          <w:rFonts w:ascii="Arial" w:cs="Arial" w:eastAsia="Arial" w:hAnsi="Arial"/>
          <w:sz w:val="16"/>
          <w:szCs w:val="16"/>
          <w:b w:val="1"/>
          <w:bCs w:val="1"/>
          <w:color w:val="auto"/>
        </w:rPr>
        <w:t>(in millions)</w:t>
      </w:r>
    </w:p>
    <w:p>
      <w:pPr>
        <w:spacing w:after="0" w:line="5" w:lineRule="exact"/>
        <w:rPr>
          <w:sz w:val="20"/>
          <w:szCs w:val="20"/>
          <w:color w:val="auto"/>
        </w:rPr>
      </w:pPr>
    </w:p>
    <w:p>
      <w:pPr>
        <w:ind w:left="5172"/>
        <w:spacing w:after="0"/>
        <w:rPr>
          <w:sz w:val="20"/>
          <w:szCs w:val="20"/>
          <w:color w:val="auto"/>
        </w:rPr>
      </w:pPr>
      <w:r>
        <w:rPr>
          <w:rFonts w:ascii="Arial" w:cs="Arial" w:eastAsia="Arial" w:hAnsi="Arial"/>
          <w:sz w:val="16"/>
          <w:szCs w:val="16"/>
          <w:b w:val="1"/>
          <w:bCs w:val="1"/>
          <w:color w:val="auto"/>
        </w:rPr>
        <w:t>(unaudited)</w:t>
      </w:r>
    </w:p>
    <w:p>
      <w:pPr>
        <w:spacing w:after="0" w:line="286" w:lineRule="exact"/>
        <w:rPr>
          <w:sz w:val="20"/>
          <w:szCs w:val="20"/>
          <w:color w:val="auto"/>
        </w:rPr>
      </w:pPr>
    </w:p>
    <w:tbl>
      <w:tblPr>
        <w:tblLayout w:type="fixed"/>
        <w:tblInd w:w="2072" w:type="dxa"/>
        <w:tblCellMar>
          <w:top w:w="0" w:type="dxa"/>
          <w:left w:w="0" w:type="dxa"/>
          <w:bottom w:w="0" w:type="dxa"/>
          <w:right w:w="0" w:type="dxa"/>
        </w:tblCellMar>
      </w:tblPr>
      <w:tr>
        <w:trPr>
          <w:trHeight w:val="223"/>
        </w:trPr>
        <w:tc>
          <w:tcPr>
            <w:tcW w:w="3260" w:type="dxa"/>
            <w:vAlign w:val="bottom"/>
          </w:tcPr>
          <w:p>
            <w:pPr>
              <w:spacing w:after="0"/>
              <w:rPr>
                <w:sz w:val="19"/>
                <w:szCs w:val="19"/>
                <w:color w:val="auto"/>
              </w:rPr>
            </w:pPr>
          </w:p>
        </w:tc>
        <w:tc>
          <w:tcPr>
            <w:tcW w:w="378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 Ending December 31, 2026</w:t>
            </w:r>
          </w:p>
        </w:tc>
      </w:tr>
      <w:tr>
        <w:trPr>
          <w:trHeight w:val="302"/>
        </w:trPr>
        <w:tc>
          <w:tcPr>
            <w:tcW w:w="3260" w:type="dxa"/>
            <w:vAlign w:val="bottom"/>
          </w:tcPr>
          <w:p>
            <w:pPr>
              <w:spacing w:after="0"/>
              <w:rPr>
                <w:sz w:val="20"/>
                <w:szCs w:val="20"/>
                <w:color w:val="auto"/>
              </w:rPr>
            </w:pPr>
            <w:r>
              <w:rPr>
                <w:rFonts w:ascii="Arial" w:cs="Arial" w:eastAsia="Arial" w:hAnsi="Arial"/>
                <w:sz w:val="16"/>
                <w:szCs w:val="16"/>
                <w:color w:val="auto"/>
              </w:rPr>
              <w:t>EBITDA Range (1)</w:t>
            </w:r>
          </w:p>
        </w:tc>
        <w:tc>
          <w:tcPr>
            <w:tcW w:w="16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79.8</w:t>
            </w:r>
          </w:p>
        </w:tc>
        <w:tc>
          <w:tcPr>
            <w:tcW w:w="6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84.8</w:t>
            </w:r>
          </w:p>
        </w:tc>
      </w:tr>
      <w:tr>
        <w:trPr>
          <w:trHeight w:val="216"/>
        </w:trPr>
        <w:tc>
          <w:tcPr>
            <w:tcW w:w="3260" w:type="dxa"/>
            <w:vAlign w:val="bottom"/>
          </w:tcPr>
          <w:p>
            <w:pPr>
              <w:spacing w:after="0"/>
              <w:rPr>
                <w:sz w:val="20"/>
                <w:szCs w:val="20"/>
                <w:color w:val="auto"/>
              </w:rPr>
            </w:pPr>
            <w:r>
              <w:rPr>
                <w:rFonts w:ascii="Arial" w:cs="Arial" w:eastAsia="Arial" w:hAnsi="Arial"/>
                <w:sz w:val="16"/>
                <w:szCs w:val="16"/>
                <w:color w:val="auto"/>
              </w:rPr>
              <w:t>Adjusted EBITDA Range (1)</w:t>
            </w:r>
          </w:p>
        </w:tc>
        <w:tc>
          <w:tcPr>
            <w:tcW w:w="16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85.0</w:t>
            </w:r>
          </w:p>
        </w:tc>
        <w:tc>
          <w:tcPr>
            <w:tcW w:w="6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90.0</w:t>
            </w:r>
          </w:p>
        </w:tc>
      </w:tr>
    </w:tbl>
    <w:p>
      <w:pPr>
        <w:spacing w:after="0" w:line="298" w:lineRule="exact"/>
        <w:rPr>
          <w:sz w:val="20"/>
          <w:szCs w:val="20"/>
          <w:color w:val="auto"/>
        </w:rPr>
      </w:pPr>
    </w:p>
    <w:p>
      <w:pPr>
        <w:ind w:left="332" w:hanging="332"/>
        <w:spacing w:after="0" w:line="286" w:lineRule="auto"/>
        <w:tabs>
          <w:tab w:leader="none" w:pos="327"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following table sets forth a reconciliation of estimated EBITDA and Adjusted EBITDA to estimated net loss, which is the most directly comparable measure of financial performance calculated under generally accepted accounting principles (in millions) (unaudited):</w:t>
      </w:r>
    </w:p>
    <w:p>
      <w:pPr>
        <w:spacing w:after="0" w:line="237" w:lineRule="exact"/>
        <w:rPr>
          <w:sz w:val="20"/>
          <w:szCs w:val="20"/>
          <w:color w:val="auto"/>
        </w:rPr>
      </w:pPr>
    </w:p>
    <w:tbl>
      <w:tblPr>
        <w:tblLayout w:type="fixed"/>
        <w:tblInd w:w="1872"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Year Ending December 31, 2026</w:t>
            </w:r>
          </w:p>
        </w:tc>
      </w:tr>
      <w:tr>
        <w:trPr>
          <w:trHeight w:val="223"/>
        </w:trPr>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(estimated)</w:t>
            </w:r>
          </w:p>
        </w:tc>
        <w:tc>
          <w:tcPr>
            <w:tcW w:w="660" w:type="dxa"/>
            <w:vAlign w:val="bottom"/>
          </w:tcPr>
          <w:p>
            <w:pPr>
              <w:spacing w:after="0"/>
              <w:rPr>
                <w:sz w:val="19"/>
                <w:szCs w:val="19"/>
                <w:color w:val="auto"/>
              </w:rPr>
            </w:pPr>
          </w:p>
        </w:tc>
      </w:tr>
      <w:tr>
        <w:trPr>
          <w:trHeight w:val="316"/>
        </w:trPr>
        <w:tc>
          <w:tcPr>
            <w:tcW w:w="4820" w:type="dxa"/>
            <w:vAlign w:val="bottom"/>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(13.2)</w:t>
            </w:r>
          </w:p>
        </w:tc>
        <w:tc>
          <w:tcPr>
            <w:tcW w:w="200" w:type="dxa"/>
            <w:vAlign w:val="bottom"/>
          </w:tcPr>
          <w:p>
            <w:pPr>
              <w:spacing w:after="0"/>
              <w:rPr>
                <w:sz w:val="24"/>
                <w:szCs w:val="24"/>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Income tax expense</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14.0</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66.0</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66.0</w:t>
            </w: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Interest expense</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2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r>
      <w:tr>
        <w:trPr>
          <w:trHeight w:val="210"/>
        </w:trPr>
        <w:tc>
          <w:tcPr>
            <w:tcW w:w="4820" w:type="dxa"/>
            <w:vAlign w:val="bottom"/>
          </w:tcPr>
          <w:p>
            <w:pPr>
              <w:ind w:left="120"/>
              <w:spacing w:after="0"/>
              <w:rPr>
                <w:sz w:val="20"/>
                <w:szCs w:val="20"/>
                <w:color w:val="auto"/>
              </w:rPr>
            </w:pPr>
            <w:r>
              <w:rPr>
                <w:rFonts w:ascii="Arial" w:cs="Arial" w:eastAsia="Arial" w:hAnsi="Arial"/>
                <w:sz w:val="16"/>
                <w:szCs w:val="16"/>
                <w:color w:val="auto"/>
              </w:rPr>
              <w:t>EBITDA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w:t>
            </w:r>
          </w:p>
        </w:tc>
        <w:tc>
          <w:tcPr>
            <w:tcW w:w="200" w:type="dxa"/>
            <w:vAlign w:val="bottom"/>
          </w:tcPr>
          <w:p>
            <w:pPr>
              <w:spacing w:after="0"/>
              <w:rPr>
                <w:sz w:val="18"/>
                <w:szCs w:val="18"/>
                <w:color w:val="auto"/>
              </w:rPr>
            </w:pP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w:t>
            </w:r>
          </w:p>
        </w:tc>
      </w:tr>
      <w:tr>
        <w:trPr>
          <w:trHeight w:val="303"/>
        </w:trPr>
        <w:tc>
          <w:tcPr>
            <w:tcW w:w="4820" w:type="dxa"/>
            <w:vAlign w:val="bottom"/>
          </w:tcPr>
          <w:p>
            <w:pPr>
              <w:spacing w:after="0"/>
              <w:rPr>
                <w:sz w:val="20"/>
                <w:szCs w:val="20"/>
                <w:color w:val="auto"/>
              </w:rPr>
            </w:pPr>
            <w:r>
              <w:rPr>
                <w:rFonts w:ascii="Arial" w:cs="Arial" w:eastAsia="Arial" w:hAnsi="Arial"/>
                <w:sz w:val="16"/>
                <w:szCs w:val="16"/>
                <w:color w:val="auto"/>
              </w:rPr>
              <w:t>Adjustments to EBITDA</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6"/>
                <w:szCs w:val="16"/>
                <w:color w:val="auto"/>
              </w:rPr>
              <w:t>Shareholder activist costs</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0.6</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6"/>
        </w:trPr>
        <w:tc>
          <w:tcPr>
            <w:tcW w:w="4820" w:type="dxa"/>
            <w:vAlign w:val="bottom"/>
          </w:tcPr>
          <w:p>
            <w:pPr>
              <w:ind w:left="120"/>
              <w:spacing w:after="0"/>
              <w:rPr>
                <w:sz w:val="20"/>
                <w:szCs w:val="20"/>
                <w:color w:val="auto"/>
              </w:rPr>
            </w:pPr>
            <w:r>
              <w:rPr>
                <w:rFonts w:ascii="Arial" w:cs="Arial" w:eastAsia="Arial" w:hAnsi="Arial"/>
                <w:sz w:val="16"/>
                <w:szCs w:val="16"/>
                <w:color w:val="auto"/>
              </w:rPr>
              <w:t>Cost saving initiatives</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7"/>
        </w:trPr>
        <w:tc>
          <w:tcPr>
            <w:tcW w:w="4820" w:type="dxa"/>
            <w:vAlign w:val="bottom"/>
          </w:tcPr>
          <w:p>
            <w:pPr>
              <w:ind w:left="120"/>
              <w:spacing w:after="0"/>
              <w:rPr>
                <w:sz w:val="20"/>
                <w:szCs w:val="20"/>
                <w:color w:val="auto"/>
              </w:rPr>
            </w:pPr>
            <w:r>
              <w:rPr>
                <w:rFonts w:ascii="Arial" w:cs="Arial" w:eastAsia="Arial" w:hAnsi="Arial"/>
                <w:sz w:val="16"/>
                <w:szCs w:val="16"/>
                <w:color w:val="auto"/>
              </w:rPr>
              <w:t>Share-based compensation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2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210"/>
        </w:trPr>
        <w:tc>
          <w:tcPr>
            <w:tcW w:w="4820" w:type="dxa"/>
            <w:vAlign w:val="bottom"/>
          </w:tcPr>
          <w:p>
            <w:pPr>
              <w:ind w:left="220"/>
              <w:spacing w:after="0"/>
              <w:rPr>
                <w:sz w:val="20"/>
                <w:szCs w:val="20"/>
                <w:color w:val="auto"/>
              </w:rPr>
            </w:pPr>
            <w:r>
              <w:rPr>
                <w:rFonts w:ascii="Arial" w:cs="Arial" w:eastAsia="Arial" w:hAnsi="Arial"/>
                <w:sz w:val="16"/>
                <w:szCs w:val="16"/>
                <w:color w:val="auto"/>
              </w:rPr>
              <w:t>Adjusted EBITDA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w:t>
            </w:r>
          </w:p>
        </w:tc>
        <w:tc>
          <w:tcPr>
            <w:tcW w:w="200" w:type="dxa"/>
            <w:vAlign w:val="bottom"/>
          </w:tcPr>
          <w:p>
            <w:pPr>
              <w:spacing w:after="0"/>
              <w:rPr>
                <w:sz w:val="18"/>
                <w:szCs w:val="18"/>
                <w:color w:val="auto"/>
              </w:rPr>
            </w:pP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w:t>
            </w:r>
          </w:p>
        </w:tc>
      </w:tr>
      <w:tr>
        <w:trPr>
          <w:trHeight w:val="21"/>
        </w:trPr>
        <w:tc>
          <w:tcPr>
            <w:tcW w:w="4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992"/>
          </w:cols>
          <w:pgMar w:left="328" w:top="895" w:right="579" w:bottom="1440" w:gutter="0" w:footer="0" w:header="0"/>
        </w:sectPr>
      </w:pPr>
    </w:p>
    <w:bookmarkStart w:id="16" w:name="page17"/>
    <w:bookmarkEnd w:id="16"/>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Regan Nielsen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Development &amp;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713-510-2400</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decimal"/>
      <w:start w:val="2"/>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2026-05-01T10:58:47Z</dcterms:created>
  <dcterms:modified xsi:type="dcterms:W3CDTF">2026-05-01T10:58:47Z</dcterms:modified>
</cp:coreProperties>
</file>