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3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0" w:lineRule="exact"/>
        <w:rPr>
          <w:sz w:val="24"/>
          <w:szCs w:val="24"/>
          <w:color w:val="auto"/>
        </w:rPr>
      </w:pPr>
    </w:p>
    <w:p>
      <w:pPr>
        <w:spacing w:after="0" w:line="2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17878Y207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160" w:hanging="208"/>
        <w:spacing w:after="0"/>
        <w:tabs>
          <w:tab w:leader="none" w:pos="2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2160" w:hanging="208"/>
        <w:spacing w:after="0"/>
        <w:tabs>
          <w:tab w:leader="none" w:pos="21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2160" w:hanging="208"/>
        <w:spacing w:after="0"/>
        <w:tabs>
          <w:tab w:leader="none" w:pos="216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57"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646430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6"/>
        </w:trPr>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3940" w:type="dxa"/>
            <w:vAlign w:val="bottom"/>
            <w:vMerge w:val="restart"/>
          </w:tcPr>
          <w:p>
            <w:pPr>
              <w:ind w:left="1780"/>
              <w:spacing w:after="0"/>
              <w:rPr>
                <w:sz w:val="20"/>
                <w:szCs w:val="20"/>
                <w:color w:val="auto"/>
              </w:rPr>
            </w:pPr>
            <w:r>
              <w:rPr>
                <w:rFonts w:ascii="Times New Roman" w:cs="Times New Roman" w:eastAsia="Times New Roman" w:hAnsi="Times New Roman"/>
                <w:sz w:val="18"/>
                <w:szCs w:val="18"/>
                <w:b w:val="1"/>
                <w:bCs w:val="1"/>
                <w:color w:val="auto"/>
              </w:rPr>
              <w:t>13G/A</w:t>
            </w: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4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CUSIP No.17878Y207</w:t>
            </w:r>
          </w:p>
        </w:tc>
        <w:tc>
          <w:tcPr>
            <w:tcW w:w="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60" w:type="dxa"/>
            <w:vAlign w:val="bottom"/>
            <w:tcBorders>
              <w:bottom w:val="single" w:sz="8" w:color="auto"/>
              <w:right w:val="single" w:sz="8" w:color="auto"/>
            </w:tcBorders>
          </w:tcPr>
          <w:p>
            <w:pPr>
              <w:spacing w:after="0"/>
              <w:rPr>
                <w:sz w:val="19"/>
                <w:szCs w:val="19"/>
                <w:color w:val="auto"/>
              </w:rPr>
            </w:pPr>
          </w:p>
        </w:tc>
        <w:tc>
          <w:tcPr>
            <w:tcW w:w="3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400" w:type="dxa"/>
            <w:vAlign w:val="bottom"/>
            <w:tcBorders>
              <w:bottom w:val="single" w:sz="8" w:color="auto"/>
            </w:tcBorders>
          </w:tcPr>
          <w:p>
            <w:pPr>
              <w:spacing w:after="0"/>
              <w:rPr>
                <w:sz w:val="19"/>
                <w:szCs w:val="19"/>
                <w:color w:val="auto"/>
              </w:rPr>
            </w:pPr>
          </w:p>
        </w:tc>
        <w:tc>
          <w:tcPr>
            <w:tcW w:w="5780" w:type="dxa"/>
            <w:vAlign w:val="bottom"/>
            <w:tcBorders>
              <w:bottom w:val="single" w:sz="8" w:color="auto"/>
            </w:tcBorders>
            <w:gridSpan w:val="4"/>
          </w:tcPr>
          <w:p>
            <w:pPr>
              <w:spacing w:after="0"/>
              <w:rPr>
                <w:sz w:val="19"/>
                <w:szCs w:val="19"/>
                <w:color w:val="auto"/>
              </w:rPr>
            </w:pPr>
          </w:p>
        </w:tc>
        <w:tc>
          <w:tcPr>
            <w:tcW w:w="3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right w:val="single" w:sz="8" w:color="auto"/>
            </w:tcBorders>
            <w:vMerge w:val="continue"/>
          </w:tcPr>
          <w:p>
            <w:pPr>
              <w:spacing w:after="0"/>
              <w:rPr>
                <w:sz w:val="24"/>
                <w:szCs w:val="24"/>
                <w:color w:val="auto"/>
              </w:rPr>
            </w:pPr>
          </w:p>
        </w:tc>
        <w:tc>
          <w:tcPr>
            <w:tcW w:w="972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The Conversant Opportunity Master Fund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right w:val="single" w:sz="8" w:color="auto"/>
            </w:tcBorders>
          </w:tcPr>
          <w:p>
            <w:pPr>
              <w:spacing w:after="0"/>
              <w:rPr>
                <w:sz w:val="13"/>
                <w:szCs w:val="13"/>
                <w:color w:val="auto"/>
              </w:rPr>
            </w:pPr>
          </w:p>
        </w:tc>
        <w:tc>
          <w:tcPr>
            <w:tcW w:w="9720" w:type="dxa"/>
            <w:vAlign w:val="bottom"/>
            <w:gridSpan w:val="5"/>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5780" w:type="dxa"/>
            <w:vAlign w:val="bottom"/>
            <w:tcBorders>
              <w:bottom w:val="single" w:sz="8" w:color="auto"/>
            </w:tcBorders>
            <w:gridSpan w:val="4"/>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6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4460" w:type="dxa"/>
            <w:vAlign w:val="bottom"/>
            <w:tcBorders>
              <w:right w:val="single" w:sz="8" w:color="BFBFBF"/>
            </w:tcBorders>
            <w:shd w:val="clear" w:color="auto" w:fill="BFBFBF"/>
          </w:tcPr>
          <w:p>
            <w:pPr>
              <w:spacing w:after="0"/>
              <w:rPr>
                <w:sz w:val="20"/>
                <w:szCs w:val="20"/>
                <w:color w:val="auto"/>
              </w:rPr>
            </w:pPr>
          </w:p>
        </w:tc>
        <w:tc>
          <w:tcPr>
            <w:tcW w:w="394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4460" w:type="dxa"/>
            <w:vAlign w:val="bottom"/>
            <w:tcBorders>
              <w:right w:val="single" w:sz="8" w:color="BFBFBF"/>
            </w:tcBorders>
            <w:shd w:val="clear" w:color="auto" w:fill="BFBFBF"/>
          </w:tcPr>
          <w:p>
            <w:pPr>
              <w:spacing w:after="0"/>
              <w:rPr>
                <w:sz w:val="24"/>
                <w:szCs w:val="24"/>
                <w:color w:val="auto"/>
              </w:rPr>
            </w:pPr>
          </w:p>
        </w:tc>
        <w:tc>
          <w:tcPr>
            <w:tcW w:w="394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4460" w:type="dxa"/>
            <w:vAlign w:val="bottom"/>
            <w:tcBorders>
              <w:bottom w:val="single" w:sz="8" w:color="auto"/>
              <w:right w:val="single" w:sz="8" w:color="BFBFBF"/>
            </w:tcBorders>
            <w:shd w:val="clear" w:color="auto" w:fill="BFBFBF"/>
          </w:tcPr>
          <w:p>
            <w:pPr>
              <w:spacing w:after="0"/>
              <w:rPr>
                <w:sz w:val="23"/>
                <w:szCs w:val="23"/>
                <w:color w:val="auto"/>
              </w:rPr>
            </w:pPr>
          </w:p>
        </w:tc>
        <w:tc>
          <w:tcPr>
            <w:tcW w:w="394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Cayman Islands</w:t>
            </w: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60" w:type="dxa"/>
            <w:vAlign w:val="bottom"/>
            <w:tcBorders>
              <w:right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40" w:type="dxa"/>
            <w:vAlign w:val="bottom"/>
            <w:tcBorders>
              <w:right w:val="single" w:sz="8" w:color="auto"/>
            </w:tcBorders>
            <w:gridSpan w:val="2"/>
            <w:vMerge w:val="restart"/>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6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vMerge w:val="continue"/>
          </w:tcPr>
          <w:p>
            <w:pPr>
              <w:spacing w:after="0"/>
              <w:rPr>
                <w:sz w:val="13"/>
                <w:szCs w:val="13"/>
                <w:color w:val="auto"/>
              </w:rPr>
            </w:pPr>
          </w:p>
        </w:tc>
        <w:tc>
          <w:tcPr>
            <w:tcW w:w="39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4480" w:type="dxa"/>
            <w:vAlign w:val="bottom"/>
            <w:tcBorders>
              <w:bottom w:val="single" w:sz="8" w:color="auto"/>
            </w:tcBorders>
            <w:gridSpan w:val="2"/>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480" w:type="dxa"/>
            <w:vAlign w:val="bottom"/>
            <w:tcBorders>
              <w:bottom w:val="single" w:sz="8" w:color="auto"/>
            </w:tcBorders>
            <w:gridSpan w:val="2"/>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480" w:type="dxa"/>
            <w:vAlign w:val="bottom"/>
            <w:tcBorders>
              <w:bottom w:val="single" w:sz="8" w:color="auto"/>
            </w:tcBorders>
            <w:gridSpan w:val="2"/>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480" w:type="dxa"/>
            <w:vAlign w:val="bottom"/>
            <w:tcBorders>
              <w:bottom w:val="single" w:sz="8" w:color="auto"/>
            </w:tcBorders>
            <w:gridSpan w:val="2"/>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PN</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4"/>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
        </w:trPr>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3940" w:type="dxa"/>
            <w:vAlign w:val="bottom"/>
            <w:vMerge w:val="restart"/>
          </w:tcPr>
          <w:p>
            <w:pPr>
              <w:ind w:left="1780"/>
              <w:spacing w:after="0"/>
              <w:rPr>
                <w:sz w:val="20"/>
                <w:szCs w:val="20"/>
                <w:color w:val="auto"/>
              </w:rPr>
            </w:pPr>
            <w:r>
              <w:rPr>
                <w:rFonts w:ascii="Times New Roman" w:cs="Times New Roman" w:eastAsia="Times New Roman" w:hAnsi="Times New Roman"/>
                <w:sz w:val="18"/>
                <w:szCs w:val="18"/>
                <w:b w:val="1"/>
                <w:bCs w:val="1"/>
                <w:color w:val="auto"/>
              </w:rPr>
              <w:t>13G/A</w:t>
            </w: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2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17878Y207</w:t>
            </w:r>
          </w:p>
        </w:tc>
        <w:tc>
          <w:tcPr>
            <w:tcW w:w="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60" w:type="dxa"/>
            <w:vAlign w:val="bottom"/>
            <w:tcBorders>
              <w:bottom w:val="single" w:sz="8" w:color="auto"/>
              <w:right w:val="single" w:sz="8" w:color="auto"/>
            </w:tcBorders>
          </w:tcPr>
          <w:p>
            <w:pPr>
              <w:spacing w:after="0"/>
              <w:rPr>
                <w:sz w:val="19"/>
                <w:szCs w:val="19"/>
                <w:color w:val="auto"/>
              </w:rPr>
            </w:pPr>
          </w:p>
        </w:tc>
        <w:tc>
          <w:tcPr>
            <w:tcW w:w="3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400" w:type="dxa"/>
            <w:vAlign w:val="bottom"/>
            <w:tcBorders>
              <w:bottom w:val="single" w:sz="8" w:color="auto"/>
            </w:tcBorders>
          </w:tcPr>
          <w:p>
            <w:pPr>
              <w:spacing w:after="0"/>
              <w:rPr>
                <w:sz w:val="19"/>
                <w:szCs w:val="19"/>
                <w:color w:val="auto"/>
              </w:rPr>
            </w:pPr>
          </w:p>
        </w:tc>
        <w:tc>
          <w:tcPr>
            <w:tcW w:w="5780" w:type="dxa"/>
            <w:vAlign w:val="bottom"/>
            <w:tcBorders>
              <w:bottom w:val="single" w:sz="8" w:color="auto"/>
            </w:tcBorders>
            <w:gridSpan w:val="5"/>
          </w:tcPr>
          <w:p>
            <w:pPr>
              <w:spacing w:after="0"/>
              <w:rPr>
                <w:sz w:val="19"/>
                <w:szCs w:val="19"/>
                <w:color w:val="auto"/>
              </w:rPr>
            </w:pPr>
          </w:p>
        </w:tc>
        <w:tc>
          <w:tcPr>
            <w:tcW w:w="3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right w:val="single" w:sz="8" w:color="auto"/>
            </w:tcBorders>
            <w:vMerge w:val="continue"/>
          </w:tcPr>
          <w:p>
            <w:pPr>
              <w:spacing w:after="0"/>
              <w:rPr>
                <w:sz w:val="24"/>
                <w:szCs w:val="24"/>
                <w:color w:val="auto"/>
              </w:rPr>
            </w:pPr>
          </w:p>
        </w:tc>
        <w:tc>
          <w:tcPr>
            <w:tcW w:w="9720" w:type="dxa"/>
            <w:vAlign w:val="bottom"/>
            <w:gridSpan w:val="6"/>
            <w:vMerge w:val="restart"/>
          </w:tcPr>
          <w:p>
            <w:pPr>
              <w:ind w:left="40"/>
              <w:spacing w:after="0"/>
              <w:rPr>
                <w:sz w:val="20"/>
                <w:szCs w:val="20"/>
                <w:color w:val="auto"/>
              </w:rPr>
            </w:pPr>
            <w:r>
              <w:rPr>
                <w:rFonts w:ascii="Times New Roman" w:cs="Times New Roman" w:eastAsia="Times New Roman" w:hAnsi="Times New Roman"/>
                <w:sz w:val="18"/>
                <w:szCs w:val="18"/>
                <w:color w:val="auto"/>
              </w:rPr>
              <w:t>Conversant GP Holdings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right w:val="single" w:sz="8" w:color="auto"/>
            </w:tcBorders>
          </w:tcPr>
          <w:p>
            <w:pPr>
              <w:spacing w:after="0"/>
              <w:rPr>
                <w:sz w:val="13"/>
                <w:szCs w:val="13"/>
                <w:color w:val="auto"/>
              </w:rPr>
            </w:pPr>
          </w:p>
        </w:tc>
        <w:tc>
          <w:tcPr>
            <w:tcW w:w="9720" w:type="dxa"/>
            <w:vAlign w:val="bottom"/>
            <w:gridSpan w:val="6"/>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5780" w:type="dxa"/>
            <w:vAlign w:val="bottom"/>
            <w:tcBorders>
              <w:bottom w:val="single" w:sz="8" w:color="auto"/>
            </w:tcBorders>
            <w:gridSpan w:val="5"/>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4460" w:type="dxa"/>
            <w:vAlign w:val="bottom"/>
            <w:tcBorders>
              <w:right w:val="single" w:sz="8" w:color="BFBFBF"/>
            </w:tcBorders>
            <w:shd w:val="clear" w:color="auto" w:fill="BFBFBF"/>
          </w:tcPr>
          <w:p>
            <w:pPr>
              <w:spacing w:after="0"/>
              <w:rPr>
                <w:sz w:val="20"/>
                <w:szCs w:val="20"/>
                <w:color w:val="auto"/>
              </w:rPr>
            </w:pPr>
          </w:p>
        </w:tc>
        <w:tc>
          <w:tcPr>
            <w:tcW w:w="394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4460" w:type="dxa"/>
            <w:vAlign w:val="bottom"/>
            <w:tcBorders>
              <w:right w:val="single" w:sz="8" w:color="BFBFBF"/>
            </w:tcBorders>
            <w:shd w:val="clear" w:color="auto" w:fill="BFBFBF"/>
          </w:tcPr>
          <w:p>
            <w:pPr>
              <w:spacing w:after="0"/>
              <w:rPr>
                <w:sz w:val="24"/>
                <w:szCs w:val="24"/>
                <w:color w:val="auto"/>
              </w:rPr>
            </w:pPr>
          </w:p>
        </w:tc>
        <w:tc>
          <w:tcPr>
            <w:tcW w:w="394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4460" w:type="dxa"/>
            <w:vAlign w:val="bottom"/>
            <w:tcBorders>
              <w:bottom w:val="single" w:sz="8" w:color="auto"/>
              <w:right w:val="single" w:sz="8" w:color="BFBFBF"/>
            </w:tcBorders>
            <w:shd w:val="clear" w:color="auto" w:fill="BFBFBF"/>
          </w:tcPr>
          <w:p>
            <w:pPr>
              <w:spacing w:after="0"/>
              <w:rPr>
                <w:sz w:val="23"/>
                <w:szCs w:val="23"/>
                <w:color w:val="auto"/>
              </w:rPr>
            </w:pPr>
          </w:p>
        </w:tc>
        <w:tc>
          <w:tcPr>
            <w:tcW w:w="394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vMerge w:val="continue"/>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60" w:type="dxa"/>
            <w:vAlign w:val="bottom"/>
            <w:tcBorders>
              <w:bottom w:val="single" w:sz="8" w:color="auto"/>
            </w:tcBorders>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448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4480" w:type="dxa"/>
            <w:vAlign w:val="bottom"/>
            <w:tcBorders>
              <w:bottom w:val="single" w:sz="8" w:color="auto"/>
            </w:tcBorders>
            <w:gridSpan w:val="2"/>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480" w:type="dxa"/>
            <w:vAlign w:val="bottom"/>
            <w:tcBorders>
              <w:bottom w:val="single" w:sz="8" w:color="auto"/>
            </w:tcBorders>
            <w:gridSpan w:val="2"/>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4480" w:type="dxa"/>
            <w:vAlign w:val="bottom"/>
            <w:tcBorders>
              <w:bottom w:val="single" w:sz="8" w:color="auto"/>
            </w:tcBorders>
            <w:gridSpan w:val="2"/>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5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
        </w:trPr>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3940" w:type="dxa"/>
            <w:vAlign w:val="bottom"/>
            <w:vMerge w:val="restart"/>
          </w:tcPr>
          <w:p>
            <w:pPr>
              <w:ind w:left="1780"/>
              <w:spacing w:after="0"/>
              <w:rPr>
                <w:sz w:val="20"/>
                <w:szCs w:val="20"/>
                <w:color w:val="auto"/>
              </w:rPr>
            </w:pPr>
            <w:r>
              <w:rPr>
                <w:rFonts w:ascii="Times New Roman" w:cs="Times New Roman" w:eastAsia="Times New Roman" w:hAnsi="Times New Roman"/>
                <w:sz w:val="18"/>
                <w:szCs w:val="18"/>
                <w:b w:val="1"/>
                <w:bCs w:val="1"/>
                <w:color w:val="auto"/>
              </w:rPr>
              <w:t>13G/A</w:t>
            </w: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2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17878Y207</w:t>
            </w:r>
          </w:p>
        </w:tc>
        <w:tc>
          <w:tcPr>
            <w:tcW w:w="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60" w:type="dxa"/>
            <w:vAlign w:val="bottom"/>
            <w:tcBorders>
              <w:bottom w:val="single" w:sz="8" w:color="auto"/>
              <w:right w:val="single" w:sz="8" w:color="auto"/>
            </w:tcBorders>
          </w:tcPr>
          <w:p>
            <w:pPr>
              <w:spacing w:after="0"/>
              <w:rPr>
                <w:sz w:val="19"/>
                <w:szCs w:val="19"/>
                <w:color w:val="auto"/>
              </w:rPr>
            </w:pPr>
          </w:p>
        </w:tc>
        <w:tc>
          <w:tcPr>
            <w:tcW w:w="3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400" w:type="dxa"/>
            <w:vAlign w:val="bottom"/>
            <w:tcBorders>
              <w:bottom w:val="single" w:sz="8" w:color="auto"/>
            </w:tcBorders>
          </w:tcPr>
          <w:p>
            <w:pPr>
              <w:spacing w:after="0"/>
              <w:rPr>
                <w:sz w:val="19"/>
                <w:szCs w:val="19"/>
                <w:color w:val="auto"/>
              </w:rPr>
            </w:pPr>
          </w:p>
        </w:tc>
        <w:tc>
          <w:tcPr>
            <w:tcW w:w="5780" w:type="dxa"/>
            <w:vAlign w:val="bottom"/>
            <w:tcBorders>
              <w:bottom w:val="single" w:sz="8" w:color="auto"/>
            </w:tcBorders>
            <w:gridSpan w:val="5"/>
          </w:tcPr>
          <w:p>
            <w:pPr>
              <w:spacing w:after="0"/>
              <w:rPr>
                <w:sz w:val="19"/>
                <w:szCs w:val="19"/>
                <w:color w:val="auto"/>
              </w:rPr>
            </w:pPr>
          </w:p>
        </w:tc>
        <w:tc>
          <w:tcPr>
            <w:tcW w:w="3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right w:val="single" w:sz="8" w:color="auto"/>
            </w:tcBorders>
            <w:vMerge w:val="continue"/>
          </w:tcPr>
          <w:p>
            <w:pPr>
              <w:spacing w:after="0"/>
              <w:rPr>
                <w:sz w:val="24"/>
                <w:szCs w:val="24"/>
                <w:color w:val="auto"/>
              </w:rPr>
            </w:pPr>
          </w:p>
        </w:tc>
        <w:tc>
          <w:tcPr>
            <w:tcW w:w="9720" w:type="dxa"/>
            <w:vAlign w:val="bottom"/>
            <w:gridSpan w:val="6"/>
            <w:vMerge w:val="restart"/>
          </w:tcPr>
          <w:p>
            <w:pPr>
              <w:ind w:left="40"/>
              <w:spacing w:after="0"/>
              <w:rPr>
                <w:sz w:val="20"/>
                <w:szCs w:val="20"/>
                <w:color w:val="auto"/>
              </w:rPr>
            </w:pPr>
            <w:r>
              <w:rPr>
                <w:rFonts w:ascii="Times New Roman" w:cs="Times New Roman" w:eastAsia="Times New Roman" w:hAnsi="Times New Roman"/>
                <w:sz w:val="18"/>
                <w:szCs w:val="18"/>
                <w:color w:val="auto"/>
              </w:rPr>
              <w:t>Conversant Capital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right w:val="single" w:sz="8" w:color="auto"/>
            </w:tcBorders>
          </w:tcPr>
          <w:p>
            <w:pPr>
              <w:spacing w:after="0"/>
              <w:rPr>
                <w:sz w:val="13"/>
                <w:szCs w:val="13"/>
                <w:color w:val="auto"/>
              </w:rPr>
            </w:pPr>
          </w:p>
        </w:tc>
        <w:tc>
          <w:tcPr>
            <w:tcW w:w="9720" w:type="dxa"/>
            <w:vAlign w:val="bottom"/>
            <w:gridSpan w:val="6"/>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5780" w:type="dxa"/>
            <w:vAlign w:val="bottom"/>
            <w:tcBorders>
              <w:bottom w:val="single" w:sz="8" w:color="auto"/>
            </w:tcBorders>
            <w:gridSpan w:val="5"/>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4460" w:type="dxa"/>
            <w:vAlign w:val="bottom"/>
            <w:tcBorders>
              <w:right w:val="single" w:sz="8" w:color="BFBFBF"/>
            </w:tcBorders>
            <w:shd w:val="clear" w:color="auto" w:fill="BFBFBF"/>
          </w:tcPr>
          <w:p>
            <w:pPr>
              <w:spacing w:after="0"/>
              <w:rPr>
                <w:sz w:val="20"/>
                <w:szCs w:val="20"/>
                <w:color w:val="auto"/>
              </w:rPr>
            </w:pPr>
          </w:p>
        </w:tc>
        <w:tc>
          <w:tcPr>
            <w:tcW w:w="394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4460" w:type="dxa"/>
            <w:vAlign w:val="bottom"/>
            <w:tcBorders>
              <w:right w:val="single" w:sz="8" w:color="BFBFBF"/>
            </w:tcBorders>
            <w:shd w:val="clear" w:color="auto" w:fill="BFBFBF"/>
          </w:tcPr>
          <w:p>
            <w:pPr>
              <w:spacing w:after="0"/>
              <w:rPr>
                <w:sz w:val="24"/>
                <w:szCs w:val="24"/>
                <w:color w:val="auto"/>
              </w:rPr>
            </w:pPr>
          </w:p>
        </w:tc>
        <w:tc>
          <w:tcPr>
            <w:tcW w:w="394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4460" w:type="dxa"/>
            <w:vAlign w:val="bottom"/>
            <w:tcBorders>
              <w:bottom w:val="single" w:sz="8" w:color="auto"/>
              <w:right w:val="single" w:sz="8" w:color="BFBFBF"/>
            </w:tcBorders>
            <w:shd w:val="clear" w:color="auto" w:fill="BFBFBF"/>
          </w:tcPr>
          <w:p>
            <w:pPr>
              <w:spacing w:after="0"/>
              <w:rPr>
                <w:sz w:val="23"/>
                <w:szCs w:val="23"/>
                <w:color w:val="auto"/>
              </w:rPr>
            </w:pPr>
          </w:p>
        </w:tc>
        <w:tc>
          <w:tcPr>
            <w:tcW w:w="394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vMerge w:val="continue"/>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60" w:type="dxa"/>
            <w:vAlign w:val="bottom"/>
            <w:tcBorders>
              <w:bottom w:val="single" w:sz="8" w:color="auto"/>
            </w:tcBorders>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448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48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480" w:type="dxa"/>
            <w:vAlign w:val="bottom"/>
            <w:tcBorders>
              <w:bottom w:val="single" w:sz="8" w:color="auto"/>
            </w:tcBorders>
            <w:gridSpan w:val="2"/>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48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OO, IA</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4"/>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
        </w:trPr>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3940" w:type="dxa"/>
            <w:vAlign w:val="bottom"/>
            <w:vMerge w:val="restart"/>
          </w:tcPr>
          <w:p>
            <w:pPr>
              <w:ind w:left="1780"/>
              <w:spacing w:after="0"/>
              <w:rPr>
                <w:sz w:val="20"/>
                <w:szCs w:val="20"/>
                <w:color w:val="auto"/>
              </w:rPr>
            </w:pPr>
            <w:r>
              <w:rPr>
                <w:rFonts w:ascii="Times New Roman" w:cs="Times New Roman" w:eastAsia="Times New Roman" w:hAnsi="Times New Roman"/>
                <w:sz w:val="18"/>
                <w:szCs w:val="18"/>
                <w:b w:val="1"/>
                <w:bCs w:val="1"/>
                <w:color w:val="auto"/>
              </w:rPr>
              <w:t>13G/A</w:t>
            </w: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4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17878Y207</w:t>
            </w:r>
          </w:p>
        </w:tc>
        <w:tc>
          <w:tcPr>
            <w:tcW w:w="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60" w:type="dxa"/>
            <w:vAlign w:val="bottom"/>
            <w:tcBorders>
              <w:bottom w:val="single" w:sz="8" w:color="auto"/>
              <w:right w:val="single" w:sz="8" w:color="auto"/>
            </w:tcBorders>
          </w:tcPr>
          <w:p>
            <w:pPr>
              <w:spacing w:after="0"/>
              <w:rPr>
                <w:sz w:val="19"/>
                <w:szCs w:val="19"/>
                <w:color w:val="auto"/>
              </w:rPr>
            </w:pPr>
          </w:p>
        </w:tc>
        <w:tc>
          <w:tcPr>
            <w:tcW w:w="3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400" w:type="dxa"/>
            <w:vAlign w:val="bottom"/>
            <w:tcBorders>
              <w:bottom w:val="single" w:sz="8" w:color="auto"/>
            </w:tcBorders>
          </w:tcPr>
          <w:p>
            <w:pPr>
              <w:spacing w:after="0"/>
              <w:rPr>
                <w:sz w:val="19"/>
                <w:szCs w:val="19"/>
                <w:color w:val="auto"/>
              </w:rPr>
            </w:pPr>
          </w:p>
        </w:tc>
        <w:tc>
          <w:tcPr>
            <w:tcW w:w="5780" w:type="dxa"/>
            <w:vAlign w:val="bottom"/>
            <w:tcBorders>
              <w:bottom w:val="single" w:sz="8" w:color="auto"/>
            </w:tcBorders>
            <w:gridSpan w:val="4"/>
          </w:tcPr>
          <w:p>
            <w:pPr>
              <w:spacing w:after="0"/>
              <w:rPr>
                <w:sz w:val="19"/>
                <w:szCs w:val="19"/>
                <w:color w:val="auto"/>
              </w:rPr>
            </w:pPr>
          </w:p>
        </w:tc>
        <w:tc>
          <w:tcPr>
            <w:tcW w:w="3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right w:val="single" w:sz="8" w:color="auto"/>
            </w:tcBorders>
            <w:vMerge w:val="continue"/>
          </w:tcPr>
          <w:p>
            <w:pPr>
              <w:spacing w:after="0"/>
              <w:rPr>
                <w:sz w:val="24"/>
                <w:szCs w:val="24"/>
                <w:color w:val="auto"/>
              </w:rPr>
            </w:pPr>
          </w:p>
        </w:tc>
        <w:tc>
          <w:tcPr>
            <w:tcW w:w="972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Michael Simanovsky</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right w:val="single" w:sz="8" w:color="auto"/>
            </w:tcBorders>
          </w:tcPr>
          <w:p>
            <w:pPr>
              <w:spacing w:after="0"/>
              <w:rPr>
                <w:sz w:val="13"/>
                <w:szCs w:val="13"/>
                <w:color w:val="auto"/>
              </w:rPr>
            </w:pPr>
          </w:p>
        </w:tc>
        <w:tc>
          <w:tcPr>
            <w:tcW w:w="9720" w:type="dxa"/>
            <w:vAlign w:val="bottom"/>
            <w:gridSpan w:val="5"/>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5780" w:type="dxa"/>
            <w:vAlign w:val="bottom"/>
            <w:tcBorders>
              <w:bottom w:val="single" w:sz="8" w:color="auto"/>
            </w:tcBorders>
            <w:gridSpan w:val="4"/>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6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4460" w:type="dxa"/>
            <w:vAlign w:val="bottom"/>
            <w:tcBorders>
              <w:right w:val="single" w:sz="8" w:color="BFBFBF"/>
            </w:tcBorders>
            <w:shd w:val="clear" w:color="auto" w:fill="BFBFBF"/>
          </w:tcPr>
          <w:p>
            <w:pPr>
              <w:spacing w:after="0"/>
              <w:rPr>
                <w:sz w:val="20"/>
                <w:szCs w:val="20"/>
                <w:color w:val="auto"/>
              </w:rPr>
            </w:pPr>
          </w:p>
        </w:tc>
        <w:tc>
          <w:tcPr>
            <w:tcW w:w="394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4460" w:type="dxa"/>
            <w:vAlign w:val="bottom"/>
            <w:tcBorders>
              <w:right w:val="single" w:sz="8" w:color="BFBFBF"/>
            </w:tcBorders>
            <w:shd w:val="clear" w:color="auto" w:fill="BFBFBF"/>
          </w:tcPr>
          <w:p>
            <w:pPr>
              <w:spacing w:after="0"/>
              <w:rPr>
                <w:sz w:val="24"/>
                <w:szCs w:val="24"/>
                <w:color w:val="auto"/>
              </w:rPr>
            </w:pPr>
          </w:p>
        </w:tc>
        <w:tc>
          <w:tcPr>
            <w:tcW w:w="394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4460" w:type="dxa"/>
            <w:vAlign w:val="bottom"/>
            <w:tcBorders>
              <w:bottom w:val="single" w:sz="8" w:color="auto"/>
              <w:right w:val="single" w:sz="8" w:color="BFBFBF"/>
            </w:tcBorders>
            <w:shd w:val="clear" w:color="auto" w:fill="BFBFBF"/>
          </w:tcPr>
          <w:p>
            <w:pPr>
              <w:spacing w:after="0"/>
              <w:rPr>
                <w:sz w:val="23"/>
                <w:szCs w:val="23"/>
                <w:color w:val="auto"/>
              </w:rPr>
            </w:pPr>
          </w:p>
        </w:tc>
        <w:tc>
          <w:tcPr>
            <w:tcW w:w="394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United States</w:t>
            </w: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vMerge w:val="continue"/>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60" w:type="dxa"/>
            <w:vAlign w:val="bottom"/>
            <w:tcBorders>
              <w:bottom w:val="single" w:sz="8" w:color="auto"/>
            </w:tcBorders>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448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8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480" w:type="dxa"/>
            <w:vAlign w:val="bottom"/>
            <w:tcBorders>
              <w:bottom w:val="single" w:sz="8" w:color="auto"/>
            </w:tcBorders>
            <w:gridSpan w:val="2"/>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8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4"/>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5" w:name="page6"/>
    <w:bookmarkEnd w:id="5"/>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 (a)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of the issuer is Civeo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 (b)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principal executive offices are located at Three Allen Center, 333 Clay Street, Suite 4980, Houston, TX, 77002.</w:t>
      </w:r>
    </w:p>
    <w:p>
      <w:pPr>
        <w:spacing w:after="0" w:line="2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 (a)</w:t>
        <w:tab/>
        <w:t>Name of Person Filing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statement is filed by:</w:t>
      </w:r>
    </w:p>
    <w:p>
      <w:pPr>
        <w:spacing w:after="0" w:line="225" w:lineRule="exact"/>
        <w:rPr>
          <w:sz w:val="20"/>
          <w:szCs w:val="20"/>
          <w:color w:val="auto"/>
        </w:rPr>
      </w:pPr>
    </w:p>
    <w:p>
      <w:pPr>
        <w:ind w:left="540" w:hanging="303"/>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Conversant Opportunity Master Fund LP, a Cayman Islands exempted limited partnership (“Opportunity Master”);</w:t>
      </w:r>
    </w:p>
    <w:p>
      <w:pPr>
        <w:spacing w:after="0" w:line="27" w:lineRule="exact"/>
        <w:rPr>
          <w:rFonts w:ascii="Times New Roman" w:cs="Times New Roman" w:eastAsia="Times New Roman" w:hAnsi="Times New Roman"/>
          <w:sz w:val="18"/>
          <w:szCs w:val="18"/>
          <w:color w:val="auto"/>
        </w:rPr>
      </w:pPr>
    </w:p>
    <w:p>
      <w:pPr>
        <w:ind w:left="540" w:right="580" w:hanging="303"/>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Conversant GP Holdings LLC, a Delaware limited liability company (“Conversant GP”), which serves as the general partner of Opportunity Master;</w:t>
      </w:r>
    </w:p>
    <w:p>
      <w:pPr>
        <w:ind w:left="540" w:right="360" w:hanging="303"/>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Conversant Capital LLC, a Delaware limited liability company (“Conversant Capital”), which serves as the investment manager to Opportunity Master; and</w:t>
      </w:r>
    </w:p>
    <w:p>
      <w:pPr>
        <w:ind w:left="540" w:hanging="303"/>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Simanovsky, an individual, who serves as sole managing member of Conversant GP and Conversant Capital.</w:t>
      </w:r>
    </w:p>
    <w:p>
      <w:pPr>
        <w:spacing w:after="0" w:line="200" w:lineRule="exact"/>
        <w:rPr>
          <w:sz w:val="20"/>
          <w:szCs w:val="20"/>
          <w:color w:val="auto"/>
        </w:rPr>
      </w:pPr>
    </w:p>
    <w:p>
      <w:pPr>
        <w:spacing w:after="0" w:line="22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Opportunity Master, Conversant GP, Conversant Capital, and Mr. Simanovsky are hereinafter sometimes collectively referred to as the “Reporting Persons.” Any disclosures herein with respect to persons other than the Reporting Persons are made on information and belief after making inquiry to the appropriate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Persons are filing this statement jointly with respect to the same securities as contemplated by Rule 13d-1(k)(1), not as members of a group.</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 (b)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business address for each of the Reporting Persons is 25 Deforest Avenue, 3rd Floor, Summit, New Jersey 07901.</w:t>
      </w:r>
    </w:p>
    <w:p>
      <w:pPr>
        <w:spacing w:after="0" w:line="22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 (c)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Opportunity Master is organized under the laws of the Cayman Islands. Conversant GP and Conversant Capital are organized under the laws of the State of Delaware. Mr. Simanovsky is a citizen of the United States of America.</w:t>
      </w:r>
    </w:p>
    <w:p>
      <w:pPr>
        <w:spacing w:after="0" w:line="1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 (d)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Shares, no par value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 (e)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CUSIP number for the Common Shares is 17878Y207.</w:t>
      </w:r>
    </w:p>
    <w:p>
      <w:pPr>
        <w:spacing w:after="0" w:line="2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Rule 13d-1(b), or 13d-2(b) or (c), Check Whether the Person Filing is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Items 5 through 9 and Item 11 on the cover pages to this Schedule 13G/A is hereby incorporated by reference.</w:t>
      </w:r>
    </w:p>
    <w:p>
      <w:pPr>
        <w:spacing w:after="0" w:line="2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5 percent of the class of securities, check the following [ X ].</w:t>
      </w:r>
    </w:p>
    <w:p>
      <w:pPr>
        <w:spacing w:after="0" w:line="1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Items 2 and 4 is hereby incorporated by reference.</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509270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49" w:right="439" w:bottom="1440" w:gutter="0" w:footer="0" w:header="0"/>
        </w:sectPr>
      </w:pPr>
    </w:p>
    <w:bookmarkStart w:id="7" w:name="page8"/>
    <w:bookmarkEnd w:id="7"/>
    <w:p>
      <w:pPr>
        <w:ind w:left="54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CONVERSANT OPPORTUNITY MASTER FUND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Conversant GP Holdings LLC</w:t>
      </w: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Paul Dumaine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Paul Dumaine</w:t>
      </w:r>
    </w:p>
    <w:p>
      <w:pPr>
        <w:spacing w:after="0" w:line="27"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 and Chief Compliance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CONVERSANT GP HOLDINGS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Paul Dumaine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5114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Paul Dumaine</w:t>
      </w:r>
    </w:p>
    <w:p>
      <w:pPr>
        <w:spacing w:after="0" w:line="27" w:lineRule="exact"/>
        <w:rPr>
          <w:sz w:val="20"/>
          <w:szCs w:val="20"/>
          <w:color w:val="auto"/>
        </w:rPr>
      </w:pPr>
    </w:p>
    <w:p>
      <w:pPr>
        <w:ind w:left="594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tab/>
        <w:t>General Counsel and Chief Compliance Officer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CONVERSANT CAPITAL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Paul Dumaine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5114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Paul Dumaine</w:t>
      </w:r>
    </w:p>
    <w:p>
      <w:pPr>
        <w:spacing w:after="0" w:line="27" w:lineRule="exact"/>
        <w:rPr>
          <w:sz w:val="20"/>
          <w:szCs w:val="20"/>
          <w:color w:val="auto"/>
        </w:rPr>
      </w:pPr>
    </w:p>
    <w:p>
      <w:pPr>
        <w:ind w:left="594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tab/>
        <w:t>General Counsel and Chief Compliance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MICHAEL SIMANOVSKY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Paul Dumaine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Attorney-in-Fact for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13G/A in respect of the Common Shares of Civeo Corporation is filed on behalf of each of the undersigned and that all subsequent amendments to this statement on Schedule 13G/A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or therein, but shall not be responsible for the completeness and accuracy of the information concerning the others, except to the extent that he or it knows or has reason to believe that such information is inaccurate.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February 14, 2024</w:t>
      </w:r>
    </w:p>
    <w:p>
      <w:pPr>
        <w:spacing w:after="0" w:line="200" w:lineRule="exact"/>
        <w:rPr>
          <w:sz w:val="20"/>
          <w:szCs w:val="20"/>
          <w:color w:val="auto"/>
        </w:rPr>
      </w:pP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CONVERSANT OPPORTUNITY MASTER FUND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Conversant GP Holdings LLC</w:t>
      </w: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Paul Dumaine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Paul Dumaine</w:t>
      </w:r>
    </w:p>
    <w:p>
      <w:pPr>
        <w:spacing w:after="0" w:line="27"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 and Chief Compliance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CONVERSANT GP HOLDINGS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Paul Dumaine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Paul Dumaine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General Counsel and Chief Compliance Officer</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CONVERSANT CAPITAL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Paul Dumaine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Paul Dumaine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General Counsel and Chief Compliance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MICHAEL SIMANOVSKY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Paul Dumaine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Attorney-in-Fact for Michael Simanovsky</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2024-02-14T12:19:35Z</dcterms:created>
  <dcterms:modified xsi:type="dcterms:W3CDTF">2024-02-14T12:19:35Z</dcterms:modified>
</cp:coreProperties>
</file>