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8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206" w:lineRule="exact"/>
        <w:rPr>
          <w:sz w:val="24"/>
          <w:szCs w:val="24"/>
          <w:color w:val="auto"/>
        </w:rPr>
      </w:pPr>
    </w:p>
    <w:p>
      <w:pPr>
        <w:jc w:val="right"/>
        <w:ind w:right="71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RULES 13d-1(b), (c) AND (d) AND AMENDMENTS THERETO FILED</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PURSUANT TO RULE 13d-2(b)</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Civeo Corporation</w:t>
      </w:r>
    </w:p>
    <w:p>
      <w:pPr>
        <w:spacing w:after="0" w:line="4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3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Common Shares, no par value per share</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3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17878Y207</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3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December 31, 2022</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2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19"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2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Prescott Group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364"/>
        <w:spacing w:after="0"/>
        <w:tabs>
          <w:tab w:leader="none" w:pos="14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7" w:lineRule="exact"/>
        <w:rPr>
          <w:sz w:val="20"/>
          <w:szCs w:val="20"/>
          <w:color w:val="auto"/>
        </w:rPr>
      </w:pPr>
    </w:p>
    <w:p>
      <w:pPr>
        <w:ind w:left="1480"/>
        <w:spacing w:after="0" w:line="253" w:lineRule="exact"/>
        <w:tabs>
          <w:tab w:leader="none" w:pos="2420" w:val="left"/>
        </w:tabs>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p>
      <w:pPr>
        <w:spacing w:after="0" w:line="244" w:lineRule="exact"/>
        <w:rPr>
          <w:sz w:val="20"/>
          <w:szCs w:val="20"/>
          <w:color w:val="auto"/>
        </w:rPr>
      </w:pPr>
    </w:p>
    <w:p>
      <w:pPr>
        <w:ind w:left="1480" w:hanging="1364"/>
        <w:spacing w:after="0"/>
        <w:tabs>
          <w:tab w:leader="none" w:pos="14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State of Oklahoma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5</w:t>
            </w:r>
          </w:p>
        </w:tc>
        <w:tc>
          <w:tcPr>
            <w:tcW w:w="81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NUMBER OF</w:t>
            </w:r>
          </w:p>
        </w:tc>
        <w:tc>
          <w:tcPr>
            <w:tcW w:w="780" w:type="dxa"/>
            <w:vAlign w:val="bottom"/>
          </w:tcPr>
          <w:p>
            <w:pPr>
              <w:spacing w:after="0"/>
              <w:rPr>
                <w:sz w:val="24"/>
                <w:szCs w:val="24"/>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784,988</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780" w:type="dxa"/>
            <w:vAlign w:val="bottom"/>
            <w:tcBorders>
              <w:bottom w:val="single" w:sz="8" w:color="auto"/>
            </w:tcBorders>
          </w:tcPr>
          <w:p>
            <w:pPr>
              <w:spacing w:after="0"/>
              <w:rPr>
                <w:sz w:val="10"/>
                <w:szCs w:val="10"/>
                <w:color w:val="auto"/>
              </w:rPr>
            </w:pPr>
          </w:p>
        </w:tc>
        <w:tc>
          <w:tcPr>
            <w:tcW w:w="8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BENEFICIALLY</w:t>
            </w:r>
          </w:p>
        </w:tc>
        <w:tc>
          <w:tcPr>
            <w:tcW w:w="780" w:type="dxa"/>
            <w:vAlign w:val="bottom"/>
            <w:vMerge w:val="continue"/>
          </w:tcPr>
          <w:p>
            <w:pPr>
              <w:spacing w:after="0"/>
              <w:rPr>
                <w:sz w:val="15"/>
                <w:szCs w:val="15"/>
                <w:color w:val="auto"/>
              </w:rPr>
            </w:pPr>
          </w:p>
        </w:tc>
        <w:tc>
          <w:tcPr>
            <w:tcW w:w="8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780" w:type="dxa"/>
            <w:vAlign w:val="bottom"/>
            <w:tcBorders>
              <w:bottom w:val="single" w:sz="8" w:color="auto"/>
            </w:tcBorders>
          </w:tcPr>
          <w:p>
            <w:pPr>
              <w:spacing w:after="0"/>
              <w:rPr>
                <w:sz w:val="12"/>
                <w:szCs w:val="12"/>
                <w:color w:val="auto"/>
              </w:rPr>
            </w:pPr>
          </w:p>
        </w:tc>
        <w:tc>
          <w:tcPr>
            <w:tcW w:w="8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020" w:type="dxa"/>
            <w:vAlign w:val="bottom"/>
            <w:vMerge w:val="restart"/>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780" w:type="dxa"/>
            <w:vAlign w:val="bottom"/>
            <w:vMerge w:val="continue"/>
          </w:tcPr>
          <w:p>
            <w:pPr>
              <w:spacing w:after="0"/>
              <w:rPr>
                <w:sz w:val="17"/>
                <w:szCs w:val="17"/>
                <w:color w:val="auto"/>
              </w:rPr>
            </w:pPr>
          </w:p>
        </w:tc>
        <w:tc>
          <w:tcPr>
            <w:tcW w:w="8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784,988</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020" w:type="dxa"/>
            <w:vAlign w:val="bottom"/>
            <w:vMerge w:val="restart"/>
          </w:tcPr>
          <w:p>
            <w:pPr>
              <w:jc w:val="center"/>
              <w:ind w:right="132"/>
              <w:spacing w:after="0"/>
              <w:rPr>
                <w:sz w:val="20"/>
                <w:szCs w:val="20"/>
                <w:color w:val="auto"/>
              </w:rPr>
            </w:pPr>
            <w:r>
              <w:rPr>
                <w:rFonts w:ascii="Times New Roman" w:cs="Times New Roman" w:eastAsia="Times New Roman" w:hAnsi="Times New Roman"/>
                <w:sz w:val="22"/>
                <w:szCs w:val="22"/>
                <w:color w:val="auto"/>
              </w:rPr>
              <w:t>WITH</w:t>
            </w:r>
          </w:p>
        </w:tc>
        <w:tc>
          <w:tcPr>
            <w:tcW w:w="78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9</w:t>
            </w:r>
          </w:p>
        </w:tc>
        <w:tc>
          <w:tcPr>
            <w:tcW w:w="10980" w:type="dxa"/>
            <w:vAlign w:val="bottom"/>
            <w:gridSpan w:val="3"/>
          </w:tcPr>
          <w:p>
            <w:pPr>
              <w:ind w:left="12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784,988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472"/>
        <w:spacing w:after="0"/>
        <w:tabs>
          <w:tab w:leader="none" w:pos="1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200" w:lineRule="exact"/>
        <w:rPr>
          <w:rFonts w:ascii="Times New Roman" w:cs="Times New Roman" w:eastAsia="Times New Roman" w:hAnsi="Times New Roman"/>
          <w:sz w:val="22"/>
          <w:szCs w:val="22"/>
          <w:color w:val="auto"/>
        </w:rPr>
      </w:pPr>
    </w:p>
    <w:p>
      <w:pPr>
        <w:ind w:left="148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07" w:lineRule="exact"/>
        <w:rPr>
          <w:rFonts w:ascii="Times New Roman" w:cs="Times New Roman" w:eastAsia="Times New Roman" w:hAnsi="Times New Roman"/>
          <w:sz w:val="22"/>
          <w:szCs w:val="22"/>
          <w:color w:val="auto"/>
        </w:rPr>
      </w:pPr>
    </w:p>
    <w:p>
      <w:pPr>
        <w:ind w:left="1480" w:right="3840" w:hanging="1472"/>
        <w:spacing w:after="0" w:line="353" w:lineRule="auto"/>
        <w:tabs>
          <w:tab w:leader="none" w:pos="1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5.7%**</w:t>
      </w:r>
    </w:p>
    <w:p>
      <w:pPr>
        <w:ind w:left="1480" w:right="6640" w:hanging="1472"/>
        <w:spacing w:after="0" w:line="477" w:lineRule="auto"/>
        <w:tabs>
          <w:tab w:leader="none" w:pos="1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ind w:right="6500" w:firstLine="8"/>
        <w:spacing w:after="0" w:line="258" w:lineRule="auto"/>
        <w:tabs>
          <w:tab w:leader="none" w:pos="45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2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CUSIP No. 17878Y207</w:t>
            </w:r>
          </w:p>
        </w:tc>
        <w:tc>
          <w:tcPr>
            <w:tcW w:w="17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w:t>
            </w:r>
          </w:p>
        </w:tc>
        <w:tc>
          <w:tcPr>
            <w:tcW w:w="1620" w:type="dxa"/>
            <w:vAlign w:val="bottom"/>
          </w:tcPr>
          <w:p>
            <w:pPr>
              <w:spacing w:after="0"/>
              <w:rPr>
                <w:sz w:val="24"/>
                <w:szCs w:val="24"/>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REPORTING PERSONS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Prescott Group Aggressive Small Cap, L.P.</w:t>
            </w: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60" w:type="dxa"/>
            <w:vAlign w:val="bottom"/>
          </w:tcPr>
          <w:p>
            <w:pPr>
              <w:jc w:val="right"/>
              <w:ind w:right="432"/>
              <w:spacing w:after="0" w:line="196" w:lineRule="exact"/>
              <w:rPr>
                <w:sz w:val="20"/>
                <w:szCs w:val="20"/>
                <w:color w:val="auto"/>
              </w:rPr>
            </w:pPr>
            <w:r>
              <w:rPr>
                <w:rFonts w:ascii="Times New Roman" w:cs="Times New Roman" w:eastAsia="Times New Roman" w:hAnsi="Times New Roman"/>
                <w:sz w:val="22"/>
                <w:szCs w:val="22"/>
                <w:color w:val="auto"/>
              </w:rPr>
              <w:t>2</w:t>
            </w:r>
          </w:p>
        </w:tc>
        <w:tc>
          <w:tcPr>
            <w:tcW w:w="1620" w:type="dxa"/>
            <w:vAlign w:val="bottom"/>
          </w:tcPr>
          <w:p>
            <w:pPr>
              <w:spacing w:after="0"/>
              <w:rPr>
                <w:sz w:val="16"/>
                <w:szCs w:val="16"/>
                <w:color w:val="auto"/>
              </w:rPr>
            </w:pPr>
          </w:p>
        </w:tc>
        <w:tc>
          <w:tcPr>
            <w:tcW w:w="61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22"/>
                <w:szCs w:val="22"/>
                <w:color w:val="auto"/>
                <w:w w:val="98"/>
              </w:rPr>
              <w:t>CHECK THE APPROPRIATE BOX IF A MEMBER OF A GROUP*</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tcPr>
          <w:p>
            <w:pPr>
              <w:ind w:left="40"/>
              <w:spacing w:after="0" w:line="253"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c>
          <w:tcPr>
            <w:tcW w:w="4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3</w:t>
            </w:r>
          </w:p>
        </w:tc>
        <w:tc>
          <w:tcPr>
            <w:tcW w:w="162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USE ONLY</w:t>
            </w:r>
          </w:p>
        </w:tc>
        <w:tc>
          <w:tcPr>
            <w:tcW w:w="4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gridSpan w:val="2"/>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4</w:t>
            </w:r>
          </w:p>
        </w:tc>
        <w:tc>
          <w:tcPr>
            <w:tcW w:w="1620" w:type="dxa"/>
            <w:vAlign w:val="bottom"/>
          </w:tcPr>
          <w:p>
            <w:pPr>
              <w:spacing w:after="0"/>
              <w:rPr>
                <w:sz w:val="24"/>
                <w:szCs w:val="24"/>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State of Oklahoma</w:t>
            </w:r>
          </w:p>
        </w:tc>
        <w:tc>
          <w:tcPr>
            <w:tcW w:w="4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60" w:type="dxa"/>
            <w:vAlign w:val="bottom"/>
          </w:tcPr>
          <w:p>
            <w:pPr>
              <w:jc w:val="right"/>
              <w:ind w:right="2952"/>
              <w:spacing w:after="0"/>
              <w:rPr>
                <w:sz w:val="20"/>
                <w:szCs w:val="20"/>
                <w:color w:val="auto"/>
              </w:rPr>
            </w:pPr>
            <w:r>
              <w:rPr>
                <w:rFonts w:ascii="Times New Roman" w:cs="Times New Roman" w:eastAsia="Times New Roman" w:hAnsi="Times New Roman"/>
                <w:sz w:val="22"/>
                <w:szCs w:val="22"/>
                <w:color w:val="auto"/>
              </w:rPr>
              <w:t>5</w:t>
            </w:r>
          </w:p>
        </w:tc>
        <w:tc>
          <w:tcPr>
            <w:tcW w:w="2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454"/>
        </w:trPr>
        <w:tc>
          <w:tcPr>
            <w:tcW w:w="760" w:type="dxa"/>
            <w:vAlign w:val="bottom"/>
          </w:tcPr>
          <w:p>
            <w:pPr>
              <w:spacing w:after="0"/>
              <w:rPr>
                <w:sz w:val="24"/>
                <w:szCs w:val="24"/>
                <w:color w:val="auto"/>
              </w:rPr>
            </w:pPr>
          </w:p>
        </w:tc>
        <w:tc>
          <w:tcPr>
            <w:tcW w:w="3320" w:type="dxa"/>
            <w:vAlign w:val="bottom"/>
            <w:gridSpan w:val="2"/>
            <w:vMerge w:val="restart"/>
          </w:tcPr>
          <w:p>
            <w:pPr>
              <w:jc w:val="center"/>
              <w:ind w:right="659"/>
              <w:spacing w:after="0"/>
              <w:rPr>
                <w:sz w:val="20"/>
                <w:szCs w:val="20"/>
                <w:color w:val="auto"/>
              </w:rPr>
            </w:pPr>
            <w:r>
              <w:rPr>
                <w:rFonts w:ascii="Times New Roman" w:cs="Times New Roman" w:eastAsia="Times New Roman" w:hAnsi="Times New Roman"/>
                <w:sz w:val="22"/>
                <w:szCs w:val="22"/>
                <w:color w:val="auto"/>
                <w:w w:val="97"/>
              </w:rPr>
              <w:t>NUMBER OF</w:t>
            </w:r>
          </w:p>
        </w:tc>
        <w:tc>
          <w:tcPr>
            <w:tcW w:w="4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3320" w:type="dxa"/>
            <w:vAlign w:val="bottom"/>
            <w:gridSpan w:val="2"/>
            <w:vMerge w:val="continue"/>
          </w:tcPr>
          <w:p>
            <w:pPr>
              <w:spacing w:after="0"/>
              <w:rPr>
                <w:sz w:val="9"/>
                <w:szCs w:val="9"/>
                <w:color w:val="auto"/>
              </w:rPr>
            </w:pPr>
          </w:p>
        </w:tc>
        <w:tc>
          <w:tcPr>
            <w:tcW w:w="4460" w:type="dxa"/>
            <w:vAlign w:val="bottom"/>
            <w:vMerge w:val="restart"/>
          </w:tcPr>
          <w:p>
            <w:pPr>
              <w:jc w:val="right"/>
              <w:ind w:right="2952"/>
              <w:spacing w:after="0"/>
              <w:rPr>
                <w:sz w:val="20"/>
                <w:szCs w:val="20"/>
                <w:color w:val="auto"/>
              </w:rPr>
            </w:pPr>
            <w:r>
              <w:rPr>
                <w:rFonts w:ascii="Times New Roman" w:cs="Times New Roman" w:eastAsia="Times New Roman" w:hAnsi="Times New Roman"/>
                <w:sz w:val="22"/>
                <w:szCs w:val="22"/>
                <w:color w:val="auto"/>
              </w:rPr>
              <w:t>6</w:t>
            </w:r>
          </w:p>
        </w:tc>
        <w:tc>
          <w:tcPr>
            <w:tcW w:w="2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3320" w:type="dxa"/>
            <w:vAlign w:val="bottom"/>
            <w:gridSpan w:val="2"/>
            <w:vMerge w:val="restart"/>
          </w:tcPr>
          <w:p>
            <w:pPr>
              <w:jc w:val="center"/>
              <w:ind w:right="659"/>
              <w:spacing w:after="0" w:line="243" w:lineRule="exact"/>
              <w:rPr>
                <w:sz w:val="20"/>
                <w:szCs w:val="20"/>
                <w:color w:val="auto"/>
              </w:rPr>
            </w:pPr>
            <w:r>
              <w:rPr>
                <w:rFonts w:ascii="Times New Roman" w:cs="Times New Roman" w:eastAsia="Times New Roman" w:hAnsi="Times New Roman"/>
                <w:sz w:val="22"/>
                <w:szCs w:val="22"/>
                <w:color w:val="auto"/>
                <w:w w:val="99"/>
              </w:rPr>
              <w:t>SHARES</w:t>
            </w:r>
          </w:p>
        </w:tc>
        <w:tc>
          <w:tcPr>
            <w:tcW w:w="446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3320" w:type="dxa"/>
            <w:vAlign w:val="bottom"/>
            <w:gridSpan w:val="2"/>
            <w:vMerge w:val="continue"/>
          </w:tcPr>
          <w:p>
            <w:pPr>
              <w:spacing w:after="0"/>
              <w:rPr>
                <w:sz w:val="5"/>
                <w:szCs w:val="5"/>
                <w:color w:val="auto"/>
              </w:rPr>
            </w:pPr>
          </w:p>
        </w:tc>
        <w:tc>
          <w:tcPr>
            <w:tcW w:w="44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3320" w:type="dxa"/>
            <w:vAlign w:val="bottom"/>
            <w:gridSpan w:val="2"/>
          </w:tcPr>
          <w:p>
            <w:pPr>
              <w:jc w:val="center"/>
              <w:ind w:right="659"/>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4460" w:type="dxa"/>
            <w:vAlign w:val="bottom"/>
          </w:tcPr>
          <w:p>
            <w:pPr>
              <w:spacing w:after="0"/>
              <w:rPr>
                <w:sz w:val="21"/>
                <w:szCs w:val="21"/>
                <w:color w:val="auto"/>
              </w:rPr>
            </w:pPr>
          </w:p>
        </w:tc>
        <w:tc>
          <w:tcPr>
            <w:tcW w:w="2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784,988</w:t>
            </w: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3320" w:type="dxa"/>
            <w:vAlign w:val="bottom"/>
            <w:gridSpan w:val="2"/>
            <w:vMerge w:val="restart"/>
          </w:tcPr>
          <w:p>
            <w:pPr>
              <w:jc w:val="center"/>
              <w:ind w:right="659"/>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446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3320" w:type="dxa"/>
            <w:vAlign w:val="bottom"/>
            <w:gridSpan w:val="2"/>
            <w:vMerge w:val="continue"/>
          </w:tcPr>
          <w:p>
            <w:pPr>
              <w:spacing w:after="0"/>
              <w:rPr>
                <w:sz w:val="7"/>
                <w:szCs w:val="7"/>
                <w:color w:val="auto"/>
              </w:rPr>
            </w:pPr>
          </w:p>
        </w:tc>
        <w:tc>
          <w:tcPr>
            <w:tcW w:w="4460" w:type="dxa"/>
            <w:vAlign w:val="bottom"/>
            <w:vMerge w:val="restart"/>
          </w:tcPr>
          <w:p>
            <w:pPr>
              <w:jc w:val="right"/>
              <w:ind w:right="2952"/>
              <w:spacing w:after="0" w:line="216" w:lineRule="exact"/>
              <w:rPr>
                <w:sz w:val="20"/>
                <w:szCs w:val="20"/>
                <w:color w:val="auto"/>
              </w:rPr>
            </w:pPr>
            <w:r>
              <w:rPr>
                <w:rFonts w:ascii="Times New Roman" w:cs="Times New Roman" w:eastAsia="Times New Roman" w:hAnsi="Times New Roman"/>
                <w:sz w:val="22"/>
                <w:szCs w:val="22"/>
                <w:color w:val="auto"/>
              </w:rPr>
              <w:t>7</w:t>
            </w:r>
          </w:p>
        </w:tc>
        <w:tc>
          <w:tcPr>
            <w:tcW w:w="2700" w:type="dxa"/>
            <w:vAlign w:val="bottom"/>
            <w:vMerge w:val="restart"/>
          </w:tcPr>
          <w:p>
            <w:pPr>
              <w:ind w:left="60"/>
              <w:spacing w:after="0" w:line="216" w:lineRule="exact"/>
              <w:rPr>
                <w:sz w:val="20"/>
                <w:szCs w:val="20"/>
                <w:color w:val="auto"/>
              </w:rPr>
            </w:pPr>
            <w:r>
              <w:rPr>
                <w:rFonts w:ascii="Times New Roman" w:cs="Times New Roman" w:eastAsia="Times New Roman" w:hAnsi="Times New Roman"/>
                <w:sz w:val="22"/>
                <w:szCs w:val="22"/>
                <w:color w:val="auto"/>
              </w:rPr>
              <w:t>SOLE DISPOSITIVE</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620" w:type="dxa"/>
            <w:vAlign w:val="bottom"/>
            <w:vMerge w:val="restart"/>
          </w:tcPr>
          <w:p>
            <w:pPr>
              <w:jc w:val="center"/>
              <w:ind w:left="832"/>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700" w:type="dxa"/>
            <w:vAlign w:val="bottom"/>
          </w:tcPr>
          <w:p>
            <w:pPr>
              <w:spacing w:after="0"/>
              <w:rPr>
                <w:sz w:val="11"/>
                <w:szCs w:val="11"/>
                <w:color w:val="auto"/>
              </w:rPr>
            </w:pPr>
          </w:p>
        </w:tc>
        <w:tc>
          <w:tcPr>
            <w:tcW w:w="4460" w:type="dxa"/>
            <w:vAlign w:val="bottom"/>
            <w:vMerge w:val="continue"/>
          </w:tcPr>
          <w:p>
            <w:pPr>
              <w:spacing w:after="0"/>
              <w:rPr>
                <w:sz w:val="11"/>
                <w:szCs w:val="11"/>
                <w:color w:val="auto"/>
              </w:rPr>
            </w:pPr>
          </w:p>
        </w:tc>
        <w:tc>
          <w:tcPr>
            <w:tcW w:w="2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3320" w:type="dxa"/>
            <w:vAlign w:val="bottom"/>
            <w:gridSpan w:val="2"/>
            <w:vMerge w:val="restart"/>
          </w:tcPr>
          <w:p>
            <w:pPr>
              <w:jc w:val="center"/>
              <w:ind w:right="659"/>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4460" w:type="dxa"/>
            <w:vAlign w:val="bottom"/>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760" w:type="dxa"/>
            <w:vAlign w:val="bottom"/>
          </w:tcPr>
          <w:p>
            <w:pPr>
              <w:spacing w:after="0"/>
              <w:rPr>
                <w:sz w:val="5"/>
                <w:szCs w:val="5"/>
                <w:color w:val="auto"/>
              </w:rPr>
            </w:pPr>
          </w:p>
        </w:tc>
        <w:tc>
          <w:tcPr>
            <w:tcW w:w="3320" w:type="dxa"/>
            <w:vAlign w:val="bottom"/>
            <w:gridSpan w:val="2"/>
            <w:vMerge w:val="continue"/>
          </w:tcPr>
          <w:p>
            <w:pPr>
              <w:spacing w:after="0"/>
              <w:rPr>
                <w:sz w:val="5"/>
                <w:szCs w:val="5"/>
                <w:color w:val="auto"/>
              </w:rPr>
            </w:pPr>
          </w:p>
        </w:tc>
        <w:tc>
          <w:tcPr>
            <w:tcW w:w="44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3320" w:type="dxa"/>
            <w:vAlign w:val="bottom"/>
            <w:gridSpan w:val="2"/>
          </w:tcPr>
          <w:p>
            <w:pPr>
              <w:jc w:val="center"/>
              <w:ind w:right="659"/>
              <w:spacing w:after="0" w:line="243" w:lineRule="exact"/>
              <w:rPr>
                <w:sz w:val="20"/>
                <w:szCs w:val="20"/>
                <w:color w:val="auto"/>
              </w:rPr>
            </w:pPr>
            <w:r>
              <w:rPr>
                <w:rFonts w:ascii="Times New Roman" w:cs="Times New Roman" w:eastAsia="Times New Roman" w:hAnsi="Times New Roman"/>
                <w:sz w:val="22"/>
                <w:szCs w:val="22"/>
                <w:color w:val="auto"/>
                <w:w w:val="99"/>
              </w:rPr>
              <w:t>PERSON</w:t>
            </w:r>
          </w:p>
        </w:tc>
        <w:tc>
          <w:tcPr>
            <w:tcW w:w="4460" w:type="dxa"/>
            <w:vAlign w:val="bottom"/>
          </w:tcPr>
          <w:p>
            <w:pPr>
              <w:spacing w:after="0"/>
              <w:rPr>
                <w:sz w:val="21"/>
                <w:szCs w:val="21"/>
                <w:color w:val="auto"/>
              </w:rPr>
            </w:pPr>
          </w:p>
        </w:tc>
        <w:tc>
          <w:tcPr>
            <w:tcW w:w="2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620" w:type="dxa"/>
            <w:vAlign w:val="bottom"/>
            <w:vMerge w:val="restart"/>
          </w:tcPr>
          <w:p>
            <w:pPr>
              <w:jc w:val="center"/>
              <w:ind w:left="832"/>
              <w:spacing w:after="0"/>
              <w:rPr>
                <w:sz w:val="20"/>
                <w:szCs w:val="20"/>
                <w:color w:val="auto"/>
              </w:rPr>
            </w:pPr>
            <w:r>
              <w:rPr>
                <w:rFonts w:ascii="Times New Roman" w:cs="Times New Roman" w:eastAsia="Times New Roman" w:hAnsi="Times New Roman"/>
                <w:sz w:val="22"/>
                <w:szCs w:val="22"/>
                <w:color w:val="auto"/>
                <w:w w:val="97"/>
              </w:rPr>
              <w:t>WITH</w:t>
            </w:r>
          </w:p>
        </w:tc>
        <w:tc>
          <w:tcPr>
            <w:tcW w:w="1700" w:type="dxa"/>
            <w:vAlign w:val="bottom"/>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6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4460" w:type="dxa"/>
            <w:vAlign w:val="bottom"/>
            <w:vMerge w:val="restart"/>
          </w:tcPr>
          <w:p>
            <w:pPr>
              <w:jc w:val="right"/>
              <w:ind w:right="2952"/>
              <w:spacing w:after="0" w:line="216" w:lineRule="exact"/>
              <w:rPr>
                <w:sz w:val="20"/>
                <w:szCs w:val="20"/>
                <w:color w:val="auto"/>
              </w:rPr>
            </w:pPr>
            <w:r>
              <w:rPr>
                <w:rFonts w:ascii="Times New Roman" w:cs="Times New Roman" w:eastAsia="Times New Roman" w:hAnsi="Times New Roman"/>
                <w:sz w:val="22"/>
                <w:szCs w:val="22"/>
                <w:color w:val="auto"/>
              </w:rPr>
              <w:t>8</w:t>
            </w:r>
          </w:p>
        </w:tc>
        <w:tc>
          <w:tcPr>
            <w:tcW w:w="2700" w:type="dxa"/>
            <w:vAlign w:val="bottom"/>
            <w:vMerge w:val="restart"/>
          </w:tcPr>
          <w:p>
            <w:pPr>
              <w:ind w:left="60"/>
              <w:spacing w:after="0" w:line="216" w:lineRule="exact"/>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123"/>
        </w:trPr>
        <w:tc>
          <w:tcPr>
            <w:tcW w:w="7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46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481"/>
        </w:trPr>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784,988</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1620" w:type="dxa"/>
            <w:vAlign w:val="bottom"/>
          </w:tcPr>
          <w:p>
            <w:pPr>
              <w:spacing w:after="0"/>
              <w:rPr>
                <w:sz w:val="24"/>
                <w:szCs w:val="24"/>
                <w:color w:val="auto"/>
              </w:rPr>
            </w:pPr>
          </w:p>
        </w:tc>
        <w:tc>
          <w:tcPr>
            <w:tcW w:w="88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54"/>
        </w:trPr>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784,988</w:t>
            </w:r>
          </w:p>
        </w:tc>
        <w:tc>
          <w:tcPr>
            <w:tcW w:w="4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10</w:t>
            </w:r>
          </w:p>
        </w:tc>
        <w:tc>
          <w:tcPr>
            <w:tcW w:w="1620" w:type="dxa"/>
            <w:vAlign w:val="bottom"/>
          </w:tcPr>
          <w:p>
            <w:pPr>
              <w:spacing w:after="0"/>
              <w:rPr>
                <w:sz w:val="24"/>
                <w:szCs w:val="24"/>
                <w:color w:val="auto"/>
              </w:rPr>
            </w:pPr>
          </w:p>
        </w:tc>
        <w:tc>
          <w:tcPr>
            <w:tcW w:w="88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8"/>
              </w:rPr>
              <w:t>CHECK BOX IF THE AGGREGATE AMOUNT IN ROW (11) EXCLUDES CERTAIN SHARES*</w:t>
            </w:r>
          </w:p>
        </w:tc>
        <w:tc>
          <w:tcPr>
            <w:tcW w:w="0" w:type="dxa"/>
            <w:vAlign w:val="bottom"/>
          </w:tcPr>
          <w:p>
            <w:pPr>
              <w:spacing w:after="0"/>
              <w:rPr>
                <w:sz w:val="1"/>
                <w:szCs w:val="1"/>
                <w:color w:val="auto"/>
              </w:rPr>
            </w:pPr>
          </w:p>
        </w:tc>
      </w:tr>
      <w:tr>
        <w:trPr>
          <w:trHeight w:val="467"/>
        </w:trPr>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4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1620" w:type="dxa"/>
            <w:vAlign w:val="bottom"/>
          </w:tcPr>
          <w:p>
            <w:pPr>
              <w:spacing w:after="0"/>
              <w:rPr>
                <w:sz w:val="24"/>
                <w:szCs w:val="24"/>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5.7% **</w:t>
            </w:r>
          </w:p>
        </w:tc>
        <w:tc>
          <w:tcPr>
            <w:tcW w:w="4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12</w:t>
            </w:r>
          </w:p>
        </w:tc>
        <w:tc>
          <w:tcPr>
            <w:tcW w:w="1620" w:type="dxa"/>
            <w:vAlign w:val="bottom"/>
          </w:tcPr>
          <w:p>
            <w:pPr>
              <w:spacing w:after="0"/>
              <w:rPr>
                <w:sz w:val="24"/>
                <w:szCs w:val="24"/>
                <w:color w:val="auto"/>
              </w:rPr>
            </w:pPr>
          </w:p>
        </w:tc>
        <w:tc>
          <w:tcPr>
            <w:tcW w:w="6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6500" w:firstLine="8"/>
        <w:spacing w:after="0" w:line="258" w:lineRule="auto"/>
        <w:tabs>
          <w:tab w:leader="none" w:pos="45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Prescott Group Aggressive Small Cap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364"/>
        <w:spacing w:after="0"/>
        <w:tabs>
          <w:tab w:leader="none" w:pos="1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7" w:lineRule="exact"/>
        <w:rPr>
          <w:sz w:val="20"/>
          <w:szCs w:val="20"/>
          <w:color w:val="auto"/>
        </w:rPr>
      </w:pPr>
    </w:p>
    <w:p>
      <w:pPr>
        <w:ind w:left="1480"/>
        <w:spacing w:after="0" w:line="253" w:lineRule="exact"/>
        <w:tabs>
          <w:tab w:leader="none" w:pos="2420" w:val="left"/>
        </w:tabs>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p>
      <w:pPr>
        <w:spacing w:after="0" w:line="244" w:lineRule="exact"/>
        <w:rPr>
          <w:sz w:val="20"/>
          <w:szCs w:val="20"/>
          <w:color w:val="auto"/>
        </w:rPr>
      </w:pPr>
    </w:p>
    <w:p>
      <w:pPr>
        <w:ind w:left="1480" w:hanging="1364"/>
        <w:spacing w:after="0"/>
        <w:tabs>
          <w:tab w:leader="none" w:pos="14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State of Oklahoma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5</w:t>
            </w:r>
          </w:p>
        </w:tc>
        <w:tc>
          <w:tcPr>
            <w:tcW w:w="81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NUMBER OF</w:t>
            </w:r>
          </w:p>
        </w:tc>
        <w:tc>
          <w:tcPr>
            <w:tcW w:w="780" w:type="dxa"/>
            <w:vAlign w:val="bottom"/>
          </w:tcPr>
          <w:p>
            <w:pPr>
              <w:spacing w:after="0"/>
              <w:rPr>
                <w:sz w:val="24"/>
                <w:szCs w:val="24"/>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780" w:type="dxa"/>
            <w:vAlign w:val="bottom"/>
            <w:tcBorders>
              <w:bottom w:val="single" w:sz="8" w:color="auto"/>
            </w:tcBorders>
          </w:tcPr>
          <w:p>
            <w:pPr>
              <w:spacing w:after="0"/>
              <w:rPr>
                <w:sz w:val="10"/>
                <w:szCs w:val="10"/>
                <w:color w:val="auto"/>
              </w:rPr>
            </w:pPr>
          </w:p>
        </w:tc>
        <w:tc>
          <w:tcPr>
            <w:tcW w:w="8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BENEFICIALLY</w:t>
            </w:r>
          </w:p>
        </w:tc>
        <w:tc>
          <w:tcPr>
            <w:tcW w:w="780" w:type="dxa"/>
            <w:vAlign w:val="bottom"/>
            <w:vMerge w:val="continue"/>
          </w:tcPr>
          <w:p>
            <w:pPr>
              <w:spacing w:after="0"/>
              <w:rPr>
                <w:sz w:val="15"/>
                <w:szCs w:val="15"/>
                <w:color w:val="auto"/>
              </w:rPr>
            </w:pPr>
          </w:p>
        </w:tc>
        <w:tc>
          <w:tcPr>
            <w:tcW w:w="8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784,988</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780" w:type="dxa"/>
            <w:vAlign w:val="bottom"/>
            <w:tcBorders>
              <w:bottom w:val="single" w:sz="8" w:color="auto"/>
            </w:tcBorders>
          </w:tcPr>
          <w:p>
            <w:pPr>
              <w:spacing w:after="0"/>
              <w:rPr>
                <w:sz w:val="12"/>
                <w:szCs w:val="12"/>
                <w:color w:val="auto"/>
              </w:rPr>
            </w:pPr>
          </w:p>
        </w:tc>
        <w:tc>
          <w:tcPr>
            <w:tcW w:w="8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020" w:type="dxa"/>
            <w:vAlign w:val="bottom"/>
            <w:vMerge w:val="restart"/>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780" w:type="dxa"/>
            <w:vAlign w:val="bottom"/>
            <w:vMerge w:val="continue"/>
          </w:tcPr>
          <w:p>
            <w:pPr>
              <w:spacing w:after="0"/>
              <w:rPr>
                <w:sz w:val="17"/>
                <w:szCs w:val="17"/>
                <w:color w:val="auto"/>
              </w:rPr>
            </w:pPr>
          </w:p>
        </w:tc>
        <w:tc>
          <w:tcPr>
            <w:tcW w:w="8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020" w:type="dxa"/>
            <w:vAlign w:val="bottom"/>
            <w:vMerge w:val="restart"/>
          </w:tcPr>
          <w:p>
            <w:pPr>
              <w:jc w:val="center"/>
              <w:ind w:right="132"/>
              <w:spacing w:after="0"/>
              <w:rPr>
                <w:sz w:val="20"/>
                <w:szCs w:val="20"/>
                <w:color w:val="auto"/>
              </w:rPr>
            </w:pPr>
            <w:r>
              <w:rPr>
                <w:rFonts w:ascii="Times New Roman" w:cs="Times New Roman" w:eastAsia="Times New Roman" w:hAnsi="Times New Roman"/>
                <w:sz w:val="22"/>
                <w:szCs w:val="22"/>
                <w:color w:val="auto"/>
              </w:rPr>
              <w:t>WITH</w:t>
            </w:r>
          </w:p>
        </w:tc>
        <w:tc>
          <w:tcPr>
            <w:tcW w:w="78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784,988</w:t>
            </w:r>
          </w:p>
        </w:tc>
        <w:tc>
          <w:tcPr>
            <w:tcW w:w="0" w:type="dxa"/>
            <w:vAlign w:val="bottom"/>
          </w:tcPr>
          <w:p>
            <w:pPr>
              <w:spacing w:after="0"/>
              <w:rPr>
                <w:sz w:val="1"/>
                <w:szCs w:val="1"/>
                <w:color w:val="auto"/>
              </w:rPr>
            </w:pPr>
          </w:p>
        </w:tc>
      </w:tr>
      <w:tr>
        <w:trPr>
          <w:trHeight w:val="282"/>
        </w:trPr>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9</w:t>
            </w:r>
          </w:p>
        </w:tc>
        <w:tc>
          <w:tcPr>
            <w:tcW w:w="10980" w:type="dxa"/>
            <w:vAlign w:val="bottom"/>
            <w:gridSpan w:val="3"/>
          </w:tcPr>
          <w:p>
            <w:pPr>
              <w:ind w:left="12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784,988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472"/>
        <w:spacing w:after="0"/>
        <w:tabs>
          <w:tab w:leader="none" w:pos="14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200" w:lineRule="exact"/>
        <w:rPr>
          <w:rFonts w:ascii="Times New Roman" w:cs="Times New Roman" w:eastAsia="Times New Roman" w:hAnsi="Times New Roman"/>
          <w:sz w:val="22"/>
          <w:szCs w:val="22"/>
          <w:color w:val="auto"/>
        </w:rPr>
      </w:pPr>
    </w:p>
    <w:p>
      <w:pPr>
        <w:ind w:left="148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07" w:lineRule="exact"/>
        <w:rPr>
          <w:rFonts w:ascii="Times New Roman" w:cs="Times New Roman" w:eastAsia="Times New Roman" w:hAnsi="Times New Roman"/>
          <w:sz w:val="22"/>
          <w:szCs w:val="22"/>
          <w:color w:val="auto"/>
        </w:rPr>
      </w:pPr>
    </w:p>
    <w:p>
      <w:pPr>
        <w:ind w:left="1480" w:right="3840" w:hanging="1472"/>
        <w:spacing w:after="0" w:line="353" w:lineRule="auto"/>
        <w:tabs>
          <w:tab w:leader="none" w:pos="14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5.7%**</w:t>
      </w:r>
    </w:p>
    <w:p>
      <w:pPr>
        <w:ind w:left="1480" w:right="6640" w:hanging="1472"/>
        <w:spacing w:after="0" w:line="477" w:lineRule="auto"/>
        <w:tabs>
          <w:tab w:leader="none" w:pos="14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ind w:right="6500" w:firstLine="8"/>
        <w:spacing w:after="0" w:line="258" w:lineRule="auto"/>
        <w:tabs>
          <w:tab w:leader="none" w:pos="45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Prescott Group Aggressive Small Cap Master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364"/>
        <w:spacing w:after="0"/>
        <w:tabs>
          <w:tab w:leader="none" w:pos="14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7" w:lineRule="exact"/>
        <w:rPr>
          <w:sz w:val="20"/>
          <w:szCs w:val="20"/>
          <w:color w:val="auto"/>
        </w:rPr>
      </w:pPr>
    </w:p>
    <w:p>
      <w:pPr>
        <w:ind w:left="1480"/>
        <w:spacing w:after="0" w:line="253" w:lineRule="exact"/>
        <w:tabs>
          <w:tab w:leader="none" w:pos="2420" w:val="left"/>
        </w:tabs>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p>
      <w:pPr>
        <w:spacing w:after="0" w:line="244" w:lineRule="exact"/>
        <w:rPr>
          <w:sz w:val="20"/>
          <w:szCs w:val="20"/>
          <w:color w:val="auto"/>
        </w:rPr>
      </w:pPr>
    </w:p>
    <w:p>
      <w:pPr>
        <w:ind w:left="1480" w:hanging="1364"/>
        <w:spacing w:after="0"/>
        <w:tabs>
          <w:tab w:leader="none" w:pos="14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State of Oklahoma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color w:val="auto"/>
              </w:rPr>
              <w:t>5</w:t>
            </w:r>
          </w:p>
        </w:tc>
        <w:tc>
          <w:tcPr>
            <w:tcW w:w="76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NUMBER OF</w:t>
            </w:r>
          </w:p>
        </w:tc>
        <w:tc>
          <w:tcPr>
            <w:tcW w:w="1360" w:type="dxa"/>
            <w:vAlign w:val="bottom"/>
          </w:tcPr>
          <w:p>
            <w:pPr>
              <w:spacing w:after="0"/>
              <w:rPr>
                <w:sz w:val="24"/>
                <w:szCs w:val="24"/>
                <w:color w:val="auto"/>
              </w:rPr>
            </w:pPr>
          </w:p>
        </w:tc>
        <w:tc>
          <w:tcPr>
            <w:tcW w:w="760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1360" w:type="dxa"/>
            <w:vAlign w:val="bottom"/>
            <w:tcBorders>
              <w:bottom w:val="single" w:sz="8" w:color="auto"/>
            </w:tcBorders>
          </w:tcPr>
          <w:p>
            <w:pPr>
              <w:spacing w:after="0"/>
              <w:rPr>
                <w:sz w:val="10"/>
                <w:szCs w:val="10"/>
                <w:color w:val="auto"/>
              </w:rPr>
            </w:pPr>
          </w:p>
        </w:tc>
        <w:tc>
          <w:tcPr>
            <w:tcW w:w="7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136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6</w:t>
            </w:r>
          </w:p>
        </w:tc>
        <w:tc>
          <w:tcPr>
            <w:tcW w:w="760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BENEFICIALLY</w:t>
            </w:r>
          </w:p>
        </w:tc>
        <w:tc>
          <w:tcPr>
            <w:tcW w:w="1360" w:type="dxa"/>
            <w:vAlign w:val="bottom"/>
            <w:vMerge w:val="continue"/>
          </w:tcPr>
          <w:p>
            <w:pPr>
              <w:spacing w:after="0"/>
              <w:rPr>
                <w:sz w:val="15"/>
                <w:szCs w:val="15"/>
                <w:color w:val="auto"/>
              </w:rPr>
            </w:pPr>
          </w:p>
        </w:tc>
        <w:tc>
          <w:tcPr>
            <w:tcW w:w="7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7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1360" w:type="dxa"/>
            <w:vAlign w:val="bottom"/>
          </w:tcPr>
          <w:p>
            <w:pPr>
              <w:spacing w:after="0"/>
              <w:rPr>
                <w:sz w:val="21"/>
                <w:szCs w:val="21"/>
                <w:color w:val="auto"/>
              </w:rPr>
            </w:pPr>
          </w:p>
        </w:tc>
        <w:tc>
          <w:tcPr>
            <w:tcW w:w="760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784,988</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1360" w:type="dxa"/>
            <w:vAlign w:val="bottom"/>
            <w:tcBorders>
              <w:bottom w:val="single" w:sz="8" w:color="auto"/>
            </w:tcBorders>
          </w:tcPr>
          <w:p>
            <w:pPr>
              <w:spacing w:after="0"/>
              <w:rPr>
                <w:sz w:val="12"/>
                <w:szCs w:val="12"/>
                <w:color w:val="auto"/>
              </w:rPr>
            </w:pPr>
          </w:p>
        </w:tc>
        <w:tc>
          <w:tcPr>
            <w:tcW w:w="7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36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7</w:t>
            </w:r>
          </w:p>
        </w:tc>
        <w:tc>
          <w:tcPr>
            <w:tcW w:w="760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020" w:type="dxa"/>
            <w:vAlign w:val="bottom"/>
            <w:vMerge w:val="restart"/>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1360" w:type="dxa"/>
            <w:vAlign w:val="bottom"/>
            <w:vMerge w:val="continue"/>
          </w:tcPr>
          <w:p>
            <w:pPr>
              <w:spacing w:after="0"/>
              <w:rPr>
                <w:sz w:val="17"/>
                <w:szCs w:val="17"/>
                <w:color w:val="auto"/>
              </w:rPr>
            </w:pPr>
          </w:p>
        </w:tc>
        <w:tc>
          <w:tcPr>
            <w:tcW w:w="7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1360" w:type="dxa"/>
            <w:vAlign w:val="bottom"/>
          </w:tcPr>
          <w:p>
            <w:pPr>
              <w:spacing w:after="0"/>
              <w:rPr>
                <w:sz w:val="3"/>
                <w:szCs w:val="3"/>
                <w:color w:val="auto"/>
              </w:rPr>
            </w:pPr>
          </w:p>
        </w:tc>
        <w:tc>
          <w:tcPr>
            <w:tcW w:w="7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1360" w:type="dxa"/>
            <w:vAlign w:val="bottom"/>
          </w:tcPr>
          <w:p>
            <w:pPr>
              <w:spacing w:after="0"/>
              <w:rPr>
                <w:sz w:val="21"/>
                <w:szCs w:val="21"/>
                <w:color w:val="auto"/>
              </w:rPr>
            </w:pPr>
          </w:p>
        </w:tc>
        <w:tc>
          <w:tcPr>
            <w:tcW w:w="760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020" w:type="dxa"/>
            <w:vAlign w:val="bottom"/>
            <w:vMerge w:val="restart"/>
          </w:tcPr>
          <w:p>
            <w:pPr>
              <w:jc w:val="center"/>
              <w:ind w:right="132"/>
              <w:spacing w:after="0"/>
              <w:rPr>
                <w:sz w:val="20"/>
                <w:szCs w:val="20"/>
                <w:color w:val="auto"/>
              </w:rPr>
            </w:pPr>
            <w:r>
              <w:rPr>
                <w:rFonts w:ascii="Times New Roman" w:cs="Times New Roman" w:eastAsia="Times New Roman" w:hAnsi="Times New Roman"/>
                <w:sz w:val="22"/>
                <w:szCs w:val="22"/>
                <w:color w:val="auto"/>
              </w:rPr>
              <w:t>WITH</w:t>
            </w:r>
          </w:p>
        </w:tc>
        <w:tc>
          <w:tcPr>
            <w:tcW w:w="1360" w:type="dxa"/>
            <w:vAlign w:val="bottom"/>
            <w:tcBorders>
              <w:bottom w:val="single" w:sz="8" w:color="auto"/>
            </w:tcBorders>
          </w:tcPr>
          <w:p>
            <w:pPr>
              <w:spacing w:after="0"/>
              <w:rPr>
                <w:sz w:val="14"/>
                <w:szCs w:val="14"/>
                <w:color w:val="auto"/>
              </w:rPr>
            </w:pPr>
          </w:p>
        </w:tc>
        <w:tc>
          <w:tcPr>
            <w:tcW w:w="7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136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8</w:t>
            </w:r>
          </w:p>
        </w:tc>
        <w:tc>
          <w:tcPr>
            <w:tcW w:w="760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7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2"/>
                <w:szCs w:val="22"/>
                <w:color w:val="auto"/>
              </w:rPr>
              <w:t>784,988</w:t>
            </w:r>
          </w:p>
        </w:tc>
        <w:tc>
          <w:tcPr>
            <w:tcW w:w="0" w:type="dxa"/>
            <w:vAlign w:val="bottom"/>
          </w:tcPr>
          <w:p>
            <w:pPr>
              <w:spacing w:after="0"/>
              <w:rPr>
                <w:sz w:val="1"/>
                <w:szCs w:val="1"/>
                <w:color w:val="auto"/>
              </w:rPr>
            </w:pPr>
          </w:p>
        </w:tc>
      </w:tr>
      <w:tr>
        <w:trPr>
          <w:trHeight w:val="282"/>
        </w:trPr>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9</w:t>
            </w:r>
          </w:p>
        </w:tc>
        <w:tc>
          <w:tcPr>
            <w:tcW w:w="10980" w:type="dxa"/>
            <w:vAlign w:val="bottom"/>
            <w:gridSpan w:val="3"/>
          </w:tcPr>
          <w:p>
            <w:pPr>
              <w:ind w:left="12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784,988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472"/>
        <w:spacing w:after="0"/>
        <w:tabs>
          <w:tab w:leader="none" w:pos="14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200" w:lineRule="exact"/>
        <w:rPr>
          <w:rFonts w:ascii="Times New Roman" w:cs="Times New Roman" w:eastAsia="Times New Roman" w:hAnsi="Times New Roman"/>
          <w:sz w:val="22"/>
          <w:szCs w:val="22"/>
          <w:color w:val="auto"/>
        </w:rPr>
      </w:pPr>
    </w:p>
    <w:p>
      <w:pPr>
        <w:ind w:left="148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07" w:lineRule="exact"/>
        <w:rPr>
          <w:rFonts w:ascii="Times New Roman" w:cs="Times New Roman" w:eastAsia="Times New Roman" w:hAnsi="Times New Roman"/>
          <w:sz w:val="22"/>
          <w:szCs w:val="22"/>
          <w:color w:val="auto"/>
        </w:rPr>
      </w:pPr>
    </w:p>
    <w:p>
      <w:pPr>
        <w:ind w:left="1480" w:right="3840" w:hanging="1472"/>
        <w:spacing w:after="0" w:line="353" w:lineRule="auto"/>
        <w:tabs>
          <w:tab w:leader="none" w:pos="14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5.7% **</w:t>
      </w:r>
    </w:p>
    <w:p>
      <w:pPr>
        <w:ind w:left="1480" w:right="6640" w:hanging="1472"/>
        <w:spacing w:after="0" w:line="477" w:lineRule="auto"/>
        <w:tabs>
          <w:tab w:leader="none" w:pos="14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ind w:right="6500" w:firstLine="8"/>
        <w:spacing w:after="0" w:line="258" w:lineRule="auto"/>
        <w:tabs>
          <w:tab w:leader="none" w:pos="45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17878Y207</w:t>
      </w:r>
    </w:p>
    <w:p>
      <w:pPr>
        <w:spacing w:after="0" w:line="233" w:lineRule="exact"/>
        <w:rPr>
          <w:sz w:val="20"/>
          <w:szCs w:val="20"/>
          <w:color w:val="auto"/>
        </w:rPr>
      </w:pPr>
    </w:p>
    <w:p>
      <w:pPr>
        <w:ind w:left="1480" w:hanging="1364"/>
        <w:spacing w:after="0"/>
        <w:tabs>
          <w:tab w:leader="none" w:pos="14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364"/>
        <w:spacing w:after="0"/>
        <w:tabs>
          <w:tab w:leader="none" w:pos="14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7" w:lineRule="exact"/>
        <w:rPr>
          <w:sz w:val="20"/>
          <w:szCs w:val="20"/>
          <w:color w:val="auto"/>
        </w:rPr>
      </w:pPr>
    </w:p>
    <w:p>
      <w:pPr>
        <w:ind w:left="1480"/>
        <w:spacing w:after="0" w:line="253" w:lineRule="exact"/>
        <w:tabs>
          <w:tab w:leader="none" w:pos="2420" w:val="left"/>
        </w:tabs>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p>
      <w:pPr>
        <w:spacing w:after="0" w:line="244" w:lineRule="exact"/>
        <w:rPr>
          <w:sz w:val="20"/>
          <w:szCs w:val="20"/>
          <w:color w:val="auto"/>
        </w:rPr>
      </w:pPr>
    </w:p>
    <w:p>
      <w:pPr>
        <w:ind w:left="1480" w:hanging="1364"/>
        <w:spacing w:after="0"/>
        <w:tabs>
          <w:tab w:leader="none" w:pos="14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1480" w:hanging="1364"/>
        <w:spacing w:after="0"/>
        <w:tabs>
          <w:tab w:leader="none" w:pos="14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U.S. Citizen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5</w:t>
            </w:r>
          </w:p>
        </w:tc>
        <w:tc>
          <w:tcPr>
            <w:tcW w:w="81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20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NUMBER OF</w:t>
            </w:r>
          </w:p>
        </w:tc>
        <w:tc>
          <w:tcPr>
            <w:tcW w:w="780" w:type="dxa"/>
            <w:vAlign w:val="bottom"/>
          </w:tcPr>
          <w:p>
            <w:pPr>
              <w:spacing w:after="0"/>
              <w:rPr>
                <w:sz w:val="24"/>
                <w:szCs w:val="24"/>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784,988</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780" w:type="dxa"/>
            <w:vAlign w:val="bottom"/>
            <w:tcBorders>
              <w:bottom w:val="single" w:sz="8" w:color="auto"/>
            </w:tcBorders>
          </w:tcPr>
          <w:p>
            <w:pPr>
              <w:spacing w:after="0"/>
              <w:rPr>
                <w:sz w:val="10"/>
                <w:szCs w:val="10"/>
                <w:color w:val="auto"/>
              </w:rPr>
            </w:pPr>
          </w:p>
        </w:tc>
        <w:tc>
          <w:tcPr>
            <w:tcW w:w="8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BENEFICIALLY</w:t>
            </w:r>
          </w:p>
        </w:tc>
        <w:tc>
          <w:tcPr>
            <w:tcW w:w="780" w:type="dxa"/>
            <w:vAlign w:val="bottom"/>
            <w:vMerge w:val="continue"/>
          </w:tcPr>
          <w:p>
            <w:pPr>
              <w:spacing w:after="0"/>
              <w:rPr>
                <w:sz w:val="15"/>
                <w:szCs w:val="15"/>
                <w:color w:val="auto"/>
              </w:rPr>
            </w:pPr>
          </w:p>
        </w:tc>
        <w:tc>
          <w:tcPr>
            <w:tcW w:w="8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780" w:type="dxa"/>
            <w:vAlign w:val="bottom"/>
            <w:tcBorders>
              <w:bottom w:val="single" w:sz="8" w:color="auto"/>
            </w:tcBorders>
          </w:tcPr>
          <w:p>
            <w:pPr>
              <w:spacing w:after="0"/>
              <w:rPr>
                <w:sz w:val="12"/>
                <w:szCs w:val="12"/>
                <w:color w:val="auto"/>
              </w:rPr>
            </w:pPr>
          </w:p>
        </w:tc>
        <w:tc>
          <w:tcPr>
            <w:tcW w:w="8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020" w:type="dxa"/>
            <w:vAlign w:val="bottom"/>
            <w:vMerge w:val="restart"/>
          </w:tcPr>
          <w:p>
            <w:pPr>
              <w:jc w:val="center"/>
              <w:ind w:right="15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780" w:type="dxa"/>
            <w:vAlign w:val="bottom"/>
            <w:vMerge w:val="continue"/>
          </w:tcPr>
          <w:p>
            <w:pPr>
              <w:spacing w:after="0"/>
              <w:rPr>
                <w:sz w:val="17"/>
                <w:szCs w:val="17"/>
                <w:color w:val="auto"/>
              </w:rPr>
            </w:pPr>
          </w:p>
        </w:tc>
        <w:tc>
          <w:tcPr>
            <w:tcW w:w="8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20" w:type="dxa"/>
            <w:vAlign w:val="bottom"/>
          </w:tcPr>
          <w:p>
            <w:pPr>
              <w:jc w:val="center"/>
              <w:ind w:right="13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780" w:type="dxa"/>
            <w:vAlign w:val="bottom"/>
          </w:tcPr>
          <w:p>
            <w:pPr>
              <w:spacing w:after="0"/>
              <w:rPr>
                <w:sz w:val="21"/>
                <w:szCs w:val="21"/>
                <w:color w:val="auto"/>
              </w:rPr>
            </w:pP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784,988</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020" w:type="dxa"/>
            <w:vAlign w:val="bottom"/>
            <w:vMerge w:val="restart"/>
          </w:tcPr>
          <w:p>
            <w:pPr>
              <w:jc w:val="center"/>
              <w:ind w:right="132"/>
              <w:spacing w:after="0"/>
              <w:rPr>
                <w:sz w:val="20"/>
                <w:szCs w:val="20"/>
                <w:color w:val="auto"/>
              </w:rPr>
            </w:pPr>
            <w:r>
              <w:rPr>
                <w:rFonts w:ascii="Times New Roman" w:cs="Times New Roman" w:eastAsia="Times New Roman" w:hAnsi="Times New Roman"/>
                <w:sz w:val="22"/>
                <w:szCs w:val="22"/>
                <w:color w:val="auto"/>
              </w:rPr>
              <w:t>WITH</w:t>
            </w:r>
          </w:p>
        </w:tc>
        <w:tc>
          <w:tcPr>
            <w:tcW w:w="78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7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w:t>
            </w:r>
          </w:p>
        </w:tc>
        <w:tc>
          <w:tcPr>
            <w:tcW w:w="818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9</w:t>
            </w:r>
          </w:p>
        </w:tc>
        <w:tc>
          <w:tcPr>
            <w:tcW w:w="10980" w:type="dxa"/>
            <w:vAlign w:val="bottom"/>
            <w:gridSpan w:val="3"/>
          </w:tcPr>
          <w:p>
            <w:pPr>
              <w:ind w:left="12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784,988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1480" w:hanging="1472"/>
        <w:spacing w:after="0"/>
        <w:tabs>
          <w:tab w:leader="none" w:pos="14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200" w:lineRule="exact"/>
        <w:rPr>
          <w:rFonts w:ascii="Times New Roman" w:cs="Times New Roman" w:eastAsia="Times New Roman" w:hAnsi="Times New Roman"/>
          <w:sz w:val="22"/>
          <w:szCs w:val="22"/>
          <w:color w:val="auto"/>
        </w:rPr>
      </w:pPr>
    </w:p>
    <w:p>
      <w:pPr>
        <w:ind w:left="148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07" w:lineRule="exact"/>
        <w:rPr>
          <w:rFonts w:ascii="Times New Roman" w:cs="Times New Roman" w:eastAsia="Times New Roman" w:hAnsi="Times New Roman"/>
          <w:sz w:val="22"/>
          <w:szCs w:val="22"/>
          <w:color w:val="auto"/>
        </w:rPr>
      </w:pPr>
    </w:p>
    <w:p>
      <w:pPr>
        <w:ind w:left="1480" w:right="3840" w:hanging="1472"/>
        <w:spacing w:after="0" w:line="353" w:lineRule="auto"/>
        <w:tabs>
          <w:tab w:leader="none" w:pos="14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5.7%**</w:t>
      </w:r>
    </w:p>
    <w:p>
      <w:pPr>
        <w:ind w:left="1480" w:right="6640" w:hanging="1472"/>
        <w:spacing w:after="0" w:line="477" w:lineRule="auto"/>
        <w:tabs>
          <w:tab w:leader="none" w:pos="14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ind w:right="6500" w:firstLine="8"/>
        <w:spacing w:after="0" w:line="258" w:lineRule="auto"/>
        <w:tabs>
          <w:tab w:leader="none" w:pos="45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2 TO SCHEDULE 13G</w:t>
      </w:r>
    </w:p>
    <w:p>
      <w:pPr>
        <w:spacing w:after="0" w:line="21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Amendment No. 2 (the “Amendment”) to the Schedule 13G (the “Schedule 13G”) is being filed on behalf of Prescott Group Capital Management, L.L.C., an Oklahoma limited liability company (“Prescott Capital”), Prescott Group Aggressive Small Cap, L.P., an Oklahoma limited partnership (“Prescott Small Cap”), Prescott Group Aggressive Small Cap II, L.P., an Oklahoma limited partnership (“Prescott Small Cap II”, and, together with Prescott Small Cap, the “Small Cap Funds”), Prescott Group Aggressive Small Cap Master Fund, G.P., an Oklahoma general partnership (“Master Fund”) and Mr. Phil Frohlich, the principal of Prescott Capital, relating to the Common Shares, no par value per share (the “Common Shares”), of Civeo Corporation, a corporation organized under the laws of British Columbia, Canada (the “Issuer”).</w:t>
      </w:r>
    </w:p>
    <w:p>
      <w:pPr>
        <w:spacing w:after="0" w:line="18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1"/>
          <w:szCs w:val="21"/>
          <w:color w:val="auto"/>
        </w:rPr>
        <w:t>This Amendment relates to Common Shares of the Issuer held in the account of the Master Fund, of which the Small Cap Funds are general partners. Prescott Capital serves as the general partner and investment manager of the Small Cap Funds and may direct the Small Cap Funds, the general partners of the Master Fund, to direct the vote and disposition of the 784,988 Common Shares held by the Master Fund as of December 31, 2022. As the principal of Prescott Capital, Mr. Frohlich may direct the vote and disposition of the 784,988 Common Shares held by the Master Fund as of December 31, 2022.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Amendment amends and restates the Schedule 13G as follows.</w:t>
      </w:r>
    </w:p>
    <w:p>
      <w:pPr>
        <w:spacing w:after="0" w:line="22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Item 1(a)</w:t>
      </w:r>
      <w:r>
        <w:rPr>
          <w:sz w:val="20"/>
          <w:szCs w:val="20"/>
          <w:color w:val="auto"/>
        </w:rPr>
        <w:tab/>
      </w:r>
      <w:r>
        <w:rPr>
          <w:rFonts w:ascii="Times New Roman" w:cs="Times New Roman" w:eastAsia="Times New Roman" w:hAnsi="Times New Roman"/>
          <w:sz w:val="21"/>
          <w:szCs w:val="21"/>
          <w:b w:val="1"/>
          <w:bCs w:val="1"/>
          <w:color w:val="auto"/>
        </w:rPr>
        <w:t>Name of Issuer.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Civeo Corporation (the “Issuer”)</w:t>
      </w:r>
    </w:p>
    <w:p>
      <w:pPr>
        <w:spacing w:after="0" w:line="22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Item 1(b)</w:t>
      </w:r>
      <w:r>
        <w:rPr>
          <w:sz w:val="20"/>
          <w:szCs w:val="20"/>
          <w:color w:val="auto"/>
        </w:rPr>
        <w:tab/>
      </w:r>
      <w:r>
        <w:rPr>
          <w:rFonts w:ascii="Times New Roman" w:cs="Times New Roman" w:eastAsia="Times New Roman" w:hAnsi="Times New Roman"/>
          <w:sz w:val="21"/>
          <w:szCs w:val="21"/>
          <w:b w:val="1"/>
          <w:bCs w:val="1"/>
          <w:color w:val="auto"/>
        </w:rPr>
        <w:t>Address of Issuer’s Principal Executive Offices.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Three Allen Center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Clay Street, Suite 4980</w:t>
      </w:r>
    </w:p>
    <w:p>
      <w:pPr>
        <w:spacing w:after="0"/>
        <w:rPr>
          <w:sz w:val="20"/>
          <w:szCs w:val="20"/>
          <w:color w:val="auto"/>
        </w:rPr>
      </w:pPr>
      <w:r>
        <w:rPr>
          <w:rFonts w:ascii="Times New Roman" w:cs="Times New Roman" w:eastAsia="Times New Roman" w:hAnsi="Times New Roman"/>
          <w:sz w:val="22"/>
          <w:szCs w:val="22"/>
          <w:color w:val="auto"/>
        </w:rPr>
        <w:t>Houston, Texas 77002</w:t>
      </w:r>
    </w:p>
    <w:p>
      <w:pPr>
        <w:spacing w:after="0" w:line="20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Item 2(a)</w:t>
      </w:r>
      <w:r>
        <w:rPr>
          <w:sz w:val="20"/>
          <w:szCs w:val="20"/>
          <w:color w:val="auto"/>
        </w:rPr>
        <w:tab/>
      </w:r>
      <w:r>
        <w:rPr>
          <w:rFonts w:ascii="Times New Roman" w:cs="Times New Roman" w:eastAsia="Times New Roman" w:hAnsi="Times New Roman"/>
          <w:sz w:val="21"/>
          <w:szCs w:val="21"/>
          <w:b w:val="1"/>
          <w:bCs w:val="1"/>
          <w:color w:val="auto"/>
        </w:rPr>
        <w:t>Name of Person Filing.</w:t>
      </w:r>
    </w:p>
    <w:p>
      <w:pPr>
        <w:spacing w:after="0" w:line="10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Prescott Group Capital Management, L.L.C. (“Prescott Capital”), Prescott Group Aggressive Small Cap, L.P. (“Prescott Small Cap”), Prescott Group Aggressive Small Cap II, L.P. (“Prescott Small Cap II” and, together with Prescott Small Cap, the “Small Cap Funds”), Prescott Group Aggressive Small Cap Master Fund, G.P. (“Master Fund”) and Mr. Phil Frohlich.</w:t>
      </w:r>
    </w:p>
    <w:p>
      <w:pPr>
        <w:spacing w:after="0" w:line="30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Item 2(b)</w:t>
      </w:r>
      <w:r>
        <w:rPr>
          <w:sz w:val="20"/>
          <w:szCs w:val="20"/>
          <w:color w:val="auto"/>
        </w:rPr>
        <w:tab/>
      </w:r>
      <w:r>
        <w:rPr>
          <w:rFonts w:ascii="Times New Roman" w:cs="Times New Roman" w:eastAsia="Times New Roman" w:hAnsi="Times New Roman"/>
          <w:sz w:val="21"/>
          <w:szCs w:val="21"/>
          <w:b w:val="1"/>
          <w:bCs w:val="1"/>
          <w:color w:val="auto"/>
        </w:rPr>
        <w:t>Address of Principal Business Office, or, if none, Residence.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1924 South Utica, Suite 1120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Tulsa, Oklahoma 74104</w:t>
      </w:r>
    </w:p>
    <w:p>
      <w:pPr>
        <w:spacing w:after="0" w:line="20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Item 2(c)</w:t>
      </w:r>
      <w:r>
        <w:rPr>
          <w:sz w:val="20"/>
          <w:szCs w:val="20"/>
          <w:color w:val="auto"/>
        </w:rPr>
        <w:tab/>
      </w:r>
      <w:r>
        <w:rPr>
          <w:rFonts w:ascii="Times New Roman" w:cs="Times New Roman" w:eastAsia="Times New Roman" w:hAnsi="Times New Roman"/>
          <w:sz w:val="21"/>
          <w:szCs w:val="21"/>
          <w:b w:val="1"/>
          <w:bCs w:val="1"/>
          <w:color w:val="auto"/>
        </w:rPr>
        <w:t>Citizenship or Place of Organization.</w:t>
      </w:r>
    </w:p>
    <w:p>
      <w:pPr>
        <w:spacing w:after="0" w:line="2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Prescott Capital is an Oklahoma limited liability company. The Small Cap Funds are Oklahoma limited partnerships. The Master Fund is an Oklahoma general partnership. Mr. Phil Frohlich is the principal of Prescott Capital and is a U.S. citizen.</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Item 2(d)</w:t>
      </w:r>
      <w:r>
        <w:rPr>
          <w:sz w:val="20"/>
          <w:szCs w:val="20"/>
          <w:color w:val="auto"/>
        </w:rPr>
        <w:tab/>
      </w:r>
      <w:r>
        <w:rPr>
          <w:rFonts w:ascii="Times New Roman" w:cs="Times New Roman" w:eastAsia="Times New Roman" w:hAnsi="Times New Roman"/>
          <w:sz w:val="21"/>
          <w:szCs w:val="21"/>
          <w:b w:val="1"/>
          <w:bCs w:val="1"/>
          <w:color w:val="auto"/>
        </w:rPr>
        <w:t>Title of Class of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par value per share (the “Common Shares”).</w:t>
      </w:r>
    </w:p>
    <w:p>
      <w:pPr>
        <w:spacing w:after="0" w:line="33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Item 2(e)</w:t>
      </w:r>
      <w:r>
        <w:rPr>
          <w:sz w:val="20"/>
          <w:szCs w:val="20"/>
          <w:color w:val="auto"/>
        </w:rPr>
        <w:tab/>
      </w:r>
      <w:r>
        <w:rPr>
          <w:rFonts w:ascii="Times New Roman" w:cs="Times New Roman" w:eastAsia="Times New Roman" w:hAnsi="Times New Roman"/>
          <w:sz w:val="21"/>
          <w:szCs w:val="21"/>
          <w:b w:val="1"/>
          <w:bCs w:val="1"/>
          <w:color w:val="auto"/>
        </w:rPr>
        <w:t>CUSIP Number.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17878Y207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 w:name="page8"/>
    <w:bookmarkEnd w:id="7"/>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Reporting Person.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If this statement is filed pursuant to Rule 13d-1(b), or 13d-2(b), check whether the person filing is a:</w:t>
      </w:r>
    </w:p>
    <w:p>
      <w:pPr>
        <w:spacing w:after="0" w:line="200" w:lineRule="exact"/>
        <w:rPr>
          <w:sz w:val="20"/>
          <w:szCs w:val="20"/>
          <w:color w:val="auto"/>
        </w:rPr>
      </w:pPr>
    </w:p>
    <w:p>
      <w:pPr>
        <w:spacing w:after="0" w:line="260" w:lineRule="exact"/>
        <w:rPr>
          <w:sz w:val="20"/>
          <w:szCs w:val="20"/>
          <w:color w:val="auto"/>
        </w:rPr>
      </w:pPr>
    </w:p>
    <w:p>
      <w:pPr>
        <w:ind w:left="1080" w:hanging="330"/>
        <w:spacing w:after="0" w:line="253" w:lineRule="exact"/>
        <w:tabs>
          <w:tab w:leader="none" w:pos="1080" w:val="left"/>
        </w:tabs>
        <w:numPr>
          <w:ilvl w:val="0"/>
          <w:numId w:val="2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Broker or dealer registered under section 15 of the Act (15 U.S.C. 78o).</w:t>
      </w:r>
    </w:p>
    <w:p>
      <w:pPr>
        <w:spacing w:after="0" w:line="246"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2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Bank as defined in section 3(a)(6) of the Act (15 U.S.C. 78c).</w:t>
      </w:r>
    </w:p>
    <w:p>
      <w:pPr>
        <w:spacing w:after="0" w:line="246"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2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Insurance company as defined in section 3(a)(19) of the Act (15 U.S.C. 78c).</w:t>
      </w:r>
    </w:p>
    <w:p>
      <w:pPr>
        <w:spacing w:after="0" w:line="246" w:lineRule="exact"/>
        <w:rPr>
          <w:rFonts w:ascii="Times New Roman" w:cs="Times New Roman" w:eastAsia="Times New Roman" w:hAnsi="Times New Roman"/>
          <w:sz w:val="22"/>
          <w:szCs w:val="22"/>
          <w:color w:val="auto"/>
        </w:rPr>
      </w:pPr>
    </w:p>
    <w:p>
      <w:pPr>
        <w:ind w:left="1380" w:right="1240" w:hanging="630"/>
        <w:spacing w:after="0" w:line="272" w:lineRule="exact"/>
        <w:tabs>
          <w:tab w:leader="none" w:pos="1069" w:val="left"/>
        </w:tabs>
        <w:numPr>
          <w:ilvl w:val="0"/>
          <w:numId w:val="2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185"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2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An investment advisor in accordance with §240.13d-1(b)(1)(ii)(E).</w:t>
      </w:r>
    </w:p>
    <w:p>
      <w:pPr>
        <w:spacing w:after="0" w:line="246"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2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An employee benefit plan or endowment fund in accordance with §240.13d-1(b)(1)(ii)(F).</w:t>
      </w:r>
    </w:p>
    <w:p>
      <w:pPr>
        <w:spacing w:after="0" w:line="246"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2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parent holding company or control person in accordance with §240.13d-1(b)(1)(ii)(G).</w:t>
      </w:r>
    </w:p>
    <w:p>
      <w:pPr>
        <w:spacing w:after="0" w:line="246" w:lineRule="exact"/>
        <w:rPr>
          <w:rFonts w:ascii="Times New Roman" w:cs="Times New Roman" w:eastAsia="Times New Roman" w:hAnsi="Times New Roman"/>
          <w:sz w:val="22"/>
          <w:szCs w:val="22"/>
          <w:color w:val="auto"/>
        </w:rPr>
      </w:pPr>
    </w:p>
    <w:p>
      <w:pPr>
        <w:ind w:left="1380" w:right="1500" w:hanging="630"/>
        <w:spacing w:after="0" w:line="272" w:lineRule="exact"/>
        <w:tabs>
          <w:tab w:leader="none" w:pos="1069" w:val="left"/>
        </w:tabs>
        <w:numPr>
          <w:ilvl w:val="0"/>
          <w:numId w:val="2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savings association as defined in Section 3(b) of the Federal Deposit Insurance Act (12 U.S.C. 1813).</w:t>
      </w:r>
    </w:p>
    <w:p>
      <w:pPr>
        <w:spacing w:after="0" w:line="185" w:lineRule="exact"/>
        <w:rPr>
          <w:rFonts w:ascii="Times New Roman" w:cs="Times New Roman" w:eastAsia="Times New Roman" w:hAnsi="Times New Roman"/>
          <w:sz w:val="22"/>
          <w:szCs w:val="22"/>
          <w:color w:val="auto"/>
        </w:rPr>
      </w:pPr>
    </w:p>
    <w:p>
      <w:pPr>
        <w:ind w:left="1380" w:right="1180" w:hanging="630"/>
        <w:spacing w:after="0" w:line="272" w:lineRule="exact"/>
        <w:tabs>
          <w:tab w:leader="none" w:pos="1069" w:val="left"/>
        </w:tabs>
        <w:numPr>
          <w:ilvl w:val="0"/>
          <w:numId w:val="2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85" w:lineRule="exact"/>
        <w:rPr>
          <w:rFonts w:ascii="Times New Roman" w:cs="Times New Roman" w:eastAsia="Times New Roman" w:hAnsi="Times New Roman"/>
          <w:sz w:val="22"/>
          <w:szCs w:val="22"/>
          <w:color w:val="auto"/>
        </w:rPr>
      </w:pPr>
    </w:p>
    <w:p>
      <w:pPr>
        <w:ind w:left="1080" w:hanging="330"/>
        <w:spacing w:after="0" w:line="253" w:lineRule="exact"/>
        <w:tabs>
          <w:tab w:leader="none" w:pos="1080" w:val="left"/>
        </w:tabs>
        <w:numPr>
          <w:ilvl w:val="0"/>
          <w:numId w:val="2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non-U.S. institution in accordance with §240.13d-1(b)(1)(ii)(J).</w:t>
      </w:r>
    </w:p>
    <w:p>
      <w:pPr>
        <w:spacing w:after="0" w:line="246" w:lineRule="exact"/>
        <w:rPr>
          <w:rFonts w:ascii="Times New Roman" w:cs="Times New Roman" w:eastAsia="Times New Roman" w:hAnsi="Times New Roman"/>
          <w:sz w:val="22"/>
          <w:szCs w:val="22"/>
          <w:color w:val="auto"/>
        </w:rPr>
      </w:pPr>
    </w:p>
    <w:p>
      <w:pPr>
        <w:ind w:left="1380" w:right="1280" w:hanging="630"/>
        <w:spacing w:after="0" w:line="272" w:lineRule="exact"/>
        <w:tabs>
          <w:tab w:leader="none" w:pos="1069" w:val="left"/>
        </w:tabs>
        <w:numPr>
          <w:ilvl w:val="0"/>
          <w:numId w:val="2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Group, in accordance with §240.13d-1(b)(1)(ii)(K). If filing as a non-U.S. institution in accordance with §240.13d-1(b)(1)(ii)(J), please specify the type of institution: ____.</w:t>
      </w:r>
    </w:p>
    <w:p>
      <w:pPr>
        <w:spacing w:after="0" w:line="20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37" w:lineRule="exact"/>
        <w:rPr>
          <w:sz w:val="20"/>
          <w:szCs w:val="20"/>
          <w:color w:val="auto"/>
        </w:rPr>
      </w:pPr>
    </w:p>
    <w:p>
      <w:pPr>
        <w:ind w:left="960" w:right="380" w:hanging="345"/>
        <w:spacing w:after="0" w:line="258" w:lineRule="auto"/>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Prescott Capital, the Small Cap Funds, the Master Fund and Mr. Phil Frohlich are the beneficial owners of 784,988 Common Shares as of December 31, 2022.</w:t>
      </w:r>
    </w:p>
    <w:p>
      <w:pPr>
        <w:spacing w:after="0" w:line="185" w:lineRule="exact"/>
        <w:rPr>
          <w:rFonts w:ascii="Times New Roman" w:cs="Times New Roman" w:eastAsia="Times New Roman" w:hAnsi="Times New Roman"/>
          <w:sz w:val="22"/>
          <w:szCs w:val="22"/>
          <w:color w:val="auto"/>
        </w:rPr>
      </w:pPr>
    </w:p>
    <w:p>
      <w:pPr>
        <w:ind w:left="960" w:right="260" w:hanging="345"/>
        <w:spacing w:after="0" w:line="239" w:lineRule="auto"/>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Prescott Capital, the Small Cap Funds, the Master Fund and Mr. Phil Frohlich are the beneficial owners of 5.7% of the outstanding Common Shares. This percentage is determined by dividing 784,988 by 13,712,661, the number of Common Shares outstanding as of October 21, 2022, as reported in the Issuer’s Form 10-Q filed with the Securities and Exchange Commission on October 28, 2022.</w:t>
      </w:r>
    </w:p>
    <w:p>
      <w:pPr>
        <w:spacing w:after="0" w:line="207" w:lineRule="exact"/>
        <w:rPr>
          <w:rFonts w:ascii="Times New Roman" w:cs="Times New Roman" w:eastAsia="Times New Roman" w:hAnsi="Times New Roman"/>
          <w:sz w:val="22"/>
          <w:szCs w:val="22"/>
          <w:color w:val="auto"/>
        </w:rPr>
      </w:pPr>
    </w:p>
    <w:p>
      <w:pPr>
        <w:ind w:left="960" w:hanging="345"/>
        <w:spacing w:after="0" w:line="239" w:lineRule="auto"/>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Prescott Capital, as the general partner and investment manager of the Small Cap Funds, the general partners of the Master Fund, may direct the Small Cap Funds to direct the voting and disposition of the 784,988 Common Shares held by the Master Fund as of December 31, 2022. As the principal of Prescott Capital, Mr. Phil Frohlich may direct the voting and disposition of the 784,988 Common Shares held by the Master Fund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 w:name="page9"/>
    <w:bookmarkEnd w:id="8"/>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ind w:left="660" w:right="540" w:hanging="660"/>
        <w:spacing w:after="0" w:line="262"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Inapplicable.</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10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2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753110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SIGNATURE</w:t>
      </w:r>
    </w:p>
    <w:p>
      <w:pPr>
        <w:spacing w:after="0" w:line="21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7, 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Prescott Group Capital Management, L.L.C.</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Phil Frohlich</w:t>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PHIL FROHLICH, Managing Member</w:t>
      </w: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Prescott Group Aggressive Small Cap, L.P.</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Prescott Group Capital Management, L.L.C.,</w:t>
      </w:r>
    </w:p>
    <w:p>
      <w:pPr>
        <w:spacing w:after="0" w:line="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Phil Frohlich</w:t>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PHIL FROHLICH, Managing Member</w:t>
      </w: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Prescott Group Aggressive Small Cap II, L.P.</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Prescott Group Capital Management, L.L.C.,</w:t>
      </w:r>
    </w:p>
    <w:p>
      <w:pPr>
        <w:spacing w:after="0" w:line="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Phil Frohlich</w:t>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PHIL FROHLICH, Managing Member</w:t>
      </w: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Prescott Group Aggressive Small Cap Master Fund, G.P.</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By: Prescott Group Aggressive Small Cap, L.P., general partner</w:t>
      </w: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Prescott Group Aggressive Small Cap II, L.P., general</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partner</w:t>
      </w:r>
    </w:p>
    <w:p>
      <w:pPr>
        <w:spacing w:after="0" w:line="2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Prescott Group Capital Management, L.L.C.,</w:t>
      </w:r>
    </w:p>
    <w:p>
      <w:pPr>
        <w:spacing w:after="0" w:line="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Phil Frohlich</w:t>
      </w:r>
    </w:p>
    <w:p>
      <w:pPr>
        <w:spacing w:after="0" w:line="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PHIL FROHLICH, Managing Member</w:t>
      </w: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u w:val="single" w:color="auto"/>
          <w:color w:val="auto"/>
        </w:rPr>
        <w:t>/s/ Phil Frohlich</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PHIL FROHLICH, Managing Member</w:t>
      </w:r>
    </w:p>
    <w:sectPr>
      <w:pgSz w:w="11900" w:h="16838" w:orient="portrait"/>
      <w:cols w:equalWidth="0" w:num="1">
        <w:col w:w="11180"/>
      </w:cols>
      <w:pgMar w:left="320" w:top="1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2"/>
      <w:numFmt w:val="bullet"/>
      <w:start w:val="1"/>
    </w:lvl>
  </w:abstractNum>
  <w:abstractNum w:abstractNumId="4">
    <w:nsid w:val="25E45D32"/>
    <w:multiLevelType w:val="hybridMultilevel"/>
    <w:lvl w:ilvl="0">
      <w:lvlJc w:val="left"/>
      <w:lvlText w:val="3"/>
      <w:numFmt w:val="bullet"/>
      <w:start w:val="1"/>
    </w:lvl>
  </w:abstractNum>
  <w:abstractNum w:abstractNumId="5">
    <w:nsid w:val="519B500D"/>
    <w:multiLevelType w:val="hybridMultilevel"/>
    <w:lvl w:ilvl="0">
      <w:lvlJc w:val="left"/>
      <w:lvlText w:val="4"/>
      <w:numFmt w:val="bullet"/>
      <w:start w:val="1"/>
    </w:lvl>
  </w:abstractNum>
  <w:abstractNum w:abstractNumId="6">
    <w:nsid w:val="431BD7B7"/>
    <w:multiLevelType w:val="hybridMultilevel"/>
    <w:lvl w:ilvl="0">
      <w:lvlJc w:val="left"/>
      <w:lvlText w:val="%1"/>
      <w:numFmt w:val="decimal"/>
      <w:start w:val="10"/>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2"/>
      <w:numFmt w:val="bullet"/>
      <w:start w:val="1"/>
    </w:lvl>
  </w:abstractNum>
  <w:abstractNum w:abstractNumId="11">
    <w:nsid w:val="436C6125"/>
    <w:multiLevelType w:val="hybridMultilevel"/>
    <w:lvl w:ilvl="0">
      <w:lvlJc w:val="left"/>
      <w:lvlText w:val="3"/>
      <w:numFmt w:val="bullet"/>
      <w:start w:val="1"/>
    </w:lvl>
  </w:abstractNum>
  <w:abstractNum w:abstractNumId="12">
    <w:nsid w:val="628C895D"/>
    <w:multiLevelType w:val="hybridMultilevel"/>
    <w:lvl w:ilvl="0">
      <w:lvlJc w:val="left"/>
      <w:lvlText w:val="4"/>
      <w:numFmt w:val="bullet"/>
      <w:start w:val="1"/>
    </w:lvl>
  </w:abstractNum>
  <w:abstractNum w:abstractNumId="13">
    <w:nsid w:val="333AB105"/>
    <w:multiLevelType w:val="hybridMultilevel"/>
    <w:lvl w:ilvl="0">
      <w:lvlJc w:val="left"/>
      <w:lvlText w:val="%1"/>
      <w:numFmt w:val="decimal"/>
      <w:start w:val="10"/>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bullet"/>
      <w:start w:val="1"/>
    </w:lvl>
  </w:abstractNum>
  <w:abstractNum w:abstractNumId="16">
    <w:nsid w:val="2D1D5AE9"/>
    <w:multiLevelType w:val="hybridMultilevel"/>
    <w:lvl w:ilvl="0">
      <w:lvlJc w:val="left"/>
      <w:lvlText w:val="2"/>
      <w:numFmt w:val="bullet"/>
      <w:start w:val="1"/>
    </w:lvl>
  </w:abstractNum>
  <w:abstractNum w:abstractNumId="17">
    <w:nsid w:val="6763845E"/>
    <w:multiLevelType w:val="hybridMultilevel"/>
    <w:lvl w:ilvl="0">
      <w:lvlJc w:val="left"/>
      <w:lvlText w:val="3"/>
      <w:numFmt w:val="bullet"/>
      <w:start w:val="1"/>
    </w:lvl>
  </w:abstractNum>
  <w:abstractNum w:abstractNumId="18">
    <w:nsid w:val="75A2A8D4"/>
    <w:multiLevelType w:val="hybridMultilevel"/>
    <w:lvl w:ilvl="0">
      <w:lvlJc w:val="left"/>
      <w:lvlText w:val="4"/>
      <w:numFmt w:val="bullet"/>
      <w:start w:val="1"/>
    </w:lvl>
  </w:abstractNum>
  <w:abstractNum w:abstractNumId="19">
    <w:nsid w:val="8EDBDAB"/>
    <w:multiLevelType w:val="hybridMultilevel"/>
    <w:lvl w:ilvl="0">
      <w:lvlJc w:val="left"/>
      <w:lvlText w:val="%1"/>
      <w:numFmt w:val="decimal"/>
      <w:start w:val="10"/>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bullet"/>
      <w:start w:val="1"/>
    </w:lvl>
  </w:abstractNum>
  <w:abstractNum w:abstractNumId="22">
    <w:nsid w:val="B03E0C6"/>
    <w:multiLevelType w:val="hybridMultilevel"/>
    <w:lvl w:ilvl="0">
      <w:lvlJc w:val="left"/>
      <w:lvlText w:val="2"/>
      <w:numFmt w:val="bullet"/>
      <w:start w:val="1"/>
    </w:lvl>
  </w:abstractNum>
  <w:abstractNum w:abstractNumId="23">
    <w:nsid w:val="189A769B"/>
    <w:multiLevelType w:val="hybridMultilevel"/>
    <w:lvl w:ilvl="0">
      <w:lvlJc w:val="left"/>
      <w:lvlText w:val="3"/>
      <w:numFmt w:val="bullet"/>
      <w:start w:val="1"/>
    </w:lvl>
  </w:abstractNum>
  <w:abstractNum w:abstractNumId="24">
    <w:nsid w:val="54E49EB4"/>
    <w:multiLevelType w:val="hybridMultilevel"/>
    <w:lvl w:ilvl="0">
      <w:lvlJc w:val="left"/>
      <w:lvlText w:val="4"/>
      <w:numFmt w:val="bullet"/>
      <w:start w:val="1"/>
    </w:lvl>
  </w:abstractNum>
  <w:abstractNum w:abstractNumId="25">
    <w:nsid w:val="71F32454"/>
    <w:multiLevelType w:val="hybridMultilevel"/>
    <w:lvl w:ilvl="0">
      <w:lvlJc w:val="left"/>
      <w:lvlText w:val="%1"/>
      <w:numFmt w:val="decimal"/>
      <w:start w:val="10"/>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2023-02-07T12:38:25Z</dcterms:created>
  <dcterms:modified xsi:type="dcterms:W3CDTF">2023-02-07T12:38:25Z</dcterms:modified>
</cp:coreProperties>
</file>