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29, 2020</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jc w:val="center"/>
        <w:spacing w:after="0" w:line="234" w:lineRule="auto"/>
        <w:rPr>
          <w:sz w:val="20"/>
          <w:szCs w:val="20"/>
          <w:color w:val="auto"/>
        </w:rPr>
      </w:pPr>
      <w:r>
        <w:rPr>
          <w:rFonts w:ascii="Arial" w:cs="Arial" w:eastAsia="Arial" w:hAnsi="Arial"/>
          <w:sz w:val="22"/>
          <w:szCs w:val="22"/>
          <w:b w:val="1"/>
          <w:bCs w:val="1"/>
          <w:color w:val="auto"/>
        </w:rPr>
        <w:t>THE SECURITIES ACT OF 1933</w:t>
      </w:r>
    </w:p>
    <w:p>
      <w:pPr>
        <w:jc w:val="center"/>
        <w:spacing w:after="0" w:line="234" w:lineRule="auto"/>
        <w:rPr>
          <w:sz w:val="20"/>
          <w:szCs w:val="20"/>
          <w:color w:val="auto"/>
        </w:rPr>
      </w:pPr>
      <w:r>
        <w:rPr>
          <w:rFonts w:ascii="Arial" w:cs="Arial" w:eastAsia="Arial" w:hAnsi="Arial"/>
          <w:sz w:val="29"/>
          <w:szCs w:val="29"/>
          <w:b w:val="1"/>
          <w:bCs w:val="1"/>
          <w:color w:val="auto"/>
        </w:rPr>
        <w:t>Civeo Corporation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63" w:lineRule="exact"/>
        <w:rPr>
          <w:sz w:val="24"/>
          <w:szCs w:val="24"/>
          <w:color w:val="auto"/>
        </w:rPr>
      </w:pPr>
    </w:p>
    <w:p>
      <w:pPr>
        <w:ind w:left="160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92" w:lineRule="exact"/>
        <w:rPr>
          <w:sz w:val="24"/>
          <w:szCs w:val="24"/>
          <w:color w:val="auto"/>
        </w:rPr>
      </w:pPr>
    </w:p>
    <w:p>
      <w:pPr>
        <w:sectPr>
          <w:pgSz w:w="11900" w:h="16838" w:orient="portrait"/>
          <w:cols w:equalWidth="0" w:num="2">
            <w:col w:w="7200" w:space="720"/>
            <w:col w:w="3320"/>
          </w:cols>
          <w:pgMar w:left="320" w:top="1440" w:right="3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2">
            <w:col w:w="6420" w:space="720"/>
            <w:col w:w="410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333 Clay Street, Suite 4980</w:t>
      </w:r>
    </w:p>
    <w:p>
      <w:pPr>
        <w:jc w:val="center"/>
        <w:spacing w:after="0" w:line="230" w:lineRule="auto"/>
        <w:rPr>
          <w:sz w:val="20"/>
          <w:szCs w:val="20"/>
          <w:color w:val="auto"/>
        </w:rPr>
      </w:pPr>
      <w:r>
        <w:rPr>
          <w:rFonts w:ascii="Arial" w:cs="Arial" w:eastAsia="Arial" w:hAnsi="Arial"/>
          <w:sz w:val="22"/>
          <w:szCs w:val="22"/>
          <w:b w:val="1"/>
          <w:bCs w:val="1"/>
          <w:color w:val="auto"/>
        </w:rPr>
        <w:t>Houston, Texas 77002</w:t>
      </w:r>
    </w:p>
    <w:p>
      <w:pPr>
        <w:jc w:val="center"/>
        <w:spacing w:after="0" w:line="235" w:lineRule="auto"/>
        <w:rPr>
          <w:sz w:val="20"/>
          <w:szCs w:val="20"/>
          <w:color w:val="auto"/>
        </w:rPr>
      </w:pPr>
      <w:r>
        <w:rPr>
          <w:rFonts w:ascii="Arial" w:cs="Arial" w:eastAsia="Arial" w:hAnsi="Arial"/>
          <w:sz w:val="22"/>
          <w:szCs w:val="22"/>
          <w:b w:val="1"/>
          <w:bCs w:val="1"/>
          <w:color w:val="auto"/>
        </w:rPr>
        <w:t>(713) 510-2400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2014 Equity Participation Plan of Civeo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Bradley J. Dodson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President and Chief Executive Officer</w:t>
      </w:r>
    </w:p>
    <w:p>
      <w:pPr>
        <w:jc w:val="center"/>
        <w:spacing w:after="0" w:line="230" w:lineRule="auto"/>
        <w:rPr>
          <w:sz w:val="20"/>
          <w:szCs w:val="20"/>
          <w:color w:val="auto"/>
        </w:rPr>
      </w:pPr>
      <w:r>
        <w:rPr>
          <w:rFonts w:ascii="Arial" w:cs="Arial" w:eastAsia="Arial" w:hAnsi="Arial"/>
          <w:sz w:val="22"/>
          <w:szCs w:val="22"/>
          <w:b w:val="1"/>
          <w:bCs w:val="1"/>
          <w:color w:val="auto"/>
        </w:rPr>
        <w:t>333 Clay Street, Suite 4980</w:t>
      </w:r>
    </w:p>
    <w:p>
      <w:pPr>
        <w:jc w:val="center"/>
        <w:spacing w:after="0" w:line="231" w:lineRule="auto"/>
        <w:rPr>
          <w:sz w:val="20"/>
          <w:szCs w:val="20"/>
          <w:color w:val="auto"/>
        </w:rPr>
      </w:pPr>
      <w:r>
        <w:rPr>
          <w:rFonts w:ascii="Arial" w:cs="Arial" w:eastAsia="Arial" w:hAnsi="Arial"/>
          <w:sz w:val="22"/>
          <w:szCs w:val="22"/>
          <w:b w:val="1"/>
          <w:bCs w:val="1"/>
          <w:color w:val="auto"/>
        </w:rPr>
        <w:t>Houston, Texas 77002</w:t>
      </w:r>
    </w:p>
    <w:p>
      <w:pPr>
        <w:jc w:val="center"/>
        <w:spacing w:after="0" w:line="235" w:lineRule="auto"/>
        <w:rPr>
          <w:sz w:val="20"/>
          <w:szCs w:val="20"/>
          <w:color w:val="auto"/>
        </w:rPr>
      </w:pPr>
      <w:r>
        <w:rPr>
          <w:rFonts w:ascii="Arial" w:cs="Arial" w:eastAsia="Arial" w:hAnsi="Arial"/>
          <w:sz w:val="22"/>
          <w:szCs w:val="22"/>
          <w:b w:val="1"/>
          <w:bCs w:val="1"/>
          <w:color w:val="auto"/>
        </w:rPr>
        <w:t>(713) 510-2400</w:t>
      </w:r>
    </w:p>
    <w:p>
      <w:pPr>
        <w:jc w:val="center"/>
        <w:spacing w:after="0" w:line="235" w:lineRule="auto"/>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Krista P. Hanvey</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Gibson, Dunn &amp; Crutcher LLP</w:t>
      </w:r>
    </w:p>
    <w:p>
      <w:pPr>
        <w:jc w:val="center"/>
        <w:spacing w:after="0" w:line="234" w:lineRule="auto"/>
        <w:rPr>
          <w:sz w:val="20"/>
          <w:szCs w:val="20"/>
          <w:color w:val="auto"/>
        </w:rPr>
      </w:pPr>
      <w:r>
        <w:rPr>
          <w:rFonts w:ascii="Arial" w:cs="Arial" w:eastAsia="Arial" w:hAnsi="Arial"/>
          <w:sz w:val="18"/>
          <w:szCs w:val="18"/>
          <w:color w:val="auto"/>
        </w:rPr>
        <w:t>2001 Ross Avenue, Suite 2100</w:t>
      </w:r>
    </w:p>
    <w:p>
      <w:pPr>
        <w:jc w:val="center"/>
        <w:spacing w:after="0" w:line="235" w:lineRule="auto"/>
        <w:rPr>
          <w:sz w:val="20"/>
          <w:szCs w:val="20"/>
          <w:color w:val="auto"/>
        </w:rPr>
      </w:pPr>
      <w:r>
        <w:rPr>
          <w:rFonts w:ascii="Arial" w:cs="Arial" w:eastAsia="Arial" w:hAnsi="Arial"/>
          <w:sz w:val="18"/>
          <w:szCs w:val="18"/>
          <w:color w:val="auto"/>
        </w:rPr>
        <w:t>Dallas, TX 75201</w:t>
      </w:r>
    </w:p>
    <w:p>
      <w:pPr>
        <w:ind w:left="5500" w:hanging="438"/>
        <w:spacing w:after="0" w:line="235" w:lineRule="auto"/>
        <w:tabs>
          <w:tab w:leader="none" w:pos="5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698-3100</w:t>
      </w: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w:t>
      </w:r>
    </w:p>
    <w:p>
      <w:pPr>
        <w:spacing w:after="0" w:line="215" w:lineRule="exact"/>
        <w:rPr>
          <w:sz w:val="24"/>
          <w:szCs w:val="24"/>
          <w:color w:val="auto"/>
        </w:rPr>
      </w:pPr>
    </w:p>
    <w:p>
      <w:pPr>
        <w:ind w:right="16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6" w:lineRule="exact"/>
        <w:rPr>
          <w:sz w:val="20"/>
          <w:szCs w:val="20"/>
          <w:color w:val="auto"/>
        </w:rPr>
      </w:pPr>
    </w:p>
    <w:p>
      <w:pPr>
        <w:ind w:left="20" w:right="4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9"/>
              </w:rPr>
              <w:t>Proposed</w:t>
            </w:r>
          </w:p>
        </w:tc>
        <w:tc>
          <w:tcPr>
            <w:tcW w:w="1660" w:type="dxa"/>
            <w:vAlign w:val="bottom"/>
          </w:tcPr>
          <w:p>
            <w:pPr>
              <w:jc w:val="center"/>
              <w:ind w:left="48"/>
              <w:spacing w:after="0"/>
              <w:rPr>
                <w:sz w:val="20"/>
                <w:szCs w:val="20"/>
                <w:color w:val="auto"/>
              </w:rPr>
            </w:pPr>
            <w:r>
              <w:rPr>
                <w:rFonts w:ascii="Arial" w:cs="Arial" w:eastAsia="Arial" w:hAnsi="Arial"/>
                <w:sz w:val="13"/>
                <w:szCs w:val="13"/>
                <w:b w:val="1"/>
                <w:bCs w:val="1"/>
                <w:color w:val="auto"/>
                <w:w w:val="89"/>
              </w:rPr>
              <w:t>Proposed</w:t>
            </w:r>
          </w:p>
        </w:tc>
        <w:tc>
          <w:tcPr>
            <w:tcW w:w="1780" w:type="dxa"/>
            <w:vAlign w:val="bottom"/>
          </w:tcPr>
          <w:p>
            <w:pPr>
              <w:spacing w:after="0"/>
              <w:rPr>
                <w:sz w:val="13"/>
                <w:szCs w:val="13"/>
                <w:color w:val="auto"/>
              </w:rPr>
            </w:pPr>
          </w:p>
        </w:tc>
      </w:tr>
      <w:tr>
        <w:trPr>
          <w:trHeight w:val="148"/>
        </w:trPr>
        <w:tc>
          <w:tcPr>
            <w:tcW w:w="4760" w:type="dxa"/>
            <w:vAlign w:val="bottom"/>
          </w:tcPr>
          <w:p>
            <w:pPr>
              <w:spacing w:after="0"/>
              <w:rPr>
                <w:sz w:val="12"/>
                <w:szCs w:val="12"/>
                <w:color w:val="auto"/>
              </w:rPr>
            </w:pPr>
          </w:p>
        </w:tc>
        <w:tc>
          <w:tcPr>
            <w:tcW w:w="1400" w:type="dxa"/>
            <w:vAlign w:val="bottom"/>
          </w:tcPr>
          <w:p>
            <w:pPr>
              <w:jc w:val="center"/>
              <w:ind w:right="67"/>
              <w:spacing w:after="0"/>
              <w:rPr>
                <w:sz w:val="20"/>
                <w:szCs w:val="20"/>
                <w:color w:val="auto"/>
              </w:rPr>
            </w:pPr>
            <w:r>
              <w:rPr>
                <w:rFonts w:ascii="Arial" w:cs="Arial" w:eastAsia="Arial" w:hAnsi="Arial"/>
                <w:sz w:val="13"/>
                <w:szCs w:val="13"/>
                <w:b w:val="1"/>
                <w:bCs w:val="1"/>
                <w:color w:val="auto"/>
                <w:w w:val="93"/>
              </w:rPr>
              <w:t>Amount</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1660" w:type="dxa"/>
            <w:vAlign w:val="bottom"/>
          </w:tcPr>
          <w:p>
            <w:pPr>
              <w:jc w:val="center"/>
              <w:ind w:left="28"/>
              <w:spacing w:after="0"/>
              <w:rPr>
                <w:sz w:val="20"/>
                <w:szCs w:val="20"/>
                <w:color w:val="auto"/>
              </w:rPr>
            </w:pPr>
            <w:r>
              <w:rPr>
                <w:rFonts w:ascii="Arial" w:cs="Arial" w:eastAsia="Arial" w:hAnsi="Arial"/>
                <w:sz w:val="13"/>
                <w:szCs w:val="13"/>
                <w:b w:val="1"/>
                <w:bCs w:val="1"/>
                <w:color w:val="auto"/>
                <w:w w:val="99"/>
              </w:rPr>
              <w:t>Maximum</w:t>
            </w:r>
          </w:p>
        </w:tc>
        <w:tc>
          <w:tcPr>
            <w:tcW w:w="178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1400" w:type="dxa"/>
            <w:vAlign w:val="bottom"/>
          </w:tcPr>
          <w:p>
            <w:pPr>
              <w:jc w:val="center"/>
              <w:ind w:right="87"/>
              <w:spacing w:after="0" w:line="142" w:lineRule="exact"/>
              <w:rPr>
                <w:sz w:val="20"/>
                <w:szCs w:val="20"/>
                <w:color w:val="auto"/>
              </w:rPr>
            </w:pPr>
            <w:r>
              <w:rPr>
                <w:rFonts w:ascii="Arial" w:cs="Arial" w:eastAsia="Arial" w:hAnsi="Arial"/>
                <w:sz w:val="13"/>
                <w:szCs w:val="13"/>
                <w:b w:val="1"/>
                <w:bCs w:val="1"/>
                <w:color w:val="auto"/>
                <w:w w:val="89"/>
              </w:rPr>
              <w:t>to be</w:t>
            </w:r>
          </w:p>
        </w:tc>
        <w:tc>
          <w:tcPr>
            <w:tcW w:w="15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Offering Price</w:t>
            </w:r>
          </w:p>
        </w:tc>
        <w:tc>
          <w:tcPr>
            <w:tcW w:w="1660" w:type="dxa"/>
            <w:vAlign w:val="bottom"/>
          </w:tcPr>
          <w:p>
            <w:pPr>
              <w:jc w:val="center"/>
              <w:ind w:left="48"/>
              <w:spacing w:after="0" w:line="142" w:lineRule="exact"/>
              <w:rPr>
                <w:sz w:val="20"/>
                <w:szCs w:val="20"/>
                <w:color w:val="auto"/>
              </w:rPr>
            </w:pPr>
            <w:r>
              <w:rPr>
                <w:rFonts w:ascii="Arial" w:cs="Arial" w:eastAsia="Arial" w:hAnsi="Arial"/>
                <w:sz w:val="13"/>
                <w:szCs w:val="13"/>
                <w:b w:val="1"/>
                <w:bCs w:val="1"/>
                <w:color w:val="auto"/>
                <w:w w:val="90"/>
              </w:rPr>
              <w:t>Aggregate</w:t>
            </w:r>
          </w:p>
        </w:tc>
        <w:tc>
          <w:tcPr>
            <w:tcW w:w="1780" w:type="dxa"/>
            <w:vAlign w:val="bottom"/>
          </w:tcPr>
          <w:p>
            <w:pPr>
              <w:jc w:val="center"/>
              <w:ind w:left="45"/>
              <w:spacing w:after="0" w:line="142" w:lineRule="exact"/>
              <w:rPr>
                <w:sz w:val="20"/>
                <w:szCs w:val="20"/>
                <w:color w:val="auto"/>
              </w:rPr>
            </w:pPr>
            <w:r>
              <w:rPr>
                <w:rFonts w:ascii="Arial" w:cs="Arial" w:eastAsia="Arial" w:hAnsi="Arial"/>
                <w:sz w:val="13"/>
                <w:szCs w:val="13"/>
                <w:b w:val="1"/>
                <w:bCs w:val="1"/>
                <w:color w:val="auto"/>
                <w:w w:val="95"/>
              </w:rPr>
              <w:t>Amount of Registration</w:t>
            </w:r>
          </w:p>
        </w:tc>
      </w:tr>
      <w:tr>
        <w:trPr>
          <w:trHeight w:val="189"/>
        </w:trPr>
        <w:tc>
          <w:tcPr>
            <w:tcW w:w="4760" w:type="dxa"/>
            <w:vAlign w:val="bottom"/>
            <w:tcBorders>
              <w:bottom w:val="single" w:sz="8" w:color="auto"/>
            </w:tcBorders>
          </w:tcPr>
          <w:p>
            <w:pPr>
              <w:ind w:left="1320"/>
              <w:spacing w:after="0"/>
              <w:rPr>
                <w:sz w:val="20"/>
                <w:szCs w:val="20"/>
                <w:color w:val="auto"/>
              </w:rPr>
            </w:pPr>
            <w:r>
              <w:rPr>
                <w:rFonts w:ascii="Arial" w:cs="Arial" w:eastAsia="Arial" w:hAnsi="Arial"/>
                <w:sz w:val="13"/>
                <w:szCs w:val="13"/>
                <w:b w:val="1"/>
                <w:bCs w:val="1"/>
                <w:color w:val="auto"/>
              </w:rPr>
              <w:t>Title of Securities to be Registered</w:t>
            </w:r>
          </w:p>
        </w:tc>
        <w:tc>
          <w:tcPr>
            <w:tcW w:w="14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2"/>
              </w:rPr>
              <w:t>Registered</w:t>
            </w:r>
            <w:r>
              <w:rPr>
                <w:rFonts w:ascii="Arial" w:cs="Arial" w:eastAsia="Arial" w:hAnsi="Arial"/>
                <w:sz w:val="14"/>
                <w:szCs w:val="14"/>
                <w:b w:val="1"/>
                <w:bCs w:val="1"/>
                <w:color w:val="auto"/>
                <w:w w:val="92"/>
              </w:rPr>
              <w:t>(1)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Per Share</w:t>
            </w:r>
            <w:r>
              <w:rPr>
                <w:rFonts w:ascii="Arial" w:cs="Arial" w:eastAsia="Arial" w:hAnsi="Arial"/>
                <w:sz w:val="14"/>
                <w:szCs w:val="14"/>
                <w:b w:val="1"/>
                <w:bCs w:val="1"/>
                <w:color w:val="auto"/>
                <w:w w:val="95"/>
              </w:rPr>
              <w:t>(2)</w:t>
            </w:r>
          </w:p>
        </w:tc>
        <w:tc>
          <w:tcPr>
            <w:tcW w:w="1660" w:type="dxa"/>
            <w:vAlign w:val="bottom"/>
            <w:tcBorders>
              <w:bottom w:val="single" w:sz="8" w:color="auto"/>
            </w:tcBorders>
          </w:tcPr>
          <w:p>
            <w:pPr>
              <w:jc w:val="center"/>
              <w:ind w:left="48"/>
              <w:spacing w:after="0"/>
              <w:rPr>
                <w:sz w:val="20"/>
                <w:szCs w:val="20"/>
                <w:color w:val="auto"/>
              </w:rPr>
            </w:pPr>
            <w:r>
              <w:rPr>
                <w:rFonts w:ascii="Arial" w:cs="Arial" w:eastAsia="Arial" w:hAnsi="Arial"/>
                <w:sz w:val="13"/>
                <w:szCs w:val="13"/>
                <w:b w:val="1"/>
                <w:bCs w:val="1"/>
                <w:color w:val="auto"/>
                <w:w w:val="95"/>
              </w:rPr>
              <w:t>Offering Price</w:t>
            </w:r>
            <w:r>
              <w:rPr>
                <w:rFonts w:ascii="Arial" w:cs="Arial" w:eastAsia="Arial" w:hAnsi="Arial"/>
                <w:sz w:val="14"/>
                <w:szCs w:val="14"/>
                <w:b w:val="1"/>
                <w:bCs w:val="1"/>
                <w:color w:val="auto"/>
                <w:w w:val="95"/>
              </w:rPr>
              <w:t>(2)</w:t>
            </w:r>
          </w:p>
        </w:tc>
        <w:tc>
          <w:tcPr>
            <w:tcW w:w="1780" w:type="dxa"/>
            <w:vAlign w:val="bottom"/>
            <w:tcBorders>
              <w:bottom w:val="single" w:sz="8" w:color="auto"/>
            </w:tcBorders>
          </w:tcPr>
          <w:p>
            <w:pPr>
              <w:jc w:val="center"/>
              <w:ind w:left="45"/>
              <w:spacing w:after="0"/>
              <w:rPr>
                <w:sz w:val="20"/>
                <w:szCs w:val="20"/>
                <w:color w:val="auto"/>
              </w:rPr>
            </w:pPr>
            <w:r>
              <w:rPr>
                <w:rFonts w:ascii="Arial" w:cs="Arial" w:eastAsia="Arial" w:hAnsi="Arial"/>
                <w:sz w:val="13"/>
                <w:szCs w:val="13"/>
                <w:b w:val="1"/>
                <w:bCs w:val="1"/>
                <w:color w:val="auto"/>
                <w:w w:val="96"/>
              </w:rPr>
              <w:t>Fee</w:t>
            </w:r>
            <w:r>
              <w:rPr>
                <w:rFonts w:ascii="Arial" w:cs="Arial" w:eastAsia="Arial" w:hAnsi="Arial"/>
                <w:sz w:val="14"/>
                <w:szCs w:val="14"/>
                <w:b w:val="1"/>
                <w:bCs w:val="1"/>
                <w:color w:val="auto"/>
                <w:w w:val="96"/>
              </w:rPr>
              <w:t>(2)</w:t>
            </w:r>
          </w:p>
        </w:tc>
      </w:tr>
      <w:tr>
        <w:trPr>
          <w:trHeight w:val="290"/>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Common Shares, no par value</w:t>
            </w:r>
            <w:r>
              <w:rPr>
                <w:rFonts w:ascii="Arial" w:cs="Arial" w:eastAsia="Arial" w:hAnsi="Arial"/>
                <w:sz w:val="21"/>
                <w:szCs w:val="21"/>
                <w:color w:val="auto"/>
                <w:w w:val="95"/>
              </w:rPr>
              <w:t>...........................................</w:t>
            </w:r>
          </w:p>
        </w:tc>
        <w:tc>
          <w:tcPr>
            <w:tcW w:w="1400" w:type="dxa"/>
            <w:vAlign w:val="bottom"/>
            <w:tcBorders>
              <w:bottom w:val="single" w:sz="8" w:color="auto"/>
            </w:tcBorders>
          </w:tcPr>
          <w:p>
            <w:pPr>
              <w:jc w:val="center"/>
              <w:ind w:right="67"/>
              <w:spacing w:after="0"/>
              <w:rPr>
                <w:sz w:val="20"/>
                <w:szCs w:val="20"/>
                <w:color w:val="auto"/>
              </w:rPr>
            </w:pPr>
            <w:r>
              <w:rPr>
                <w:rFonts w:ascii="Arial" w:cs="Arial" w:eastAsia="Arial" w:hAnsi="Arial"/>
                <w:sz w:val="18"/>
                <w:szCs w:val="18"/>
                <w:color w:val="auto"/>
                <w:w w:val="90"/>
              </w:rPr>
              <w:t>10,000,000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$0.51</w:t>
            </w:r>
          </w:p>
        </w:tc>
        <w:tc>
          <w:tcPr>
            <w:tcW w:w="1660" w:type="dxa"/>
            <w:vAlign w:val="bottom"/>
            <w:tcBorders>
              <w:bottom w:val="single" w:sz="8" w:color="auto"/>
            </w:tcBorders>
          </w:tcPr>
          <w:p>
            <w:pPr>
              <w:jc w:val="center"/>
              <w:ind w:left="48"/>
              <w:spacing w:after="0"/>
              <w:rPr>
                <w:sz w:val="20"/>
                <w:szCs w:val="20"/>
                <w:color w:val="auto"/>
              </w:rPr>
            </w:pPr>
            <w:r>
              <w:rPr>
                <w:rFonts w:ascii="Arial" w:cs="Arial" w:eastAsia="Arial" w:hAnsi="Arial"/>
                <w:sz w:val="18"/>
                <w:szCs w:val="18"/>
                <w:color w:val="auto"/>
                <w:w w:val="90"/>
              </w:rPr>
              <w:t>$5,100,000</w:t>
            </w:r>
          </w:p>
        </w:tc>
        <w:tc>
          <w:tcPr>
            <w:tcW w:w="1780" w:type="dxa"/>
            <w:vAlign w:val="bottom"/>
            <w:tcBorders>
              <w:bottom w:val="single" w:sz="8" w:color="auto"/>
            </w:tcBorders>
          </w:tcPr>
          <w:p>
            <w:pPr>
              <w:jc w:val="center"/>
              <w:ind w:left="45"/>
              <w:spacing w:after="0"/>
              <w:rPr>
                <w:sz w:val="20"/>
                <w:szCs w:val="20"/>
                <w:color w:val="auto"/>
              </w:rPr>
            </w:pPr>
            <w:r>
              <w:rPr>
                <w:rFonts w:ascii="Arial" w:cs="Arial" w:eastAsia="Arial" w:hAnsi="Arial"/>
                <w:sz w:val="18"/>
                <w:szCs w:val="18"/>
                <w:color w:val="auto"/>
                <w:w w:val="89"/>
              </w:rPr>
              <w:t>$661.98</w:t>
            </w:r>
          </w:p>
        </w:tc>
      </w:tr>
    </w:tbl>
    <w:p>
      <w:pPr>
        <w:spacing w:after="0" w:line="256" w:lineRule="exact"/>
        <w:rPr>
          <w:sz w:val="20"/>
          <w:szCs w:val="20"/>
          <w:color w:val="auto"/>
        </w:rPr>
      </w:pPr>
    </w:p>
    <w:p>
      <w:pPr>
        <w:ind w:right="80" w:firstLine="448"/>
        <w:spacing w:after="0" w:line="265" w:lineRule="auto"/>
        <w:tabs>
          <w:tab w:leader="none" w:pos="704"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addition to the number of common shares, no par value (the “Common Shares”) of Civeo Corporation (the “Company”) set forth in the above table, this Registration Statement on Form S-8 (this “Registration Statement”) covers an indeterminate number of options and other rights to acquire Common Shares, to be granted pursuant to the Amended and Restated 2014 Equity Participation Plan of Civeo Corporation (the “Plan”).</w:t>
      </w:r>
    </w:p>
    <w:p>
      <w:pPr>
        <w:spacing w:after="0" w:line="1" w:lineRule="exact"/>
        <w:rPr>
          <w:rFonts w:ascii="Arial" w:cs="Arial" w:eastAsia="Arial" w:hAnsi="Arial"/>
          <w:sz w:val="17"/>
          <w:szCs w:val="17"/>
          <w:color w:val="auto"/>
        </w:rPr>
      </w:pPr>
    </w:p>
    <w:p>
      <w:pPr>
        <w:ind w:right="20" w:firstLine="448"/>
        <w:spacing w:after="0" w:line="265" w:lineRule="auto"/>
        <w:tabs>
          <w:tab w:leader="none" w:pos="704"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any additional securities that may from time to time be offered or issued in respect of the securities registered by this Registration Statement to prevent dilution as a result of any stock dividend, stock split, recapitalization or other similar transaction pursuant to the terms of the Plan.</w:t>
      </w:r>
    </w:p>
    <w:p>
      <w:pPr>
        <w:ind w:right="80" w:firstLine="448"/>
        <w:spacing w:after="0" w:line="276" w:lineRule="auto"/>
        <w:tabs>
          <w:tab w:leader="none" w:pos="70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Rule 457(h) under the Securities Act, based upon the average of the high and low prices of a Common Share reported on the New York Stock Exchange on July 24, 2020.</w:t>
      </w:r>
    </w:p>
    <w:p>
      <w:pPr>
        <w:sectPr>
          <w:pgSz w:w="11900" w:h="16838" w:orient="portrait"/>
          <w:cols w:equalWidth="0" w:num="1">
            <w:col w:w="11180"/>
          </w:cols>
          <w:pgMar w:left="320" w:top="1440" w:right="39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REGISTRATION OF ADDITIONAL SECURITIES</w:t>
      </w:r>
    </w:p>
    <w:p>
      <w:pPr>
        <w:spacing w:after="0" w:line="235"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color w:val="auto"/>
        </w:rPr>
        <w:t>This Registration Statement is being filed by the Company pursuant to General Instruction E of Form S-8 under the Securities Act, to register an additional 10,000,000 common shares, no par value, for issuance pursuant to the Plan. The board of directors of the Company recommended for approval and, on June 9, 2020, the shareholders of the Company approved an amendment to the Plan that increased the number of shares available for issuance under the Plan from 18,700,000 to 28,700,000.</w:t>
      </w:r>
    </w:p>
    <w:p>
      <w:pPr>
        <w:spacing w:after="0" w:line="204" w:lineRule="exact"/>
        <w:rPr>
          <w:sz w:val="20"/>
          <w:szCs w:val="20"/>
          <w:color w:val="auto"/>
        </w:rPr>
      </w:pPr>
    </w:p>
    <w:p>
      <w:pPr>
        <w:ind w:right="80" w:firstLine="64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 accordance with General Instruction E to Form S-8, and except as the same may be modified by the information set forth in this Registration Statement, the Company hereby incorporates by reference the original Registration Statement on Form S-8 filed by the Company with the Securities and Exchange Commission (the “Commission”) on May 27, 2014 </w:t>
      </w:r>
      <w:hyperlink r:id="rId9">
        <w:r>
          <w:rPr>
            <w:rFonts w:ascii="Arial" w:cs="Arial" w:eastAsia="Arial" w:hAnsi="Arial"/>
            <w:sz w:val="18"/>
            <w:szCs w:val="18"/>
            <w:color w:val="0000FF"/>
          </w:rPr>
          <w:t>(File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 333-196292</w:t>
        </w:r>
      </w:hyperlink>
      <w:r>
        <w:rPr>
          <w:rFonts w:ascii="Arial" w:cs="Arial" w:eastAsia="Arial" w:hAnsi="Arial"/>
          <w:sz w:val="18"/>
          <w:szCs w:val="18"/>
          <w:color w:val="auto"/>
        </w:rPr>
        <w:t>), as amended by Post-Effective Amendment No. 1 to such Registration Statement, filed with the Commission on July 17, 2015 (</w:t>
      </w:r>
      <w:hyperlink r:id="rId10">
        <w:r>
          <w:rPr>
            <w:rFonts w:ascii="Arial" w:cs="Arial" w:eastAsia="Arial" w:hAnsi="Arial"/>
            <w:sz w:val="18"/>
            <w:szCs w:val="18"/>
            <w:u w:val="single" w:color="auto"/>
            <w:color w:val="0000FF"/>
          </w:rPr>
          <w:t>File No. 333-196292</w:t>
        </w:r>
      </w:hyperlink>
      <w:r>
        <w:rPr>
          <w:rFonts w:ascii="Arial" w:cs="Arial" w:eastAsia="Arial" w:hAnsi="Arial"/>
          <w:sz w:val="18"/>
          <w:szCs w:val="18"/>
          <w:color w:val="auto"/>
        </w:rPr>
        <w:t xml:space="preserve">), the additional Registration Statement on Form S-8 filed by the Company with the Commission on May 16, 2016 </w:t>
      </w:r>
      <w:r>
        <w:rPr>
          <w:rFonts w:ascii="Arial" w:cs="Arial" w:eastAsia="Arial" w:hAnsi="Arial"/>
          <w:sz w:val="19"/>
          <w:szCs w:val="19"/>
          <w:color w:val="auto"/>
        </w:rPr>
        <w:t>(</w:t>
      </w:r>
      <w:hyperlink r:id="rId11">
        <w:r>
          <w:rPr>
            <w:rFonts w:ascii="Arial" w:cs="Arial" w:eastAsia="Arial" w:hAnsi="Arial"/>
            <w:sz w:val="18"/>
            <w:szCs w:val="18"/>
            <w:u w:val="single" w:color="auto"/>
            <w:color w:val="0000FF"/>
          </w:rPr>
          <w:t>File No. 333-211393</w:t>
        </w:r>
      </w:hyperlink>
      <w:r>
        <w:rPr>
          <w:rFonts w:ascii="Arial" w:cs="Arial" w:eastAsia="Arial" w:hAnsi="Arial"/>
          <w:sz w:val="18"/>
          <w:szCs w:val="18"/>
          <w:color w:val="auto"/>
        </w:rPr>
        <w:t>), and the additional Registration Statement on Form S-8 filed by the Company with the Commission on July 27, 2018 (</w:t>
      </w:r>
      <w:hyperlink r:id="rId12">
        <w:r>
          <w:rPr>
            <w:rFonts w:ascii="Arial" w:cs="Arial" w:eastAsia="Arial" w:hAnsi="Arial"/>
            <w:sz w:val="18"/>
            <w:szCs w:val="18"/>
            <w:u w:val="single" w:color="auto"/>
            <w:color w:val="0000FF"/>
          </w:rPr>
          <w:t>File No. 333-226388</w:t>
        </w:r>
      </w:hyperlink>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20"/>
          <w:szCs w:val="20"/>
          <w:b w:val="1"/>
          <w:bCs w:val="1"/>
          <w:color w:val="auto"/>
        </w:rPr>
        <w:t>PART II</w:t>
      </w:r>
    </w:p>
    <w:p>
      <w:pPr>
        <w:spacing w:after="0" w:line="229" w:lineRule="exact"/>
        <w:rPr>
          <w:rFonts w:ascii="Arial" w:cs="Arial" w:eastAsia="Arial" w:hAnsi="Arial"/>
          <w:sz w:val="18"/>
          <w:szCs w:val="18"/>
          <w:color w:val="auto"/>
        </w:rPr>
      </w:pPr>
    </w:p>
    <w:p>
      <w:pPr>
        <w:ind w:right="2520" w:firstLine="2542"/>
        <w:spacing w:after="0" w:line="267" w:lineRule="auto"/>
        <w:rPr>
          <w:sz w:val="20"/>
          <w:szCs w:val="20"/>
          <w:color w:val="auto"/>
        </w:rPr>
      </w:pPr>
      <w:r>
        <w:rPr>
          <w:rFonts w:ascii="Arial" w:cs="Arial" w:eastAsia="Arial" w:hAnsi="Arial"/>
          <w:sz w:val="20"/>
          <w:szCs w:val="20"/>
          <w:b w:val="1"/>
          <w:bCs w:val="1"/>
          <w:color w:val="auto"/>
        </w:rPr>
        <w:t>INFORMATION REQUIRED IN THE REGISTRATION STATEMENT Item 3. Incorporation of Documents by Reference.</w:t>
      </w:r>
    </w:p>
    <w:p>
      <w:pPr>
        <w:spacing w:after="0" w:line="196" w:lineRule="exact"/>
        <w:rPr>
          <w:rFonts w:ascii="Arial" w:cs="Arial" w:eastAsia="Arial" w:hAnsi="Arial"/>
          <w:sz w:val="18"/>
          <w:szCs w:val="18"/>
          <w:color w:val="auto"/>
        </w:rPr>
      </w:pPr>
    </w:p>
    <w:p>
      <w:pPr>
        <w:ind w:right="120" w:firstLine="648"/>
        <w:spacing w:after="0" w:line="246" w:lineRule="auto"/>
        <w:rPr>
          <w:sz w:val="20"/>
          <w:szCs w:val="20"/>
          <w:color w:val="auto"/>
        </w:rPr>
      </w:pPr>
      <w:r>
        <w:rPr>
          <w:rFonts w:ascii="Arial" w:cs="Arial" w:eastAsia="Arial" w:hAnsi="Arial"/>
          <w:sz w:val="20"/>
          <w:szCs w:val="20"/>
          <w:color w:val="auto"/>
        </w:rPr>
        <w:t>The following documents, previously filed by the Company with the Commission, are incorporated by reference herein and shall be deemed to be a part hereof:</w:t>
      </w:r>
    </w:p>
    <w:p>
      <w:pPr>
        <w:spacing w:after="0" w:line="214" w:lineRule="exact"/>
        <w:rPr>
          <w:rFonts w:ascii="Arial" w:cs="Arial" w:eastAsia="Arial" w:hAnsi="Arial"/>
          <w:sz w:val="18"/>
          <w:szCs w:val="18"/>
          <w:color w:val="auto"/>
        </w:rPr>
      </w:pPr>
    </w:p>
    <w:p>
      <w:pPr>
        <w:ind w:left="900" w:hanging="568"/>
        <w:spacing w:after="0"/>
        <w:tabs>
          <w:tab w:leader="none" w:pos="900" w:val="left"/>
        </w:tabs>
        <w:numPr>
          <w:ilvl w:val="0"/>
          <w:numId w:val="4"/>
        </w:numPr>
        <w:rPr>
          <w:rFonts w:ascii="Arial" w:cs="Arial" w:eastAsia="Arial" w:hAnsi="Arial"/>
          <w:sz w:val="20"/>
          <w:szCs w:val="20"/>
          <w:color w:val="0000FF"/>
        </w:rPr>
      </w:pPr>
      <w:hyperlink r:id="rId13">
        <w:r>
          <w:rPr>
            <w:rFonts w:ascii="Arial" w:cs="Arial" w:eastAsia="Arial" w:hAnsi="Arial"/>
            <w:sz w:val="20"/>
            <w:szCs w:val="20"/>
            <w:u w:val="single" w:color="auto"/>
            <w:color w:val="0000FF"/>
          </w:rPr>
          <w:t>the Annual Report on Form 10-K for the fiscal year ended December 31, 2019, filed on February 27, 2020</w:t>
        </w:r>
      </w:hyperlink>
      <w:r>
        <w:rPr>
          <w:rFonts w:ascii="Arial" w:cs="Arial" w:eastAsia="Arial" w:hAnsi="Arial"/>
          <w:sz w:val="20"/>
          <w:szCs w:val="20"/>
          <w:color w:val="000000"/>
        </w:rPr>
        <w:t>;</w:t>
      </w:r>
    </w:p>
    <w:p>
      <w:pPr>
        <w:spacing w:after="0" w:line="235" w:lineRule="exact"/>
        <w:rPr>
          <w:rFonts w:ascii="Arial" w:cs="Arial" w:eastAsia="Arial" w:hAnsi="Arial"/>
          <w:sz w:val="20"/>
          <w:szCs w:val="20"/>
          <w:color w:val="0000FF"/>
        </w:rPr>
      </w:pPr>
    </w:p>
    <w:p>
      <w:pPr>
        <w:ind w:left="660" w:right="380" w:hanging="328"/>
        <w:spacing w:after="0" w:line="238" w:lineRule="auto"/>
        <w:tabs>
          <w:tab w:leader="none" w:pos="655"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Quarterly Reports on Form 10-Q for the fiscal quarter ended March 31, 2020, filed on </w:t>
      </w:r>
      <w:hyperlink r:id="rId14">
        <w:r>
          <w:rPr>
            <w:rFonts w:ascii="Arial" w:cs="Arial" w:eastAsia="Arial" w:hAnsi="Arial"/>
            <w:sz w:val="20"/>
            <w:szCs w:val="20"/>
            <w:u w:val="single" w:color="auto"/>
            <w:color w:val="0000FF"/>
          </w:rPr>
          <w:t>May 7, 2020</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 xml:space="preserve">and for the quarter ended June 30, 2020 filed on </w:t>
      </w:r>
      <w:hyperlink r:id="rId15">
        <w:r>
          <w:rPr>
            <w:rFonts w:ascii="Arial" w:cs="Arial" w:eastAsia="Arial" w:hAnsi="Arial"/>
            <w:sz w:val="20"/>
            <w:szCs w:val="20"/>
            <w:u w:val="single" w:color="auto"/>
            <w:color w:val="0000FF"/>
          </w:rPr>
          <w:t>July 29, 2020</w:t>
        </w:r>
      </w:hyperlink>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Current Reports on Form 8-K filed on </w:t>
      </w:r>
      <w:hyperlink r:id="rId16">
        <w:r>
          <w:rPr>
            <w:rFonts w:ascii="Arial" w:cs="Arial" w:eastAsia="Arial" w:hAnsi="Arial"/>
            <w:sz w:val="20"/>
            <w:szCs w:val="20"/>
            <w:u w:val="single" w:color="auto"/>
            <w:color w:val="0000FF"/>
          </w:rPr>
          <w:t>March 31, 2020</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 xml:space="preserve">and </w:t>
      </w:r>
      <w:hyperlink r:id="rId17">
        <w:r>
          <w:rPr>
            <w:rFonts w:ascii="Arial" w:cs="Arial" w:eastAsia="Arial" w:hAnsi="Arial"/>
            <w:sz w:val="20"/>
            <w:szCs w:val="20"/>
            <w:u w:val="single" w:color="auto"/>
            <w:color w:val="0000FF"/>
          </w:rPr>
          <w:t>June 11, 2020</w:t>
        </w:r>
      </w:hyperlink>
      <w:r>
        <w:rPr>
          <w:rFonts w:ascii="Arial" w:cs="Arial" w:eastAsia="Arial" w:hAnsi="Arial"/>
          <w:sz w:val="20"/>
          <w:szCs w:val="20"/>
          <w:color w:val="auto"/>
        </w:rPr>
        <w:t>; and</w:t>
      </w:r>
    </w:p>
    <w:p>
      <w:pPr>
        <w:spacing w:after="0" w:line="242" w:lineRule="exact"/>
        <w:rPr>
          <w:rFonts w:ascii="Arial" w:cs="Arial" w:eastAsia="Arial" w:hAnsi="Arial"/>
          <w:sz w:val="20"/>
          <w:szCs w:val="20"/>
          <w:color w:val="auto"/>
        </w:rPr>
      </w:pPr>
    </w:p>
    <w:p>
      <w:pPr>
        <w:ind w:left="660" w:right="20" w:hanging="328"/>
        <w:spacing w:after="0" w:line="234" w:lineRule="auto"/>
        <w:tabs>
          <w:tab w:leader="none" w:pos="898" w:val="left"/>
        </w:tabs>
        <w:numPr>
          <w:ilvl w:val="0"/>
          <w:numId w:val="4"/>
        </w:numPr>
        <w:rPr>
          <w:rFonts w:ascii="Arial" w:cs="Arial" w:eastAsia="Arial" w:hAnsi="Arial"/>
          <w:sz w:val="20"/>
          <w:szCs w:val="20"/>
          <w:u w:val="single" w:color="auto"/>
          <w:color w:val="0000FF"/>
        </w:rPr>
      </w:pPr>
      <w:hyperlink r:id="rId18">
        <w:r>
          <w:rPr>
            <w:rFonts w:ascii="Arial" w:cs="Arial" w:eastAsia="Arial" w:hAnsi="Arial"/>
            <w:sz w:val="20"/>
            <w:szCs w:val="20"/>
            <w:u w:val="single" w:color="auto"/>
            <w:color w:val="0000FF"/>
          </w:rPr>
          <w:t>the description of the Company’s securities contained on Exhibit 4.3 to the Company’s Annual Report on Form 10-K for the fiscal</w:t>
        </w:r>
      </w:hyperlink>
      <w:r>
        <w:rPr>
          <w:rFonts w:ascii="Arial" w:cs="Arial" w:eastAsia="Arial" w:hAnsi="Arial"/>
          <w:sz w:val="20"/>
          <w:szCs w:val="20"/>
          <w:u w:val="single" w:color="auto"/>
          <w:color w:val="0000FF"/>
        </w:rPr>
        <w:t xml:space="preserve"> </w:t>
      </w:r>
      <w:hyperlink r:id="rId18">
        <w:r>
          <w:rPr>
            <w:rFonts w:ascii="Arial" w:cs="Arial" w:eastAsia="Arial" w:hAnsi="Arial"/>
            <w:sz w:val="20"/>
            <w:szCs w:val="20"/>
            <w:u w:val="single" w:color="auto"/>
            <w:color w:val="0000FF"/>
          </w:rPr>
          <w:t>year ended December 31, 2019, filed on February 27, 2020, including any amendments or reports filed for the purpose of updating</w:t>
        </w:r>
      </w:hyperlink>
      <w:r>
        <w:rPr>
          <w:rFonts w:ascii="Arial" w:cs="Arial" w:eastAsia="Arial" w:hAnsi="Arial"/>
          <w:sz w:val="20"/>
          <w:szCs w:val="20"/>
          <w:u w:val="single" w:color="auto"/>
          <w:color w:val="0000FF"/>
        </w:rPr>
        <w:t xml:space="preserve"> </w:t>
      </w:r>
      <w:hyperlink r:id="rId18">
        <w:r>
          <w:rPr>
            <w:rFonts w:ascii="Arial" w:cs="Arial" w:eastAsia="Arial" w:hAnsi="Arial"/>
            <w:sz w:val="20"/>
            <w:szCs w:val="20"/>
            <w:u w:val="single" w:color="auto"/>
            <w:color w:val="0000FF"/>
          </w:rPr>
          <w:t>such description.</w:t>
        </w:r>
      </w:hyperlink>
    </w:p>
    <w:p>
      <w:pPr>
        <w:spacing w:after="0" w:line="209" w:lineRule="exact"/>
        <w:rPr>
          <w:rFonts w:ascii="Arial" w:cs="Arial" w:eastAsia="Arial" w:hAnsi="Arial"/>
          <w:sz w:val="20"/>
          <w:szCs w:val="20"/>
          <w:u w:val="single" w:color="auto"/>
          <w:color w:val="0000FF"/>
        </w:rPr>
      </w:pPr>
    </w:p>
    <w:p>
      <w:pPr>
        <w:ind w:right="80" w:firstLine="648"/>
        <w:spacing w:after="0" w:line="242" w:lineRule="auto"/>
        <w:rPr>
          <w:sz w:val="20"/>
          <w:szCs w:val="20"/>
          <w:color w:val="auto"/>
        </w:rPr>
      </w:pPr>
      <w:r>
        <w:rPr>
          <w:rFonts w:ascii="Arial" w:cs="Arial" w:eastAsia="Arial" w:hAnsi="Arial"/>
          <w:sz w:val="19"/>
          <w:szCs w:val="19"/>
          <w:color w:val="auto"/>
        </w:rPr>
        <w:t>In addition, all documents subsequently filed by the Company pursuant to Section 13(a), 13(c), 14 and 15(d) of the Securities Exchange Act of 1934, as amended, excluding any information furnished under Item 2.02 or Item 7.01 of any Current Report on Form 8-K and corresponding information furnished under Item 9.01 or included as an exhibit, prior to the filing of a post-effective amendment to this Registration Statement which indicates that all securities offered have been sold or which deregisters all such securities then remaining unsold, shall be deemed to be incorporated by reference in this Registration Statement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w:t>
      </w:r>
    </w:p>
    <w:p>
      <w:pPr>
        <w:sectPr>
          <w:pgSz w:w="11900" w:h="16838" w:orient="portrait"/>
          <w:cols w:equalWidth="0" w:num="1">
            <w:col w:w="11220"/>
          </w:cols>
          <w:pgMar w:left="320" w:top="1440" w:right="359" w:bottom="1440" w:gutter="0" w:footer="0" w:header="0"/>
        </w:sectPr>
      </w:pPr>
    </w:p>
    <w:bookmarkStart w:id="3" w:name="page4"/>
    <w:bookmarkEnd w:id="3"/>
    <w:p>
      <w:pPr>
        <w:ind w:right="260"/>
        <w:spacing w:after="0" w:line="246" w:lineRule="auto"/>
        <w:rPr>
          <w:sz w:val="20"/>
          <w:szCs w:val="20"/>
          <w:color w:val="auto"/>
        </w:rPr>
      </w:pPr>
      <w:r>
        <w:rPr>
          <w:rFonts w:ascii="Arial" w:cs="Arial" w:eastAsia="Arial" w:hAnsi="Arial"/>
          <w:sz w:val="20"/>
          <w:szCs w:val="20"/>
          <w:color w:val="auto"/>
        </w:rPr>
        <w:t>or supersedes such statement. Any such statement so modified or superseded shall not be deemed, except as so modified or superseded, to constitute a part of this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Exhibits.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Exhibit No. </w:t>
      </w:r>
      <w:r>
        <w:rPr>
          <w:rFonts w:ascii="Arial" w:cs="Arial" w:eastAsia="Arial" w:hAnsi="Arial"/>
          <w:sz w:val="21"/>
          <w:szCs w:val="21"/>
          <w:u w:val="single" w:color="auto"/>
          <w:color w:val="auto"/>
        </w:rPr>
        <w:t>Exhibit Description</w:t>
      </w:r>
    </w:p>
    <w:p>
      <w:pPr>
        <w:spacing w:after="0" w:line="33" w:lineRule="exact"/>
        <w:rPr>
          <w:sz w:val="20"/>
          <w:szCs w:val="20"/>
          <w:color w:val="auto"/>
        </w:rPr>
      </w:pPr>
    </w:p>
    <w:p>
      <w:pPr>
        <w:spacing w:after="0"/>
        <w:rPr>
          <w:rFonts w:ascii="Arial" w:cs="Arial" w:eastAsia="Arial" w:hAnsi="Arial"/>
          <w:sz w:val="18"/>
          <w:szCs w:val="18"/>
          <w:color w:val="auto"/>
        </w:rPr>
      </w:pPr>
      <w:hyperlink r:id="rId19">
        <w:r>
          <w:rPr>
            <w:rFonts w:ascii="Arial" w:cs="Arial" w:eastAsia="Arial" w:hAnsi="Arial"/>
            <w:sz w:val="18"/>
            <w:szCs w:val="18"/>
            <w:color w:val="auto"/>
          </w:rPr>
          <w:t xml:space="preserve">4.1 </w:t>
        </w:r>
        <w:r>
          <w:rPr>
            <w:rFonts w:ascii="Arial" w:cs="Arial" w:eastAsia="Arial" w:hAnsi="Arial"/>
            <w:sz w:val="18"/>
            <w:szCs w:val="18"/>
            <w:u w:val="single" w:color="auto"/>
            <w:color w:val="0000FF"/>
          </w:rPr>
          <w:t>Notice of Articles of Civeo Corporation (incorporated herein by reference to Exhibit 3.1</w:t>
        </w:r>
        <w:r>
          <w:rPr>
            <w:rFonts w:ascii="Arial" w:cs="Arial" w:eastAsia="Arial" w:hAnsi="Arial"/>
            <w:sz w:val="18"/>
            <w:szCs w:val="18"/>
            <w:color w:val="auto"/>
          </w:rPr>
          <w:t xml:space="preserve"> </w:t>
        </w:r>
        <w:r>
          <w:rPr>
            <w:rFonts w:ascii="Arial" w:cs="Arial" w:eastAsia="Arial" w:hAnsi="Arial"/>
            <w:sz w:val="18"/>
            <w:szCs w:val="18"/>
            <w:color w:val="0000FF"/>
          </w:rPr>
          <w:t>to the Current Report on Form 8-K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-8255</wp:posOffset>
            </wp:positionV>
            <wp:extent cx="2275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2275205" cy="8890"/>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20"/>
          <w:szCs w:val="20"/>
          <w:u w:val="single" w:color="auto"/>
          <w:color w:val="0000FF"/>
        </w:rPr>
      </w:pPr>
      <w:hyperlink r:id="rId19">
        <w:r>
          <w:rPr>
            <w:rFonts w:ascii="Arial" w:cs="Arial" w:eastAsia="Arial" w:hAnsi="Arial"/>
            <w:sz w:val="20"/>
            <w:szCs w:val="20"/>
            <w:u w:val="single" w:color="auto"/>
            <w:color w:val="0000FF"/>
          </w:rPr>
          <w:t>001-36246) filed with the Commission on April 2, 2018).</w:t>
        </w:r>
      </w:hyperlink>
    </w:p>
    <w:p>
      <w:pPr>
        <w:spacing w:after="0" w:line="227" w:lineRule="exact"/>
        <w:rPr>
          <w:sz w:val="20"/>
          <w:szCs w:val="20"/>
          <w:color w:val="auto"/>
        </w:rPr>
      </w:pPr>
    </w:p>
    <w:p>
      <w:pPr>
        <w:spacing w:after="0" w:line="260" w:lineRule="auto"/>
        <w:rPr>
          <w:rFonts w:ascii="Arial" w:cs="Arial" w:eastAsia="Arial" w:hAnsi="Arial"/>
          <w:sz w:val="20"/>
          <w:szCs w:val="20"/>
          <w:u w:val="single" w:color="auto"/>
          <w:color w:val="0000FF"/>
        </w:rPr>
      </w:pPr>
      <w:hyperlink r:id="rId21">
        <w:r>
          <w:rPr>
            <w:rFonts w:ascii="Arial" w:cs="Arial" w:eastAsia="Arial" w:hAnsi="Arial"/>
            <w:sz w:val="20"/>
            <w:szCs w:val="20"/>
            <w:color w:val="auto"/>
          </w:rPr>
          <w:t xml:space="preserve">4.2 </w:t>
        </w:r>
        <w:r>
          <w:rPr>
            <w:rFonts w:ascii="Arial" w:cs="Arial" w:eastAsia="Arial" w:hAnsi="Arial"/>
            <w:sz w:val="20"/>
            <w:szCs w:val="20"/>
            <w:u w:val="single" w:color="auto"/>
            <w:color w:val="0000FF"/>
          </w:rPr>
          <w:t>Amended and Restated Articles of Civeo Corporation (incorporated herein by reference to Exhibit 3.2 to the Current Report on Form 8-K</w:t>
        </w:r>
      </w:hyperlink>
      <w:r>
        <w:rPr>
          <w:rFonts w:ascii="Arial" w:cs="Arial" w:eastAsia="Arial" w:hAnsi="Arial"/>
          <w:sz w:val="20"/>
          <w:szCs w:val="20"/>
          <w:color w:val="auto"/>
        </w:rPr>
        <w:t xml:space="preserve"> </w:t>
      </w:r>
      <w:hyperlink r:id="rId21">
        <w:r>
          <w:rPr>
            <w:rFonts w:ascii="Arial" w:cs="Arial" w:eastAsia="Arial" w:hAnsi="Arial"/>
            <w:sz w:val="20"/>
            <w:szCs w:val="20"/>
            <w:u w:val="single" w:color="auto"/>
            <w:color w:val="0000FF"/>
          </w:rPr>
          <w:t>(File No. 001-36246) filed with the Commission on April 2, 2018).</w:t>
        </w:r>
      </w:hyperlink>
    </w:p>
    <w:p>
      <w:pPr>
        <w:spacing w:after="0" w:line="204"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5.1* </w:t>
      </w:r>
      <w:hyperlink w:anchor="page7">
        <w:r>
          <w:rPr>
            <w:rFonts w:ascii="Arial" w:cs="Arial" w:eastAsia="Arial" w:hAnsi="Arial"/>
            <w:sz w:val="20"/>
            <w:szCs w:val="20"/>
            <w:u w:val="single" w:color="auto"/>
            <w:color w:val="0000FF"/>
          </w:rPr>
          <w:t>Opinion of Dentons Canada LLP.</w:t>
        </w:r>
      </w:hyperlink>
    </w:p>
    <w:p>
      <w:pPr>
        <w:spacing w:after="0" w:line="256"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23.1* </w:t>
      </w:r>
      <w:hyperlink w:anchor="page9">
        <w:r>
          <w:rPr>
            <w:rFonts w:ascii="Arial" w:cs="Arial" w:eastAsia="Arial" w:hAnsi="Arial"/>
            <w:sz w:val="20"/>
            <w:szCs w:val="20"/>
            <w:u w:val="single" w:color="auto"/>
            <w:color w:val="0000FF"/>
          </w:rPr>
          <w:t>Consent of Ernst &amp; Young LLP</w:t>
        </w:r>
      </w:hyperlink>
      <w:r>
        <w:rPr>
          <w:rFonts w:ascii="Arial" w:cs="Arial" w:eastAsia="Arial" w:hAnsi="Arial"/>
          <w:sz w:val="20"/>
          <w:szCs w:val="20"/>
          <w:color w:val="auto"/>
        </w:rPr>
        <w:t>.</w:t>
      </w:r>
    </w:p>
    <w:p>
      <w:pPr>
        <w:spacing w:after="0" w:line="256"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23.2* </w:t>
      </w:r>
      <w:hyperlink w:anchor="page7">
        <w:r>
          <w:rPr>
            <w:rFonts w:ascii="Arial" w:cs="Arial" w:eastAsia="Arial" w:hAnsi="Arial"/>
            <w:sz w:val="20"/>
            <w:szCs w:val="20"/>
            <w:u w:val="single" w:color="auto"/>
            <w:color w:val="0000FF"/>
          </w:rPr>
          <w:t>Consent of Dentons Canada LLP (included in Exhibit 5.1)</w:t>
        </w:r>
      </w:hyperlink>
      <w:r>
        <w:rPr>
          <w:rFonts w:ascii="Arial" w:cs="Arial" w:eastAsia="Arial" w:hAnsi="Arial"/>
          <w:sz w:val="20"/>
          <w:szCs w:val="20"/>
          <w:color w:val="auto"/>
        </w:rPr>
        <w:t>.</w:t>
      </w:r>
    </w:p>
    <w:p>
      <w:pPr>
        <w:spacing w:after="0" w:line="256"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24.1* </w:t>
      </w:r>
      <w:hyperlink w:anchor="page5">
        <w:r>
          <w:rPr>
            <w:rFonts w:ascii="Arial" w:cs="Arial" w:eastAsia="Arial" w:hAnsi="Arial"/>
            <w:sz w:val="20"/>
            <w:szCs w:val="20"/>
            <w:u w:val="single" w:color="auto"/>
            <w:color w:val="0000FF"/>
          </w:rPr>
          <w:t>Power of Attorney (included on the signature page herein)</w:t>
        </w:r>
      </w:hyperlink>
      <w:r>
        <w:rPr>
          <w:rFonts w:ascii="Arial" w:cs="Arial" w:eastAsia="Arial" w:hAnsi="Arial"/>
          <w:sz w:val="20"/>
          <w:szCs w:val="20"/>
          <w:color w:val="auto"/>
        </w:rPr>
        <w:t>.</w:t>
      </w:r>
    </w:p>
    <w:p>
      <w:pPr>
        <w:spacing w:after="0" w:line="256" w:lineRule="exact"/>
        <w:rPr>
          <w:sz w:val="20"/>
          <w:szCs w:val="20"/>
          <w:color w:val="auto"/>
        </w:rPr>
      </w:pPr>
    </w:p>
    <w:p>
      <w:pPr>
        <w:ind w:right="580"/>
        <w:spacing w:after="0" w:line="260" w:lineRule="auto"/>
        <w:rPr>
          <w:rFonts w:ascii="Arial" w:cs="Arial" w:eastAsia="Arial" w:hAnsi="Arial"/>
          <w:sz w:val="20"/>
          <w:szCs w:val="20"/>
          <w:u w:val="single" w:color="auto"/>
          <w:color w:val="0000FF"/>
        </w:rPr>
      </w:pPr>
      <w:hyperlink r:id="rId22">
        <w:r>
          <w:rPr>
            <w:rFonts w:ascii="Arial" w:cs="Arial" w:eastAsia="Arial" w:hAnsi="Arial"/>
            <w:sz w:val="20"/>
            <w:szCs w:val="20"/>
            <w:color w:val="auto"/>
          </w:rPr>
          <w:t xml:space="preserve">99.1 </w:t>
        </w:r>
        <w:r>
          <w:rPr>
            <w:rFonts w:ascii="Arial" w:cs="Arial" w:eastAsia="Arial" w:hAnsi="Arial"/>
            <w:sz w:val="20"/>
            <w:szCs w:val="20"/>
            <w:u w:val="single" w:color="auto"/>
            <w:color w:val="0000FF"/>
          </w:rPr>
          <w:t>Amended and Restated 2014 Equity Participation Plan of Civeo Corporation (incorporated herein by reference to Annex B of the</w:t>
        </w:r>
      </w:hyperlink>
      <w:r>
        <w:rPr>
          <w:rFonts w:ascii="Arial" w:cs="Arial" w:eastAsia="Arial" w:hAnsi="Arial"/>
          <w:sz w:val="20"/>
          <w:szCs w:val="20"/>
          <w:color w:val="auto"/>
        </w:rPr>
        <w:t xml:space="preserve"> </w:t>
      </w:r>
      <w:hyperlink r:id="rId22">
        <w:r>
          <w:rPr>
            <w:rFonts w:ascii="Arial" w:cs="Arial" w:eastAsia="Arial" w:hAnsi="Arial"/>
            <w:sz w:val="20"/>
            <w:szCs w:val="20"/>
            <w:u w:val="single" w:color="auto"/>
            <w:color w:val="0000FF"/>
          </w:rPr>
          <w:t>Company’s definitive proxy statement on Schedule 14A (File No. 001-36246) filed on April 11, 2016).</w:t>
        </w:r>
      </w:hyperlink>
    </w:p>
    <w:p>
      <w:pPr>
        <w:spacing w:after="0" w:line="204" w:lineRule="exact"/>
        <w:rPr>
          <w:sz w:val="20"/>
          <w:szCs w:val="20"/>
          <w:color w:val="auto"/>
        </w:rPr>
      </w:pPr>
    </w:p>
    <w:p>
      <w:pPr>
        <w:ind w:right="20"/>
        <w:spacing w:after="0" w:line="243" w:lineRule="auto"/>
        <w:rPr>
          <w:rFonts w:ascii="Arial" w:cs="Arial" w:eastAsia="Arial" w:hAnsi="Arial"/>
          <w:sz w:val="20"/>
          <w:szCs w:val="20"/>
          <w:u w:val="single" w:color="auto"/>
          <w:color w:val="0000FF"/>
        </w:rPr>
      </w:pPr>
      <w:hyperlink r:id="rId23">
        <w:r>
          <w:rPr>
            <w:rFonts w:ascii="Arial" w:cs="Arial" w:eastAsia="Arial" w:hAnsi="Arial"/>
            <w:sz w:val="20"/>
            <w:szCs w:val="20"/>
            <w:color w:val="auto"/>
          </w:rPr>
          <w:t xml:space="preserve">99.2 </w:t>
        </w:r>
        <w:r>
          <w:rPr>
            <w:rFonts w:ascii="Arial" w:cs="Arial" w:eastAsia="Arial" w:hAnsi="Arial"/>
            <w:sz w:val="20"/>
            <w:szCs w:val="20"/>
            <w:u w:val="single" w:color="auto"/>
            <w:color w:val="0000FF"/>
          </w:rPr>
          <w:t>Amendment to the Amended and Restated 2014 Equity Participation Plan of Civeo Corporation (incorporated herein by reference to</w:t>
        </w:r>
      </w:hyperlink>
      <w:r>
        <w:rPr>
          <w:rFonts w:ascii="Arial" w:cs="Arial" w:eastAsia="Arial" w:hAnsi="Arial"/>
          <w:sz w:val="20"/>
          <w:szCs w:val="20"/>
          <w:color w:val="auto"/>
        </w:rPr>
        <w:t xml:space="preserve"> </w:t>
      </w:r>
      <w:hyperlink r:id="rId23">
        <w:r>
          <w:rPr>
            <w:rFonts w:ascii="Arial" w:cs="Arial" w:eastAsia="Arial" w:hAnsi="Arial"/>
            <w:sz w:val="20"/>
            <w:szCs w:val="20"/>
            <w:u w:val="single" w:color="auto"/>
            <w:color w:val="0000FF"/>
          </w:rPr>
          <w:t>Exhibit 10.33 to the Company’s Annual Report on Form 10-K for the year ended December 31, 2016 (File No. 001-36246) filed on February</w:t>
        </w:r>
      </w:hyperlink>
      <w:r>
        <w:rPr>
          <w:rFonts w:ascii="Arial" w:cs="Arial" w:eastAsia="Arial" w:hAnsi="Arial"/>
          <w:sz w:val="20"/>
          <w:szCs w:val="20"/>
          <w:u w:val="single" w:color="auto"/>
          <w:color w:val="0000FF"/>
        </w:rPr>
        <w:t xml:space="preserve"> </w:t>
      </w:r>
      <w:hyperlink r:id="rId23">
        <w:r>
          <w:rPr>
            <w:rFonts w:ascii="Arial" w:cs="Arial" w:eastAsia="Arial" w:hAnsi="Arial"/>
            <w:sz w:val="20"/>
            <w:szCs w:val="20"/>
            <w:u w:val="single" w:color="auto"/>
            <w:color w:val="0000FF"/>
          </w:rPr>
          <w:t>23, 2017).</w:t>
        </w:r>
      </w:hyperlink>
    </w:p>
    <w:p>
      <w:pPr>
        <w:spacing w:after="0" w:line="219" w:lineRule="exact"/>
        <w:rPr>
          <w:rFonts w:ascii="Arial" w:cs="Arial" w:eastAsia="Arial" w:hAnsi="Arial"/>
          <w:sz w:val="20"/>
          <w:szCs w:val="20"/>
          <w:color w:val="auto"/>
        </w:rPr>
      </w:pPr>
    </w:p>
    <w:p>
      <w:pPr>
        <w:jc w:val="both"/>
        <w:ind w:right="20"/>
        <w:spacing w:after="0" w:line="243" w:lineRule="auto"/>
        <w:rPr>
          <w:rFonts w:ascii="Arial" w:cs="Arial" w:eastAsia="Arial" w:hAnsi="Arial"/>
          <w:sz w:val="20"/>
          <w:szCs w:val="20"/>
          <w:u w:val="single" w:color="auto"/>
          <w:color w:val="0000FF"/>
        </w:rPr>
      </w:pPr>
      <w:hyperlink r:id="rId24">
        <w:r>
          <w:rPr>
            <w:rFonts w:ascii="Arial" w:cs="Arial" w:eastAsia="Arial" w:hAnsi="Arial"/>
            <w:sz w:val="20"/>
            <w:szCs w:val="20"/>
            <w:color w:val="auto"/>
          </w:rPr>
          <w:t xml:space="preserve">99.3 </w:t>
        </w:r>
        <w:r>
          <w:rPr>
            <w:rFonts w:ascii="Arial" w:cs="Arial" w:eastAsia="Arial" w:hAnsi="Arial"/>
            <w:sz w:val="20"/>
            <w:szCs w:val="20"/>
            <w:u w:val="single" w:color="auto"/>
            <w:color w:val="0000FF"/>
          </w:rPr>
          <w:t>Amendment No. 2 to the Amended and Restated 2014 Equity Participation Plan of Civeo Corporation (incorporated herein by reference</w:t>
        </w:r>
      </w:hyperlink>
      <w:r>
        <w:rPr>
          <w:rFonts w:ascii="Arial" w:cs="Arial" w:eastAsia="Arial" w:hAnsi="Arial"/>
          <w:sz w:val="20"/>
          <w:szCs w:val="20"/>
          <w:color w:val="auto"/>
        </w:rPr>
        <w:t xml:space="preserve"> </w:t>
      </w:r>
      <w:hyperlink r:id="rId24">
        <w:r>
          <w:rPr>
            <w:rFonts w:ascii="Arial" w:cs="Arial" w:eastAsia="Arial" w:hAnsi="Arial"/>
            <w:sz w:val="20"/>
            <w:szCs w:val="20"/>
            <w:u w:val="single" w:color="auto"/>
            <w:color w:val="0000FF"/>
          </w:rPr>
          <w:t>to Exhibit 10.2 to the Company’s Quarterly Report on Form 10-Q for the quarter ended June 30, 2018 (File No. 001-36246) filed on July 27,</w:t>
        </w:r>
      </w:hyperlink>
      <w:r>
        <w:rPr>
          <w:rFonts w:ascii="Arial" w:cs="Arial" w:eastAsia="Arial" w:hAnsi="Arial"/>
          <w:sz w:val="20"/>
          <w:szCs w:val="20"/>
          <w:u w:val="single" w:color="auto"/>
          <w:color w:val="0000FF"/>
        </w:rPr>
        <w:t xml:space="preserve"> </w:t>
      </w:r>
      <w:hyperlink r:id="rId24">
        <w:r>
          <w:rPr>
            <w:rFonts w:ascii="Arial" w:cs="Arial" w:eastAsia="Arial" w:hAnsi="Arial"/>
            <w:sz w:val="20"/>
            <w:szCs w:val="20"/>
            <w:u w:val="single" w:color="auto"/>
            <w:color w:val="0000FF"/>
          </w:rPr>
          <w:t>2018).</w:t>
        </w:r>
      </w:hyperlink>
    </w:p>
    <w:p>
      <w:pPr>
        <w:spacing w:after="0" w:line="21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99.4* </w:t>
      </w:r>
      <w:hyperlink w:anchor="page10">
        <w:r>
          <w:rPr>
            <w:rFonts w:ascii="Arial" w:cs="Arial" w:eastAsia="Arial" w:hAnsi="Arial"/>
            <w:sz w:val="20"/>
            <w:szCs w:val="20"/>
            <w:u w:val="single" w:color="auto"/>
            <w:color w:val="0000FF"/>
          </w:rPr>
          <w:t>Amendment No. 3 to the Amended and Restated 2014 Equity Participation Plan of Civeo Corporation.</w:t>
        </w:r>
      </w:hyperlink>
    </w:p>
    <w:p>
      <w:pPr>
        <w:spacing w:after="0" w:line="16" w:lineRule="exact"/>
        <w:rPr>
          <w:rFonts w:ascii="Arial" w:cs="Arial" w:eastAsia="Arial" w:hAnsi="Arial"/>
          <w:sz w:val="20"/>
          <w:szCs w:val="20"/>
          <w:color w:val="auto"/>
        </w:rPr>
      </w:pPr>
    </w:p>
    <w:p>
      <w:pPr>
        <w:spacing w:after="0"/>
        <w:rPr>
          <w:sz w:val="20"/>
          <w:szCs w:val="20"/>
          <w:color w:val="auto"/>
        </w:rPr>
      </w:pPr>
      <w:r>
        <w:rPr>
          <w:rFonts w:ascii="Arial" w:cs="Arial" w:eastAsia="Arial" w:hAnsi="Arial"/>
          <w:sz w:val="20"/>
          <w:szCs w:val="20"/>
          <w:color w:val="auto"/>
        </w:rPr>
        <w:t>____________</w:t>
      </w:r>
    </w:p>
    <w:p>
      <w:pPr>
        <w:spacing w:after="0" w:line="213" w:lineRule="exact"/>
        <w:rPr>
          <w:rFonts w:ascii="Arial" w:cs="Arial" w:eastAsia="Arial" w:hAnsi="Arial"/>
          <w:sz w:val="20"/>
          <w:szCs w:val="20"/>
          <w:color w:val="auto"/>
        </w:rPr>
      </w:pPr>
    </w:p>
    <w:p>
      <w:pPr>
        <w:spacing w:after="0"/>
        <w:rPr>
          <w:sz w:val="20"/>
          <w:szCs w:val="20"/>
          <w:color w:val="auto"/>
        </w:rPr>
      </w:pPr>
      <w:r>
        <w:rPr>
          <w:rFonts w:ascii="Arial" w:cs="Arial" w:eastAsia="Arial" w:hAnsi="Arial"/>
          <w:sz w:val="20"/>
          <w:szCs w:val="20"/>
          <w:color w:val="auto"/>
        </w:rPr>
        <w:t>*Filed herewith</w:t>
      </w:r>
    </w:p>
    <w:p>
      <w:pPr>
        <w:sectPr>
          <w:pgSz w:w="11900" w:h="16838" w:orient="portrait"/>
          <w:cols w:equalWidth="0" w:num="1">
            <w:col w:w="11200"/>
          </w:cols>
          <w:pgMar w:left="320" w:top="1419" w:right="379" w:bottom="1440" w:gutter="0" w:footer="0" w:header="0"/>
        </w:sectPr>
      </w:pPr>
    </w:p>
    <w:bookmarkStart w:id="4" w:name="page5"/>
    <w:bookmarkEnd w:id="4"/>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Houston, State of Texas, on July 29, 2020.</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Civeo Corporation</w:t>
      </w: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1600" w:type="dxa"/>
            <w:vAlign w:val="bottom"/>
          </w:tcPr>
          <w:p>
            <w:pPr>
              <w:spacing w:after="0"/>
              <w:rPr>
                <w:sz w:val="20"/>
                <w:szCs w:val="20"/>
                <w:color w:val="auto"/>
              </w:rPr>
            </w:pPr>
            <w:r>
              <w:rPr>
                <w:rFonts w:ascii="Arial" w:cs="Arial" w:eastAsia="Arial" w:hAnsi="Arial"/>
                <w:sz w:val="20"/>
                <w:szCs w:val="20"/>
                <w:color w:val="auto"/>
              </w:rPr>
              <w:t>By:</w:t>
            </w:r>
          </w:p>
        </w:tc>
        <w:tc>
          <w:tcPr>
            <w:tcW w:w="4460" w:type="dxa"/>
            <w:vAlign w:val="bottom"/>
          </w:tcPr>
          <w:p>
            <w:pPr>
              <w:ind w:left="20"/>
              <w:spacing w:after="0"/>
              <w:rPr>
                <w:sz w:val="20"/>
                <w:szCs w:val="20"/>
                <w:color w:val="auto"/>
              </w:rPr>
            </w:pPr>
            <w:r>
              <w:rPr>
                <w:rFonts w:ascii="Arial" w:cs="Arial" w:eastAsia="Arial" w:hAnsi="Arial"/>
                <w:sz w:val="18"/>
                <w:szCs w:val="18"/>
                <w:color w:val="auto"/>
              </w:rPr>
              <w:t>/s/ Carolyn J. Stone</w:t>
            </w:r>
          </w:p>
        </w:tc>
        <w:tc>
          <w:tcPr>
            <w:tcW w:w="0" w:type="dxa"/>
            <w:vAlign w:val="bottom"/>
          </w:tcPr>
          <w:p>
            <w:pPr>
              <w:spacing w:after="0"/>
              <w:rPr>
                <w:sz w:val="1"/>
                <w:szCs w:val="1"/>
                <w:color w:val="auto"/>
              </w:rPr>
            </w:pPr>
          </w:p>
        </w:tc>
      </w:tr>
      <w:tr>
        <w:trPr>
          <w:trHeight w:val="23"/>
        </w:trPr>
        <w:tc>
          <w:tcPr>
            <w:tcW w:w="16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600" w:type="dxa"/>
            <w:vAlign w:val="bottom"/>
            <w:vMerge w:val="continue"/>
          </w:tcPr>
          <w:p>
            <w:pPr>
              <w:spacing w:after="0"/>
              <w:rPr>
                <w:sz w:val="22"/>
                <w:szCs w:val="22"/>
                <w:color w:val="auto"/>
              </w:rPr>
            </w:pPr>
          </w:p>
        </w:tc>
        <w:tc>
          <w:tcPr>
            <w:tcW w:w="4460" w:type="dxa"/>
            <w:vAlign w:val="bottom"/>
          </w:tcPr>
          <w:p>
            <w:pPr>
              <w:ind w:left="20"/>
              <w:spacing w:after="0"/>
              <w:rPr>
                <w:sz w:val="20"/>
                <w:szCs w:val="20"/>
                <w:color w:val="auto"/>
              </w:rPr>
            </w:pPr>
            <w:r>
              <w:rPr>
                <w:rFonts w:ascii="Arial" w:cs="Arial" w:eastAsia="Arial" w:hAnsi="Arial"/>
                <w:sz w:val="20"/>
                <w:szCs w:val="20"/>
                <w:color w:val="auto"/>
              </w:rPr>
              <w:t>Carolyn J. Stone</w:t>
            </w: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20"/>
                <w:szCs w:val="20"/>
                <w:color w:val="auto"/>
              </w:rPr>
              <w:t>Title:</w:t>
            </w:r>
          </w:p>
        </w:tc>
        <w:tc>
          <w:tcPr>
            <w:tcW w:w="4460" w:type="dxa"/>
            <w:vAlign w:val="bottom"/>
          </w:tcPr>
          <w:p>
            <w:pPr>
              <w:ind w:left="20"/>
              <w:spacing w:after="0"/>
              <w:rPr>
                <w:sz w:val="20"/>
                <w:szCs w:val="20"/>
                <w:color w:val="auto"/>
              </w:rPr>
            </w:pPr>
            <w:r>
              <w:rPr>
                <w:rFonts w:ascii="Arial" w:cs="Arial" w:eastAsia="Arial" w:hAnsi="Arial"/>
                <w:sz w:val="20"/>
                <w:szCs w:val="20"/>
                <w:color w:val="auto"/>
              </w:rPr>
              <w:t>Senior Vice President, Chief Financial Officer and</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20"/>
                <w:szCs w:val="20"/>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POWER OF ATTORNEY</w:t>
      </w:r>
    </w:p>
    <w:p>
      <w:pPr>
        <w:spacing w:after="0" w:line="2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KNOW ALL PERSONS BY THESE PRESENTS, that each person whose signature appears below hereby constitutes and appoints Bradley J. Dodson and Carolyn J. Stone,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such attorney-in-fact and agent full power and authority to do so and perform each and every act and thing requisite and necessary to be done in and about the premises, as fully to all intents and purposes as he or she might or could do in person, hereby ratifying and confirming all that such attorney-in-fact and agent may lawfully do or cause to be done by virtue hereof.</w:t>
      </w:r>
    </w:p>
    <w:p>
      <w:pPr>
        <w:spacing w:after="0" w:line="216" w:lineRule="exact"/>
        <w:rPr>
          <w:sz w:val="20"/>
          <w:szCs w:val="20"/>
          <w:color w:val="auto"/>
        </w:rPr>
      </w:pPr>
    </w:p>
    <w:p>
      <w:pPr>
        <w:ind w:right="580" w:firstLine="648"/>
        <w:spacing w:after="0" w:line="246" w:lineRule="auto"/>
        <w:rPr>
          <w:sz w:val="20"/>
          <w:szCs w:val="20"/>
          <w:color w:val="auto"/>
        </w:rPr>
      </w:pPr>
      <w:r>
        <w:rPr>
          <w:rFonts w:ascii="Arial" w:cs="Arial" w:eastAsia="Arial" w:hAnsi="Arial"/>
          <w:sz w:val="20"/>
          <w:szCs w:val="20"/>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220"/>
          </w:cols>
          <w:pgMar w:left="320" w:top="1440" w:right="359" w:bottom="1440" w:gutter="0" w:footer="0" w:header="0"/>
        </w:sectPr>
      </w:pPr>
    </w:p>
    <w:bookmarkStart w:id="5" w:name="page6"/>
    <w:bookmarkEnd w:id="5"/>
    <w:p>
      <w:pPr>
        <w:spacing w:after="0" w:line="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Signature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Bradley J. Dodson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Carolyn J. Stone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Richard A. Navarre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 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2760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 Ronald Blankenship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 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Martin A. Lambert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 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Constance B. Moore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 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Charles Szalkowski</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 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760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Timothy O. Wall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20"/>
                <w:szCs w:val="20"/>
                <w:color w:val="auto"/>
                <w:w w:val="89"/>
              </w:rPr>
              <w:t>Title</w:t>
            </w:r>
          </w:p>
        </w:tc>
        <w:tc>
          <w:tcPr>
            <w:tcW w:w="35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20"/>
                <w:szCs w:val="20"/>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769"/>
        </w:trPr>
        <w:tc>
          <w:tcPr>
            <w:tcW w:w="3940" w:type="dxa"/>
            <w:vAlign w:val="bottom"/>
            <w:gridSpan w:val="2"/>
          </w:tcPr>
          <w:p>
            <w:pPr>
              <w:spacing w:after="0"/>
              <w:rPr>
                <w:sz w:val="20"/>
                <w:szCs w:val="20"/>
                <w:color w:val="auto"/>
              </w:rPr>
            </w:pPr>
            <w:r>
              <w:rPr>
                <w:rFonts w:ascii="Arial" w:cs="Arial" w:eastAsia="Arial" w:hAnsi="Arial"/>
                <w:sz w:val="20"/>
                <w:szCs w:val="20"/>
                <w:color w:val="auto"/>
                <w:w w:val="99"/>
              </w:rPr>
              <w:t>Director, President &amp; Chief Executive Officer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274"/>
        </w:trPr>
        <w:tc>
          <w:tcPr>
            <w:tcW w:w="394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i w:val="1"/>
                <w:iCs w:val="1"/>
                <w:color w:val="auto"/>
              </w:rPr>
              <w:t>Principal Executive Officer)</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509"/>
        </w:trPr>
        <w:tc>
          <w:tcPr>
            <w:tcW w:w="3940" w:type="dxa"/>
            <w:vAlign w:val="bottom"/>
            <w:gridSpan w:val="2"/>
          </w:tcPr>
          <w:p>
            <w:pPr>
              <w:spacing w:after="0"/>
              <w:rPr>
                <w:sz w:val="20"/>
                <w:szCs w:val="20"/>
                <w:color w:val="auto"/>
              </w:rPr>
            </w:pPr>
            <w:r>
              <w:rPr>
                <w:rFonts w:ascii="Arial" w:cs="Arial" w:eastAsia="Arial" w:hAnsi="Arial"/>
                <w:sz w:val="20"/>
                <w:szCs w:val="20"/>
                <w:color w:val="auto"/>
                <w:w w:val="97"/>
              </w:rPr>
              <w:t>Senior Vice President, Chief Financial Officer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243"/>
        </w:trPr>
        <w:tc>
          <w:tcPr>
            <w:tcW w:w="3940" w:type="dxa"/>
            <w:vAlign w:val="bottom"/>
            <w:gridSpan w:val="2"/>
          </w:tcPr>
          <w:p>
            <w:pPr>
              <w:spacing w:after="0"/>
              <w:rPr>
                <w:sz w:val="20"/>
                <w:szCs w:val="20"/>
                <w:color w:val="auto"/>
              </w:rPr>
            </w:pPr>
            <w:r>
              <w:rPr>
                <w:rFonts w:ascii="Arial" w:cs="Arial" w:eastAsia="Arial" w:hAnsi="Arial"/>
                <w:sz w:val="20"/>
                <w:szCs w:val="20"/>
                <w:color w:val="auto"/>
              </w:rPr>
              <w:t>and Treasurer (</w:t>
            </w:r>
            <w:r>
              <w:rPr>
                <w:rFonts w:ascii="Arial" w:cs="Arial" w:eastAsia="Arial" w:hAnsi="Arial"/>
                <w:sz w:val="21"/>
                <w:szCs w:val="21"/>
                <w:i w:val="1"/>
                <w:iCs w:val="1"/>
                <w:color w:val="auto"/>
              </w:rPr>
              <w:t>Principal Financial Officer</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4"/>
        </w:trPr>
        <w:tc>
          <w:tcPr>
            <w:tcW w:w="3940" w:type="dxa"/>
            <w:vAlign w:val="bottom"/>
            <w:gridSpan w:val="2"/>
          </w:tcPr>
          <w:p>
            <w:pPr>
              <w:spacing w:after="0"/>
              <w:rPr>
                <w:sz w:val="20"/>
                <w:szCs w:val="20"/>
                <w:color w:val="auto"/>
              </w:rPr>
            </w:pPr>
            <w:r>
              <w:rPr>
                <w:rFonts w:ascii="Arial" w:cs="Arial" w:eastAsia="Arial" w:hAnsi="Arial"/>
                <w:sz w:val="22"/>
                <w:szCs w:val="22"/>
                <w:i w:val="1"/>
                <w:iCs w:val="1"/>
                <w:color w:val="auto"/>
              </w:rPr>
              <w:t>and Accounting Officer)</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548"/>
        </w:trPr>
        <w:tc>
          <w:tcPr>
            <w:tcW w:w="3940" w:type="dxa"/>
            <w:vAlign w:val="bottom"/>
            <w:gridSpan w:val="2"/>
          </w:tcPr>
          <w:p>
            <w:pPr>
              <w:spacing w:after="0"/>
              <w:rPr>
                <w:sz w:val="20"/>
                <w:szCs w:val="20"/>
                <w:color w:val="auto"/>
              </w:rPr>
            </w:pPr>
            <w:r>
              <w:rPr>
                <w:rFonts w:ascii="Arial" w:cs="Arial" w:eastAsia="Arial" w:hAnsi="Arial"/>
                <w:sz w:val="20"/>
                <w:szCs w:val="20"/>
                <w:color w:val="auto"/>
              </w:rPr>
              <w:t>Chairman of the Board</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553"/>
        </w:trPr>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553"/>
        </w:trPr>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554"/>
        </w:trPr>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553"/>
        </w:trPr>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r>
        <w:trPr>
          <w:trHeight w:val="553"/>
        </w:trPr>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060" w:type="dxa"/>
            <w:vAlign w:val="bottom"/>
            <w:gridSpan w:val="2"/>
          </w:tcPr>
          <w:p>
            <w:pPr>
              <w:spacing w:after="0"/>
              <w:rPr>
                <w:sz w:val="20"/>
                <w:szCs w:val="20"/>
                <w:color w:val="auto"/>
              </w:rPr>
            </w:pPr>
            <w:r>
              <w:rPr>
                <w:rFonts w:ascii="Arial" w:cs="Arial" w:eastAsia="Arial" w:hAnsi="Arial"/>
                <w:sz w:val="20"/>
                <w:szCs w:val="20"/>
                <w:color w:val="auto"/>
                <w:w w:val="87"/>
              </w:rPr>
              <w:t>July 29, 2020</w:t>
            </w:r>
          </w:p>
        </w:tc>
      </w:tr>
    </w:tbl>
    <w:p>
      <w:pPr>
        <w:sectPr>
          <w:pgSz w:w="11900" w:h="16838" w:orient="portrait"/>
          <w:cols w:equalWidth="0" w:num="2">
            <w:col w:w="3640" w:space="720"/>
            <w:col w:w="5759"/>
          </w:cols>
          <w:pgMar w:left="340" w:top="1440" w:right="1440" w:bottom="1440" w:gutter="0" w:footer="0" w:header="0"/>
        </w:sectPr>
      </w:pPr>
    </w:p>
    <w:bookmarkStart w:id="6" w:name="page7"/>
    <w:bookmarkEnd w:id="6"/>
    <w:p>
      <w:pPr>
        <w:ind w:left="7580"/>
        <w:spacing w:after="0"/>
        <w:rPr>
          <w:sz w:val="20"/>
          <w:szCs w:val="20"/>
          <w:color w:val="auto"/>
        </w:rPr>
      </w:pPr>
      <w:r>
        <w:rPr>
          <w:rFonts w:ascii="Arial" w:cs="Arial" w:eastAsia="Arial" w:hAnsi="Arial"/>
          <w:sz w:val="13"/>
          <w:szCs w:val="13"/>
          <w:color w:val="auto"/>
        </w:rPr>
        <w:t>Dentons Canada LLP</w:t>
      </w:r>
    </w:p>
    <w:p>
      <w:pPr>
        <w:ind w:left="7580"/>
        <w:spacing w:after="0" w:line="227" w:lineRule="auto"/>
        <w:rPr>
          <w:sz w:val="20"/>
          <w:szCs w:val="20"/>
          <w:color w:val="auto"/>
        </w:rPr>
      </w:pPr>
      <w:r>
        <w:rPr>
          <w:rFonts w:ascii="Arial" w:cs="Arial" w:eastAsia="Arial" w:hAnsi="Arial"/>
          <w:sz w:val="13"/>
          <w:szCs w:val="13"/>
          <w:color w:val="auto"/>
        </w:rPr>
        <w:t>20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250 Howe Street</w:t>
      </w:r>
    </w:p>
    <w:p>
      <w:pPr>
        <w:ind w:left="7580"/>
        <w:spacing w:after="0"/>
        <w:rPr>
          <w:sz w:val="20"/>
          <w:szCs w:val="20"/>
          <w:color w:val="auto"/>
        </w:rPr>
      </w:pPr>
      <w:r>
        <w:rPr>
          <w:rFonts w:ascii="Arial" w:cs="Arial" w:eastAsia="Arial" w:hAnsi="Arial"/>
          <w:sz w:val="13"/>
          <w:szCs w:val="13"/>
          <w:color w:val="auto"/>
        </w:rPr>
        <w:t>Vancouver, BC, Canada V6C 3R8</w:t>
      </w:r>
    </w:p>
    <w:p>
      <w:pPr>
        <w:spacing w:after="0" w:line="337" w:lineRule="exact"/>
        <w:rPr>
          <w:sz w:val="20"/>
          <w:szCs w:val="20"/>
          <w:color w:val="auto"/>
        </w:rPr>
      </w:pPr>
    </w:p>
    <w:p>
      <w:pPr>
        <w:ind w:left="7580"/>
        <w:spacing w:after="0"/>
        <w:rPr>
          <w:sz w:val="20"/>
          <w:szCs w:val="20"/>
          <w:color w:val="auto"/>
        </w:rPr>
      </w:pPr>
      <w:r>
        <w:rPr>
          <w:rFonts w:ascii="Arial" w:cs="Arial" w:eastAsia="Arial" w:hAnsi="Arial"/>
          <w:sz w:val="13"/>
          <w:szCs w:val="13"/>
          <w:color w:val="auto"/>
        </w:rPr>
        <w:t>dentons.com</w:t>
      </w:r>
    </w:p>
    <w:p>
      <w:pPr>
        <w:spacing w:after="0" w:line="38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July 29, 2020</w:t>
      </w:r>
      <w:r>
        <w:rPr>
          <w:sz w:val="20"/>
          <w:szCs w:val="20"/>
          <w:color w:val="auto"/>
        </w:rPr>
        <w:tab/>
      </w:r>
      <w:r>
        <w:rPr>
          <w:rFonts w:ascii="Arial" w:cs="Arial" w:eastAsia="Arial" w:hAnsi="Arial"/>
          <w:sz w:val="17"/>
          <w:szCs w:val="17"/>
          <w:color w:val="auto"/>
        </w:rPr>
        <w:t>Exhibit 5.1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Civeo Corporation – Registration Statement on Form S-8</w:t>
      </w: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have acted as Canadian legal counsel to Civeo Corporation, a company governed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 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on the date hereof by the Company,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Securities Act of 1933</w:t>
      </w:r>
      <w:r>
        <w:rPr>
          <w:rFonts w:ascii="Arial" w:cs="Arial" w:eastAsia="Arial" w:hAnsi="Arial"/>
          <w:sz w:val="18"/>
          <w:szCs w:val="18"/>
          <w:color w:val="auto"/>
        </w:rPr>
        <w:t>,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10,000,000 common shares without par value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Amended and Restated 2014 Equity Participation Plan of Civeo Corporation (the “</w:t>
      </w:r>
      <w:r>
        <w:rPr>
          <w:rFonts w:ascii="Arial" w:cs="Arial" w:eastAsia="Arial" w:hAnsi="Arial"/>
          <w:sz w:val="18"/>
          <w:szCs w:val="18"/>
          <w:b w:val="1"/>
          <w:bCs w:val="1"/>
          <w:color w:val="auto"/>
        </w:rPr>
        <w:t>Incentive Plan</w:t>
      </w:r>
      <w:r>
        <w:rPr>
          <w:rFonts w:ascii="Arial" w:cs="Arial" w:eastAsia="Arial" w:hAnsi="Arial"/>
          <w:sz w:val="18"/>
          <w:szCs w:val="18"/>
          <w:color w:val="auto"/>
        </w:rPr>
        <w:t>”). In our capacity as such legal counsel, certain legal matters with respect to the Shares are being passed upon for you by us. At your request, this opinion is being furnished to you for filing as Exhibit 5.1 to the Registration Statement.</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capacity as your Canadian counsel with regard to the matters referred to above, we have examined originals, or copies certified or otherwise identified, of the draft Registration Statement; the Notice of Articles and Articles of the Company, each as amended to date; the Incentive Plan; corporate records of the Company, including minute books of the Company, as furnished to us by the Company; certificates of public officials and of representatives of the Company; statutes; and other instruments and documents as a basis for the opinions hereinafter expressed.</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giving such opinions, we have relied upon certificates of officers of the Company and of public officials with respect to the accuracy of the material factual matters contained in such certificates. In giving the opinions below, we have assumed the signatures on all documents examined by us are genuine, the legal capacity at all relevant times of all natural persons signing such documents, all documents submitted to us as originals are accurate and complete, all documents submitted to us as copies are true and correct copies of the originals thereof and all information submitted to us was accurate and complete.</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 when issued by the Company pursuant to the provisions of the Incentive Plan following due authorization of a particular award thereunder by the Board of Directors of the Company or a duly constituted and acting committee thereof (the “</w:t>
      </w:r>
      <w:r>
        <w:rPr>
          <w:rFonts w:ascii="Arial" w:cs="Arial" w:eastAsia="Arial" w:hAnsi="Arial"/>
          <w:sz w:val="18"/>
          <w:szCs w:val="18"/>
          <w:b w:val="1"/>
          <w:bCs w:val="1"/>
          <w:color w:val="auto"/>
        </w:rPr>
        <w:t>Board</w:t>
      </w:r>
      <w:r>
        <w:rPr>
          <w:rFonts w:ascii="Arial" w:cs="Arial" w:eastAsia="Arial" w:hAnsi="Arial"/>
          <w:sz w:val="18"/>
          <w:szCs w:val="18"/>
          <w:color w:val="auto"/>
        </w:rPr>
        <w:t>”) as provided in and in accordance with the Incentive Plan, the Shares issuable pursuant to such award will have been duly authorized by all necessary corporate action on the part of the Company, and upon issuance and delivery of such Shares from time to time pursuant to the terms of such award for the consideration established pursuant to the terms of the Incentive Plan and otherwise in accordance with the terms and conditions of such award, including, if applicable, the lapse of any restrictions relating thereto, the satisfaction of any performance conditions associated therewith and any requisite determinations by or pursuant to the authority of the Board as provided therein, and, in the case of options, the exercise thereof and payment for such Shares as provided therein, such Shares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NATDOCS\33901200\V-3</w:t>
      </w:r>
    </w:p>
    <w:p>
      <w:pPr>
        <w:sectPr>
          <w:pgSz w:w="11900" w:h="16838" w:orient="portrait"/>
          <w:cols w:equalWidth="0" w:num="1">
            <w:col w:w="11240"/>
          </w:cols>
          <w:pgMar w:left="320" w:top="282" w:right="339" w:bottom="1440" w:gutter="0" w:footer="0" w:header="0"/>
        </w:sectPr>
      </w:pPr>
    </w:p>
    <w:bookmarkStart w:id="7" w:name="page8"/>
    <w:bookmarkEnd w:id="7"/>
    <w:p>
      <w:pPr>
        <w:ind w:left="3820"/>
        <w:spacing w:after="0"/>
        <w:tabs>
          <w:tab w:leader="none" w:pos="10480" w:val="left"/>
        </w:tabs>
        <w:rPr>
          <w:sz w:val="20"/>
          <w:szCs w:val="20"/>
          <w:color w:val="auto"/>
        </w:rPr>
      </w:pPr>
      <w:r>
        <w:rPr>
          <w:rFonts w:ascii="Arial" w:cs="Arial" w:eastAsia="Arial" w:hAnsi="Arial"/>
          <w:sz w:val="13"/>
          <w:szCs w:val="13"/>
          <w:color w:val="auto"/>
        </w:rPr>
        <w:t>Page 2</w:t>
      </w:r>
      <w:r>
        <w:rPr>
          <w:sz w:val="20"/>
          <w:szCs w:val="20"/>
          <w:color w:val="auto"/>
        </w:rPr>
        <w:tab/>
      </w:r>
      <w:r>
        <w:rPr>
          <w:rFonts w:ascii="Arial" w:cs="Arial" w:eastAsia="Arial" w:hAnsi="Arial"/>
          <w:sz w:val="12"/>
          <w:szCs w:val="12"/>
          <w:color w:val="auto"/>
        </w:rPr>
        <w:t>dentons.com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qualified to practice law in the Province of British Columbia and this opinion is rendered solely with respect to the laws of the Province of British Columbia and the federal laws of Canada applicable therein.</w:t>
      </w:r>
    </w:p>
    <w:p>
      <w:pPr>
        <w:spacing w:after="0" w:line="19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opinions expressed herein are given as at the date hereof and are based upon laws in effect and facts in existence as at the date hereof. We express no opinion as to the effect of future laws or judicial or regulatory decisions on the subject matter hereof, and we specifically disclaim any obligation and make no undertaking to advise any person of any change in law or fact that may come to our attention after the date hereof.</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hereby consent to the filing of this opinion with the Commission as Exhibit 5.1 to the Registration Statement. In giving such consent, we do not admit that we are within the category of persons whose consent is required under Section 7 of the Act or the rules and regulations of the Commission thereunder.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NATDOCS\33901200\V-3</w:t>
      </w:r>
    </w:p>
    <w:p>
      <w:pPr>
        <w:sectPr>
          <w:pgSz w:w="11900" w:h="16838" w:orient="portrait"/>
          <w:cols w:equalWidth="0" w:num="1">
            <w:col w:w="11240"/>
          </w:cols>
          <w:pgMar w:left="320" w:top="201" w:right="339" w:bottom="1440" w:gutter="0" w:footer="0" w:header="0"/>
        </w:sectPr>
      </w:pPr>
    </w:p>
    <w:bookmarkStart w:id="8" w:name="page9"/>
    <w:bookmarkEnd w:id="8"/>
    <w:p>
      <w:pPr>
        <w:spacing w:after="0" w:line="18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consent to the incorporation by reference in the Registration Statement (Form S-8) pertaining to the Amended and Restated 2014 Equity Participation Plan of Civeo Corporation, of our reports dated February 27, 2020 with respect to the consolidated financial statements of Civeo Corporation and the effectiveness of internal control over financial reporting of Civeo Corporation, included in its Annual Report (Form 10-K) for the year ended December 31, 2019, filed with the Securities and Exchange Commission.</w:t>
      </w: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July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9" w:name="page10"/>
    <w:bookmarkEnd w:id="9"/>
    <w:p>
      <w:pPr>
        <w:ind w:left="4320"/>
        <w:spacing w:after="0"/>
        <w:rPr>
          <w:sz w:val="20"/>
          <w:szCs w:val="20"/>
          <w:color w:val="auto"/>
        </w:rPr>
      </w:pPr>
      <w:r>
        <w:rPr>
          <w:rFonts w:ascii="Arial" w:cs="Arial" w:eastAsia="Arial" w:hAnsi="Arial"/>
          <w:sz w:val="22"/>
          <w:szCs w:val="22"/>
          <w:b w:val="1"/>
          <w:bCs w:val="1"/>
          <w:color w:val="auto"/>
        </w:rPr>
        <w:t>AMENDMENT NO. 3 TO THE</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OF CIVEO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Civeo Corporation, a limited company organized under the laws of British Columbia, Canada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maintains the 2014 Equity Participation Plan of Civeo Corporation, as most recently amended and restated as of 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10,000,000 shares.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2.1(a) of the Plan is deleted in its entirety and replaced with the following:</w:t>
      </w:r>
    </w:p>
    <w:p>
      <w:pPr>
        <w:spacing w:after="0" w:line="220" w:lineRule="exact"/>
        <w:rPr>
          <w:sz w:val="20"/>
          <w:szCs w:val="20"/>
          <w:color w:val="auto"/>
        </w:rPr>
      </w:pPr>
    </w:p>
    <w:p>
      <w:pPr>
        <w:jc w:val="both"/>
        <w:ind w:left="660" w:right="660"/>
        <w:spacing w:after="0" w:line="247" w:lineRule="auto"/>
        <w:rPr>
          <w:sz w:val="20"/>
          <w:szCs w:val="20"/>
          <w:color w:val="auto"/>
        </w:rPr>
      </w:pPr>
      <w:r>
        <w:rPr>
          <w:rFonts w:ascii="Arial" w:cs="Arial" w:eastAsia="Arial" w:hAnsi="Arial"/>
          <w:sz w:val="22"/>
          <w:szCs w:val="22"/>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28,700,000, all of which shall be available for Incentive Options. Common Shares issuable upon exercise of such options or rights or upon any such awards may be either previously authorized but unissued shares or treasury shares.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this Amendment to the Plan is executed effective as stated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CIVEO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British Columbian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3260" w:type="dxa"/>
        <w:tblCellMar>
          <w:top w:w="0" w:type="dxa"/>
          <w:left w:w="0" w:type="dxa"/>
          <w:bottom w:w="0" w:type="dxa"/>
          <w:right w:w="0" w:type="dxa"/>
        </w:tblCellMar>
      </w:tblPr>
      <w:tr>
        <w:trPr>
          <w:trHeight w:val="285"/>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Carolyn J. Stone</w:t>
            </w:r>
          </w:p>
        </w:tc>
      </w:tr>
      <w:tr>
        <w:trPr>
          <w:trHeight w:val="260"/>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3160" w:type="dxa"/>
            <w:vAlign w:val="bottom"/>
          </w:tcPr>
          <w:p>
            <w:pPr>
              <w:ind w:left="20"/>
              <w:spacing w:after="0"/>
              <w:rPr>
                <w:sz w:val="20"/>
                <w:szCs w:val="20"/>
                <w:color w:val="auto"/>
              </w:rPr>
            </w:pPr>
            <w:r>
              <w:rPr>
                <w:rFonts w:ascii="Arial" w:cs="Arial" w:eastAsia="Arial" w:hAnsi="Arial"/>
                <w:sz w:val="20"/>
                <w:szCs w:val="20"/>
                <w:color w:val="auto"/>
              </w:rPr>
              <w:t>Carolyn J. Stone</w:t>
            </w:r>
          </w:p>
        </w:tc>
      </w:tr>
      <w:tr>
        <w:trPr>
          <w:trHeight w:val="263"/>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3160" w:type="dxa"/>
            <w:vAlign w:val="bottom"/>
          </w:tcPr>
          <w:p>
            <w:pPr>
              <w:ind w:left="20"/>
              <w:spacing w:after="0"/>
              <w:rPr>
                <w:sz w:val="20"/>
                <w:szCs w:val="20"/>
                <w:color w:val="auto"/>
              </w:rPr>
            </w:pPr>
            <w:r>
              <w:rPr>
                <w:rFonts w:ascii="Arial" w:cs="Arial" w:eastAsia="Arial" w:hAnsi="Arial"/>
                <w:sz w:val="20"/>
                <w:szCs w:val="20"/>
                <w:color w:val="auto"/>
                <w:w w:val="92"/>
              </w:rPr>
              <w:t>Senior Vice President, Chief Financial</w:t>
            </w:r>
          </w:p>
        </w:tc>
      </w:tr>
      <w:tr>
        <w:trPr>
          <w:trHeight w:val="250"/>
        </w:trPr>
        <w:tc>
          <w:tcPr>
            <w:tcW w:w="114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20"/>
                <w:szCs w:val="20"/>
                <w:color w:val="auto"/>
              </w:rPr>
              <w:t>Officer and Treasurer</w:t>
            </w:r>
          </w:p>
        </w:tc>
      </w:tr>
    </w:tbl>
    <w:p>
      <w:pPr>
        <w:spacing w:after="0" w:line="1" w:lineRule="exact"/>
        <w:rPr>
          <w:sz w:val="20"/>
          <w:szCs w:val="20"/>
          <w:color w:val="auto"/>
        </w:rPr>
      </w:pP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1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20" Type="http://schemas.openxmlformats.org/officeDocument/2006/relationships/image" Target="media/image2.png"/><Relationship Id="rId25"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9" Type="http://schemas.openxmlformats.org/officeDocument/2006/relationships/hyperlink" Target="http://www.sec.gov/Archives/edgar/data/1590584/000143774914009938/oisasc20140522_s8.htm" TargetMode="External"/><Relationship Id="rId10" Type="http://schemas.openxmlformats.org/officeDocument/2006/relationships/hyperlink" Target="http://www.sec.gov/Archives/edgar/data/1590584/000143774915013724/oisasc20150715_s8pos.htm" TargetMode="External"/><Relationship Id="rId11" Type="http://schemas.openxmlformats.org/officeDocument/2006/relationships/hyperlink" Target="http://www.sec.gov/Archives/edgar/data/1590584/000143774916032023/oisasc20160513_s8.htm" TargetMode="External"/><Relationship Id="rId12" Type="http://schemas.openxmlformats.org/officeDocument/2006/relationships/hyperlink" Target="http://www.sec.gov/Archives/edgar/data/1590584/000143774918013895/cveo20180724_s8.htm" TargetMode="External"/><Relationship Id="rId13" Type="http://schemas.openxmlformats.org/officeDocument/2006/relationships/hyperlink" Target="http://www.sec.gov/Archives/edgar/data/1590584/000159058420000029/cveo-12312019x10k.htm" TargetMode="External"/><Relationship Id="rId14" Type="http://schemas.openxmlformats.org/officeDocument/2006/relationships/hyperlink" Target="http://www.sec.gov/Archives/edgar/data/1590584/000159058420000085/cveo03-31x202010q.htm" TargetMode="External"/><Relationship Id="rId15" Type="http://schemas.openxmlformats.org/officeDocument/2006/relationships/hyperlink" Target="http://www.sec.gov/ix?doc=/Archives/edgar/data/1590584/000159058420000110/cveo-20200630.htm" TargetMode="External"/><Relationship Id="rId16" Type="http://schemas.openxmlformats.org/officeDocument/2006/relationships/hyperlink" Target="http://www.sec.gov/Archives/edgar/data/1590584/000159058420000054/cveo8-k03x27x20.htm" TargetMode="External"/><Relationship Id="rId17" Type="http://schemas.openxmlformats.org/officeDocument/2006/relationships/hyperlink" Target="http://www.sec.gov/Archives/edgar/data/1590584/000159058420000089/civeo-form8xkresultof2020a.htm" TargetMode="External"/><Relationship Id="rId18" Type="http://schemas.openxmlformats.org/officeDocument/2006/relationships/hyperlink" Target="http://www.sec.gov/Archives/edgar/data/1590584/000159058420000029/exhibit43103724755_3xciveo.htm" TargetMode="External"/><Relationship Id="rId19" Type="http://schemas.openxmlformats.org/officeDocument/2006/relationships/hyperlink" Target="http://www.sec.gov/Archives/edgar/data/1590584/000143774918006074/ex_109485.htm" TargetMode="External"/><Relationship Id="rId21" Type="http://schemas.openxmlformats.org/officeDocument/2006/relationships/hyperlink" Target="http://www.sec.gov/Archives/edgar/data/1590584/000143774918006074/ex_109480.htm" TargetMode="External"/><Relationship Id="rId22" Type="http://schemas.openxmlformats.org/officeDocument/2006/relationships/hyperlink" Target="http://www.sec.gov/Archives/edgar/data/1590584/000119312516536013/d171905ddef14a.htm#toc171905_46" TargetMode="External"/><Relationship Id="rId23" Type="http://schemas.openxmlformats.org/officeDocument/2006/relationships/hyperlink" Target="http://www.sec.gov/Archives/edgar/data/1590584/000143774917003062/ex10-33.htm" TargetMode="External"/><Relationship Id="rId24" Type="http://schemas.openxmlformats.org/officeDocument/2006/relationships/hyperlink" Target="http://www.sec.gov/Archives/edgar/data/1590584/000143774918013879/ex_118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2020-07-29T15:43:13Z</dcterms:created>
  <dcterms:modified xsi:type="dcterms:W3CDTF">2020-07-29T15:43:13Z</dcterms:modified>
</cp:coreProperties>
</file>