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Civeo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$0.01 par value</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178787107</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December 16, 2014</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22" w:lineRule="exact"/>
        <w:rPr>
          <w:sz w:val="24"/>
          <w:szCs w:val="24"/>
          <w:color w:val="auto"/>
        </w:rPr>
      </w:pPr>
    </w:p>
    <w:p>
      <w:pPr>
        <w:ind w:left="680" w:hanging="28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0" w:lineRule="exact"/>
        <w:rPr>
          <w:rFonts w:ascii="Arial" w:cs="Arial" w:eastAsia="Arial" w:hAnsi="Arial"/>
          <w:sz w:val="18"/>
          <w:szCs w:val="18"/>
          <w:color w:val="auto"/>
        </w:rPr>
      </w:pPr>
    </w:p>
    <w:p>
      <w:pPr>
        <w:ind w:left="500" w:hanging="9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Rule 13d-1(c)</w:t>
      </w:r>
    </w:p>
    <w:p>
      <w:pPr>
        <w:spacing w:after="0" w:line="8" w:lineRule="exact"/>
        <w:rPr>
          <w:sz w:val="24"/>
          <w:szCs w:val="24"/>
          <w:color w:val="auto"/>
        </w:rPr>
      </w:pPr>
    </w:p>
    <w:p>
      <w:pPr>
        <w:ind w:left="680" w:hanging="28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09"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60"/>
        <w:spacing w:after="0" w:line="33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363220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44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178787107</w:t>
      </w:r>
    </w:p>
    <w:p>
      <w:pPr>
        <w:spacing w:after="0" w:line="222" w:lineRule="exact"/>
        <w:rPr>
          <w:sz w:val="20"/>
          <w:szCs w:val="20"/>
          <w:color w:val="auto"/>
        </w:rPr>
      </w:pPr>
    </w:p>
    <w:p>
      <w:pPr>
        <w:ind w:left="700" w:hanging="451"/>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4" w:lineRule="exact"/>
        <w:rPr>
          <w:rFonts w:ascii="Arial" w:cs="Arial" w:eastAsia="Arial" w:hAnsi="Arial"/>
          <w:sz w:val="18"/>
          <w:szCs w:val="18"/>
          <w:b w:val="1"/>
          <w:bCs w:val="1"/>
          <w:color w:val="auto"/>
        </w:rPr>
      </w:pPr>
    </w:p>
    <w:p>
      <w:pPr>
        <w:ind w:left="700" w:right="5219"/>
        <w:spacing w:after="0" w:line="24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 E. Shaw &amp; Co., L.P.</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13-3695715</w:t>
      </w:r>
    </w:p>
    <w:p>
      <w:pPr>
        <w:spacing w:after="0" w:line="205" w:lineRule="exact"/>
        <w:rPr>
          <w:sz w:val="20"/>
          <w:szCs w:val="20"/>
          <w:color w:val="auto"/>
        </w:rPr>
      </w:pPr>
    </w:p>
    <w:p>
      <w:pPr>
        <w:ind w:left="700" w:hanging="451"/>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4" w:lineRule="exact"/>
        <w:rPr>
          <w:sz w:val="20"/>
          <w:szCs w:val="20"/>
          <w:color w:val="auto"/>
        </w:rPr>
      </w:pPr>
    </w:p>
    <w:p>
      <w:pPr>
        <w:ind w:left="700"/>
        <w:spacing w:after="0"/>
        <w:tabs>
          <w:tab w:leader="none" w:pos="3420" w:val="left"/>
          <w:tab w:leader="none" w:pos="37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w:t>
        <w:tab/>
        <w:t>]</w:t>
      </w:r>
    </w:p>
    <w:p>
      <w:pPr>
        <w:spacing w:after="0" w:line="8" w:lineRule="exact"/>
        <w:rPr>
          <w:sz w:val="20"/>
          <w:szCs w:val="20"/>
          <w:color w:val="auto"/>
        </w:rPr>
      </w:pPr>
    </w:p>
    <w:p>
      <w:pPr>
        <w:ind w:left="700"/>
        <w:spacing w:after="0"/>
        <w:tabs>
          <w:tab w:leader="none" w:pos="3420" w:val="left"/>
          <w:tab w:leader="none" w:pos="37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w:t>
        <w:tab/>
        <w:t>]</w:t>
      </w:r>
    </w:p>
    <w:p>
      <w:pPr>
        <w:spacing w:after="0" w:line="205" w:lineRule="exact"/>
        <w:rPr>
          <w:sz w:val="20"/>
          <w:szCs w:val="20"/>
          <w:color w:val="auto"/>
        </w:rPr>
      </w:pPr>
    </w:p>
    <w:p>
      <w:pPr>
        <w:ind w:left="700" w:hanging="451"/>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2" w:lineRule="exact"/>
        <w:rPr>
          <w:rFonts w:ascii="Arial" w:cs="Arial" w:eastAsia="Arial" w:hAnsi="Arial"/>
          <w:sz w:val="18"/>
          <w:szCs w:val="18"/>
          <w:b w:val="1"/>
          <w:bCs w:val="1"/>
          <w:color w:val="auto"/>
        </w:rPr>
      </w:pPr>
    </w:p>
    <w:p>
      <w:pPr>
        <w:ind w:left="700" w:right="6739" w:hanging="451"/>
        <w:spacing w:after="0" w:line="277"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98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980" w:type="dxa"/>
            <w:vAlign w:val="bottom"/>
            <w:vMerge w:val="restart"/>
          </w:tcPr>
          <w:p>
            <w:pPr>
              <w:jc w:val="right"/>
              <w:ind w:right="1211"/>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5,401,918</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5,440,579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79" w:hanging="451"/>
        <w:spacing w:after="0" w:line="277" w:lineRule="auto"/>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5,440,579</w:t>
      </w:r>
    </w:p>
    <w:p>
      <w:pPr>
        <w:spacing w:after="0" w:line="166" w:lineRule="exact"/>
        <w:rPr>
          <w:sz w:val="20"/>
          <w:szCs w:val="20"/>
          <w:color w:val="auto"/>
        </w:rPr>
      </w:pPr>
    </w:p>
    <w:p>
      <w:pPr>
        <w:ind w:left="240"/>
        <w:spacing w:after="0"/>
        <w:tabs>
          <w:tab w:leader="none" w:pos="680" w:val="left"/>
          <w:tab w:leader="none" w:pos="7580" w:val="left"/>
        </w:tabs>
        <w:rPr>
          <w:sz w:val="20"/>
          <w:szCs w:val="20"/>
          <w:color w:val="auto"/>
        </w:rPr>
      </w:pPr>
      <w:r>
        <w:rPr>
          <w:rFonts w:ascii="Arial" w:cs="Arial" w:eastAsia="Arial" w:hAnsi="Arial"/>
          <w:sz w:val="16"/>
          <w:szCs w:val="16"/>
          <w:b w:val="1"/>
          <w:bCs w:val="1"/>
          <w:color w:val="auto"/>
        </w:rPr>
        <w:t>10.</w:t>
        <w:tab/>
        <w:t>Check if the Aggregate Amount in Row (9) Excludes Certain Shares (See Instructions) [</w:t>
      </w:r>
      <w:r>
        <w:rPr>
          <w:sz w:val="20"/>
          <w:szCs w:val="20"/>
          <w:color w:val="auto"/>
        </w:rPr>
        <w:tab/>
      </w:r>
      <w:r>
        <w:rPr>
          <w:rFonts w:ascii="Arial" w:cs="Arial" w:eastAsia="Arial" w:hAnsi="Arial"/>
          <w:sz w:val="18"/>
          <w:szCs w:val="18"/>
          <w:b w:val="1"/>
          <w:bCs w:val="1"/>
          <w:color w:val="auto"/>
        </w:rPr>
        <w:t>]</w:t>
      </w:r>
    </w:p>
    <w:p>
      <w:pPr>
        <w:spacing w:after="0" w:line="222" w:lineRule="exact"/>
        <w:rPr>
          <w:sz w:val="20"/>
          <w:szCs w:val="20"/>
          <w:color w:val="auto"/>
        </w:rPr>
      </w:pPr>
    </w:p>
    <w:p>
      <w:pPr>
        <w:ind w:left="700" w:right="5539" w:hanging="451"/>
        <w:spacing w:after="0" w:line="277"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5.1%</w:t>
      </w:r>
    </w:p>
    <w:p>
      <w:pPr>
        <w:spacing w:after="0" w:line="165" w:lineRule="exact"/>
        <w:rPr>
          <w:rFonts w:ascii="Arial" w:cs="Arial" w:eastAsia="Arial" w:hAnsi="Arial"/>
          <w:sz w:val="18"/>
          <w:szCs w:val="18"/>
          <w:b w:val="1"/>
          <w:bCs w:val="1"/>
          <w:color w:val="auto"/>
        </w:rPr>
      </w:pPr>
    </w:p>
    <w:p>
      <w:pPr>
        <w:ind w:left="700" w:right="6159" w:hanging="451"/>
        <w:spacing w:after="0" w:line="277"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19"/>
          </w:cols>
          <w:pgMar w:left="240" w:top="108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178787107</w:t>
      </w:r>
    </w:p>
    <w:p>
      <w:pPr>
        <w:spacing w:after="0" w:line="222" w:lineRule="exact"/>
        <w:rPr>
          <w:sz w:val="20"/>
          <w:szCs w:val="20"/>
          <w:color w:val="auto"/>
        </w:rPr>
      </w:pPr>
    </w:p>
    <w:p>
      <w:pPr>
        <w:ind w:left="700" w:hanging="451"/>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4" w:lineRule="exact"/>
        <w:rPr>
          <w:rFonts w:ascii="Arial" w:cs="Arial" w:eastAsia="Arial" w:hAnsi="Arial"/>
          <w:sz w:val="18"/>
          <w:szCs w:val="18"/>
          <w:b w:val="1"/>
          <w:bCs w:val="1"/>
          <w:color w:val="auto"/>
        </w:rPr>
      </w:pPr>
    </w:p>
    <w:p>
      <w:pPr>
        <w:ind w:left="700" w:right="5219"/>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David E. Shaw</w:t>
      </w:r>
    </w:p>
    <w:p>
      <w:pPr>
        <w:spacing w:after="0" w:line="183" w:lineRule="exact"/>
        <w:rPr>
          <w:rFonts w:ascii="Arial" w:cs="Arial" w:eastAsia="Arial" w:hAnsi="Arial"/>
          <w:sz w:val="18"/>
          <w:szCs w:val="18"/>
          <w:b w:val="1"/>
          <w:bCs w:val="1"/>
          <w:color w:val="auto"/>
        </w:rPr>
      </w:pPr>
    </w:p>
    <w:p>
      <w:pPr>
        <w:ind w:left="700" w:hanging="451"/>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4" w:lineRule="exact"/>
        <w:rPr>
          <w:sz w:val="20"/>
          <w:szCs w:val="20"/>
          <w:color w:val="auto"/>
        </w:rPr>
      </w:pPr>
    </w:p>
    <w:p>
      <w:pPr>
        <w:ind w:left="700"/>
        <w:spacing w:after="0"/>
        <w:tabs>
          <w:tab w:leader="none" w:pos="3420" w:val="left"/>
          <w:tab w:leader="none" w:pos="37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w:t>
        <w:tab/>
        <w:t>]</w:t>
      </w:r>
    </w:p>
    <w:p>
      <w:pPr>
        <w:spacing w:after="0" w:line="8" w:lineRule="exact"/>
        <w:rPr>
          <w:sz w:val="20"/>
          <w:szCs w:val="20"/>
          <w:color w:val="auto"/>
        </w:rPr>
      </w:pPr>
    </w:p>
    <w:p>
      <w:pPr>
        <w:ind w:left="700"/>
        <w:spacing w:after="0"/>
        <w:tabs>
          <w:tab w:leader="none" w:pos="3420" w:val="left"/>
          <w:tab w:leader="none" w:pos="37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w:t>
        <w:tab/>
        <w:t>]</w:t>
      </w:r>
    </w:p>
    <w:p>
      <w:pPr>
        <w:spacing w:after="0" w:line="205" w:lineRule="exact"/>
        <w:rPr>
          <w:sz w:val="20"/>
          <w:szCs w:val="20"/>
          <w:color w:val="auto"/>
        </w:rPr>
      </w:pPr>
    </w:p>
    <w:p>
      <w:pPr>
        <w:ind w:left="700" w:hanging="451"/>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2" w:lineRule="exact"/>
        <w:rPr>
          <w:rFonts w:ascii="Arial" w:cs="Arial" w:eastAsia="Arial" w:hAnsi="Arial"/>
          <w:sz w:val="18"/>
          <w:szCs w:val="18"/>
          <w:b w:val="1"/>
          <w:bCs w:val="1"/>
          <w:color w:val="auto"/>
        </w:rPr>
      </w:pPr>
    </w:p>
    <w:p>
      <w:pPr>
        <w:ind w:left="700" w:right="6739" w:hanging="451"/>
        <w:spacing w:after="0" w:line="277" w:lineRule="auto"/>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5.</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1980" w:type="dxa"/>
            <w:vAlign w:val="bottom"/>
          </w:tcPr>
          <w:p>
            <w:pPr>
              <w:spacing w:after="0"/>
              <w:rPr>
                <w:sz w:val="18"/>
                <w:szCs w:val="18"/>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19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1980" w:type="dxa"/>
            <w:vAlign w:val="bottom"/>
            <w:vMerge w:val="restart"/>
          </w:tcPr>
          <w:p>
            <w:pPr>
              <w:jc w:val="right"/>
              <w:ind w:right="1211"/>
              <w:spacing w:after="0"/>
              <w:rPr>
                <w:sz w:val="20"/>
                <w:szCs w:val="20"/>
                <w:color w:val="auto"/>
              </w:rPr>
            </w:pPr>
            <w:r>
              <w:rPr>
                <w:rFonts w:ascii="Arial" w:cs="Arial" w:eastAsia="Arial" w:hAnsi="Arial"/>
                <w:sz w:val="18"/>
                <w:szCs w:val="18"/>
                <w:b w:val="1"/>
                <w:bCs w:val="1"/>
                <w:color w:val="auto"/>
              </w:rPr>
              <w:t>6.</w:t>
            </w:r>
          </w:p>
        </w:tc>
        <w:tc>
          <w:tcPr>
            <w:tcW w:w="32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3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5,401,918</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7.</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97"/>
              </w:rPr>
              <w:t>Sole Dispositive Power</w:t>
            </w: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1980" w:type="dxa"/>
            <w:vAlign w:val="bottom"/>
          </w:tcPr>
          <w:p>
            <w:pPr>
              <w:jc w:val="right"/>
              <w:ind w:right="1211"/>
              <w:spacing w:after="0"/>
              <w:rPr>
                <w:sz w:val="20"/>
                <w:szCs w:val="20"/>
                <w:color w:val="auto"/>
              </w:rPr>
            </w:pPr>
            <w:r>
              <w:rPr>
                <w:rFonts w:ascii="Arial" w:cs="Arial" w:eastAsia="Arial" w:hAnsi="Arial"/>
                <w:sz w:val="18"/>
                <w:szCs w:val="18"/>
                <w:b w:val="1"/>
                <w:bCs w:val="1"/>
                <w:color w:val="auto"/>
              </w:rPr>
              <w:t>8.</w:t>
            </w:r>
          </w:p>
        </w:tc>
        <w:tc>
          <w:tcPr>
            <w:tcW w:w="3260" w:type="dxa"/>
            <w:vAlign w:val="bottom"/>
          </w:tcPr>
          <w:p>
            <w:pPr>
              <w:ind w:left="1300"/>
              <w:spacing w:after="0"/>
              <w:rPr>
                <w:sz w:val="20"/>
                <w:szCs w:val="20"/>
                <w:color w:val="auto"/>
              </w:rPr>
            </w:pPr>
            <w:r>
              <w:rPr>
                <w:rFonts w:ascii="Arial" w:cs="Arial" w:eastAsia="Arial" w:hAnsi="Arial"/>
                <w:sz w:val="18"/>
                <w:szCs w:val="18"/>
                <w:b w:val="1"/>
                <w:bCs w:val="1"/>
                <w:color w:val="auto"/>
                <w:w w:val="87"/>
              </w:rPr>
              <w:t>Shared Dispositive Power</w:t>
            </w:r>
          </w:p>
        </w:tc>
        <w:tc>
          <w:tcPr>
            <w:tcW w:w="0" w:type="dxa"/>
            <w:vAlign w:val="bottom"/>
          </w:tcPr>
          <w:p>
            <w:pPr>
              <w:spacing w:after="0"/>
              <w:rPr>
                <w:sz w:val="1"/>
                <w:szCs w:val="1"/>
                <w:color w:val="auto"/>
              </w:rPr>
            </w:pPr>
          </w:p>
        </w:tc>
      </w:tr>
      <w:tr>
        <w:trPr>
          <w:trHeight w:val="227"/>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60" w:type="dxa"/>
            <w:vAlign w:val="bottom"/>
          </w:tcPr>
          <w:p>
            <w:pPr>
              <w:ind w:left="1300"/>
              <w:spacing w:after="0"/>
              <w:rPr>
                <w:sz w:val="20"/>
                <w:szCs w:val="20"/>
                <w:color w:val="auto"/>
              </w:rPr>
            </w:pPr>
            <w:r>
              <w:rPr>
                <w:rFonts w:ascii="Arial" w:cs="Arial" w:eastAsia="Arial" w:hAnsi="Arial"/>
                <w:sz w:val="18"/>
                <w:szCs w:val="18"/>
                <w:color w:val="auto"/>
              </w:rPr>
              <w:t>5,440,579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4479" w:hanging="451"/>
        <w:spacing w:after="0" w:line="277" w:lineRule="auto"/>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5,440,579</w:t>
      </w:r>
    </w:p>
    <w:p>
      <w:pPr>
        <w:spacing w:after="0" w:line="166" w:lineRule="exact"/>
        <w:rPr>
          <w:sz w:val="20"/>
          <w:szCs w:val="20"/>
          <w:color w:val="auto"/>
        </w:rPr>
      </w:pPr>
    </w:p>
    <w:p>
      <w:pPr>
        <w:ind w:left="240"/>
        <w:spacing w:after="0"/>
        <w:tabs>
          <w:tab w:leader="none" w:pos="680" w:val="left"/>
          <w:tab w:leader="none" w:pos="7580" w:val="left"/>
        </w:tabs>
        <w:rPr>
          <w:sz w:val="20"/>
          <w:szCs w:val="20"/>
          <w:color w:val="auto"/>
        </w:rPr>
      </w:pPr>
      <w:r>
        <w:rPr>
          <w:rFonts w:ascii="Arial" w:cs="Arial" w:eastAsia="Arial" w:hAnsi="Arial"/>
          <w:sz w:val="16"/>
          <w:szCs w:val="16"/>
          <w:b w:val="1"/>
          <w:bCs w:val="1"/>
          <w:color w:val="auto"/>
        </w:rPr>
        <w:t>10.</w:t>
        <w:tab/>
        <w:t>Check if the Aggregate Amount in Row (9) Excludes Certain Shares (See Instructions) [</w:t>
      </w:r>
      <w:r>
        <w:rPr>
          <w:sz w:val="20"/>
          <w:szCs w:val="20"/>
          <w:color w:val="auto"/>
        </w:rPr>
        <w:tab/>
      </w:r>
      <w:r>
        <w:rPr>
          <w:rFonts w:ascii="Arial" w:cs="Arial" w:eastAsia="Arial" w:hAnsi="Arial"/>
          <w:sz w:val="18"/>
          <w:szCs w:val="18"/>
          <w:b w:val="1"/>
          <w:bCs w:val="1"/>
          <w:color w:val="auto"/>
        </w:rPr>
        <w:t>]</w:t>
      </w:r>
    </w:p>
    <w:p>
      <w:pPr>
        <w:spacing w:after="0" w:line="222" w:lineRule="exact"/>
        <w:rPr>
          <w:sz w:val="20"/>
          <w:szCs w:val="20"/>
          <w:color w:val="auto"/>
        </w:rPr>
      </w:pPr>
    </w:p>
    <w:p>
      <w:pPr>
        <w:ind w:left="700" w:right="5539" w:hanging="451"/>
        <w:spacing w:after="0" w:line="277" w:lineRule="auto"/>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5.1%</w:t>
      </w:r>
    </w:p>
    <w:p>
      <w:pPr>
        <w:spacing w:after="0" w:line="165" w:lineRule="exact"/>
        <w:rPr>
          <w:rFonts w:ascii="Arial" w:cs="Arial" w:eastAsia="Arial" w:hAnsi="Arial"/>
          <w:sz w:val="18"/>
          <w:szCs w:val="18"/>
          <w:b w:val="1"/>
          <w:bCs w:val="1"/>
          <w:color w:val="auto"/>
        </w:rPr>
      </w:pPr>
    </w:p>
    <w:p>
      <w:pPr>
        <w:ind w:left="700" w:hanging="451"/>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4"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19"/>
          </w:cols>
          <w:pgMar w:left="240" w:top="872"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4" w:lineRule="exact"/>
        <w:rPr>
          <w:sz w:val="20"/>
          <w:szCs w:val="20"/>
          <w:color w:val="auto"/>
        </w:rPr>
      </w:pPr>
    </w:p>
    <w:p>
      <w:pPr>
        <w:ind w:left="1160" w:right="8920" w:hanging="683"/>
        <w:spacing w:after="0" w:line="319" w:lineRule="auto"/>
        <w:tabs>
          <w:tab w:leader="none" w:pos="93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Civeo Corporation</w:t>
      </w:r>
    </w:p>
    <w:p>
      <w:pPr>
        <w:spacing w:after="0" w:line="137" w:lineRule="exact"/>
        <w:rPr>
          <w:rFonts w:ascii="Arial" w:cs="Arial" w:eastAsia="Arial" w:hAnsi="Arial"/>
          <w:sz w:val="16"/>
          <w:szCs w:val="16"/>
          <w:b w:val="1"/>
          <w:bCs w:val="1"/>
          <w:color w:val="auto"/>
        </w:rPr>
      </w:pPr>
    </w:p>
    <w:p>
      <w:pPr>
        <w:ind w:left="1160" w:right="6820" w:hanging="683"/>
        <w:spacing w:after="0" w:line="262" w:lineRule="auto"/>
        <w:tabs>
          <w:tab w:leader="none" w:pos="9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Three Allen Center, 333 Clay Street, Suite 4980 Houston, Texas 77002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4" w:lineRule="exact"/>
        <w:rPr>
          <w:sz w:val="20"/>
          <w:szCs w:val="20"/>
          <w:color w:val="auto"/>
        </w:rPr>
      </w:pPr>
    </w:p>
    <w:p>
      <w:pPr>
        <w:ind w:left="940" w:hanging="463"/>
        <w:spacing w:after="0"/>
        <w:tabs>
          <w:tab w:leader="none" w:pos="9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7" w:lineRule="exact"/>
        <w:rPr>
          <w:rFonts w:ascii="Arial" w:cs="Arial" w:eastAsia="Arial" w:hAnsi="Arial"/>
          <w:sz w:val="18"/>
          <w:szCs w:val="18"/>
          <w:b w:val="1"/>
          <w:bCs w:val="1"/>
          <w:color w:val="auto"/>
        </w:rPr>
      </w:pPr>
    </w:p>
    <w:p>
      <w:pPr>
        <w:ind w:left="1160" w:right="8600" w:firstLine="1"/>
        <w:spacing w:after="0" w:line="257" w:lineRule="auto"/>
        <w:tabs>
          <w:tab w:leader="none" w:pos="13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 Shaw &amp; Co., L.P. David E. Shaw</w:t>
      </w:r>
    </w:p>
    <w:p>
      <w:pPr>
        <w:spacing w:after="0" w:line="183" w:lineRule="exact"/>
        <w:rPr>
          <w:rFonts w:ascii="Arial" w:cs="Arial" w:eastAsia="Arial" w:hAnsi="Arial"/>
          <w:sz w:val="18"/>
          <w:szCs w:val="18"/>
          <w:color w:val="auto"/>
        </w:rPr>
      </w:pPr>
    </w:p>
    <w:p>
      <w:pPr>
        <w:ind w:left="1160" w:right="6040" w:hanging="683"/>
        <w:spacing w:after="0" w:line="310" w:lineRule="auto"/>
        <w:tabs>
          <w:tab w:leader="none" w:pos="932"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The business address for each reporting person is:</w:t>
      </w:r>
    </w:p>
    <w:p>
      <w:pPr>
        <w:ind w:left="1160" w:right="73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1166 Avenue of the Americas, 9th Floor New York, NY 10036</w:t>
      </w:r>
    </w:p>
    <w:p>
      <w:pPr>
        <w:spacing w:after="0" w:line="183" w:lineRule="exact"/>
        <w:rPr>
          <w:rFonts w:ascii="Arial" w:cs="Arial" w:eastAsia="Arial" w:hAnsi="Arial"/>
          <w:sz w:val="15"/>
          <w:szCs w:val="15"/>
          <w:b w:val="1"/>
          <w:bCs w:val="1"/>
          <w:color w:val="auto"/>
        </w:rPr>
      </w:pPr>
    </w:p>
    <w:p>
      <w:pPr>
        <w:ind w:left="940" w:hanging="463"/>
        <w:spacing w:after="0"/>
        <w:tabs>
          <w:tab w:leader="none" w:pos="9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 w:lineRule="exact"/>
        <w:rPr>
          <w:rFonts w:ascii="Arial" w:cs="Arial" w:eastAsia="Arial" w:hAnsi="Arial"/>
          <w:sz w:val="18"/>
          <w:szCs w:val="18"/>
          <w:b w:val="1"/>
          <w:bCs w:val="1"/>
          <w:color w:val="auto"/>
        </w:rPr>
      </w:pPr>
    </w:p>
    <w:p>
      <w:pPr>
        <w:ind w:left="1160" w:right="3280" w:firstLine="1"/>
        <w:spacing w:after="0" w:line="257" w:lineRule="auto"/>
        <w:tabs>
          <w:tab w:leader="none" w:pos="13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 Shaw &amp; Co., L.P. is a limited partnership organized under the laws of the state of Delaware. David E. Shaw is a citizen of the United States of America.</w:t>
      </w:r>
    </w:p>
    <w:p>
      <w:pPr>
        <w:spacing w:after="0" w:line="183" w:lineRule="exact"/>
        <w:rPr>
          <w:rFonts w:ascii="Arial" w:cs="Arial" w:eastAsia="Arial" w:hAnsi="Arial"/>
          <w:sz w:val="18"/>
          <w:szCs w:val="18"/>
          <w:color w:val="auto"/>
        </w:rPr>
      </w:pPr>
    </w:p>
    <w:p>
      <w:pPr>
        <w:ind w:left="940" w:hanging="463"/>
        <w:spacing w:after="0"/>
        <w:tabs>
          <w:tab w:leader="none" w:pos="9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 $0.01 par value</w:t>
      </w:r>
    </w:p>
    <w:p>
      <w:pPr>
        <w:spacing w:after="0" w:line="205" w:lineRule="exact"/>
        <w:rPr>
          <w:sz w:val="20"/>
          <w:szCs w:val="20"/>
          <w:color w:val="auto"/>
        </w:rPr>
      </w:pPr>
    </w:p>
    <w:p>
      <w:pPr>
        <w:ind w:left="1160" w:right="9280" w:hanging="683"/>
        <w:spacing w:after="0" w:line="341" w:lineRule="auto"/>
        <w:tabs>
          <w:tab w:leader="none" w:pos="93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178787107</w:t>
      </w:r>
    </w:p>
    <w:p>
      <w:pPr>
        <w:spacing w:after="0" w:line="1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Ownership</w:t>
            </w:r>
          </w:p>
        </w:tc>
        <w:tc>
          <w:tcPr>
            <w:tcW w:w="7100" w:type="dxa"/>
            <w:vAlign w:val="bottom"/>
          </w:tcPr>
          <w:p>
            <w:pPr>
              <w:spacing w:after="0"/>
              <w:rPr>
                <w:sz w:val="20"/>
                <w:szCs w:val="20"/>
                <w:color w:val="auto"/>
              </w:rPr>
            </w:pPr>
          </w:p>
        </w:tc>
      </w:tr>
      <w:tr>
        <w:trPr>
          <w:trHeight w:val="456"/>
        </w:trPr>
        <w:tc>
          <w:tcPr>
            <w:tcW w:w="4320" w:type="dxa"/>
            <w:vAlign w:val="bottom"/>
            <w:gridSpan w:val="2"/>
          </w:tcPr>
          <w:p>
            <w:pPr>
              <w:spacing w:after="0"/>
              <w:rPr>
                <w:sz w:val="20"/>
                <w:szCs w:val="20"/>
                <w:color w:val="auto"/>
              </w:rPr>
            </w:pPr>
            <w:r>
              <w:rPr>
                <w:rFonts w:ascii="Arial" w:cs="Arial" w:eastAsia="Arial" w:hAnsi="Arial"/>
                <w:sz w:val="18"/>
                <w:szCs w:val="18"/>
                <w:color w:val="auto"/>
              </w:rPr>
              <w:t>As of December 16, 2014:</w:t>
            </w:r>
          </w:p>
        </w:tc>
        <w:tc>
          <w:tcPr>
            <w:tcW w:w="7100" w:type="dxa"/>
            <w:vAlign w:val="bottom"/>
          </w:tcPr>
          <w:p>
            <w:pPr>
              <w:spacing w:after="0"/>
              <w:rPr>
                <w:sz w:val="24"/>
                <w:szCs w:val="24"/>
                <w:color w:val="auto"/>
              </w:rPr>
            </w:pPr>
          </w:p>
        </w:tc>
      </w:tr>
      <w:tr>
        <w:trPr>
          <w:trHeight w:val="429"/>
        </w:trPr>
        <w:tc>
          <w:tcPr>
            <w:tcW w:w="4320" w:type="dxa"/>
            <w:vAlign w:val="bottom"/>
            <w:gridSpan w:val="2"/>
          </w:tcPr>
          <w:p>
            <w:pPr>
              <w:spacing w:after="0"/>
              <w:rPr>
                <w:sz w:val="20"/>
                <w:szCs w:val="20"/>
                <w:color w:val="auto"/>
              </w:rPr>
            </w:pPr>
            <w:r>
              <w:rPr>
                <w:rFonts w:ascii="Arial" w:cs="Arial" w:eastAsia="Arial" w:hAnsi="Arial"/>
                <w:sz w:val="18"/>
                <w:szCs w:val="18"/>
                <w:color w:val="auto"/>
              </w:rPr>
              <w:t>(a) Amount beneficially owned:</w:t>
            </w:r>
          </w:p>
        </w:tc>
        <w:tc>
          <w:tcPr>
            <w:tcW w:w="7100" w:type="dxa"/>
            <w:vAlign w:val="bottom"/>
          </w:tcPr>
          <w:p>
            <w:pPr>
              <w:spacing w:after="0"/>
              <w:rPr>
                <w:sz w:val="24"/>
                <w:szCs w:val="24"/>
                <w:color w:val="auto"/>
              </w:rPr>
            </w:pPr>
          </w:p>
        </w:tc>
      </w:tr>
      <w:tr>
        <w:trPr>
          <w:trHeight w:val="416"/>
        </w:trPr>
        <w:tc>
          <w:tcPr>
            <w:tcW w:w="4320" w:type="dxa"/>
            <w:vAlign w:val="bottom"/>
            <w:gridSpan w:val="2"/>
          </w:tcPr>
          <w:p>
            <w:pPr>
              <w:ind w:left="420"/>
              <w:spacing w:after="0"/>
              <w:rPr>
                <w:sz w:val="20"/>
                <w:szCs w:val="20"/>
                <w:color w:val="auto"/>
              </w:rPr>
            </w:pPr>
            <w:r>
              <w:rPr>
                <w:rFonts w:ascii="Arial" w:cs="Arial" w:eastAsia="Arial" w:hAnsi="Arial"/>
                <w:sz w:val="18"/>
                <w:szCs w:val="18"/>
                <w:color w:val="auto"/>
              </w:rPr>
              <w:t>D. E. Shaw &amp; Co., L.P.:</w:t>
            </w:r>
          </w:p>
        </w:tc>
        <w:tc>
          <w:tcPr>
            <w:tcW w:w="7100" w:type="dxa"/>
            <w:vAlign w:val="bottom"/>
          </w:tcPr>
          <w:p>
            <w:pPr>
              <w:ind w:left="2020"/>
              <w:spacing w:after="0"/>
              <w:rPr>
                <w:sz w:val="20"/>
                <w:szCs w:val="20"/>
                <w:color w:val="auto"/>
              </w:rPr>
            </w:pPr>
            <w:r>
              <w:rPr>
                <w:rFonts w:ascii="Arial" w:cs="Arial" w:eastAsia="Arial" w:hAnsi="Arial"/>
                <w:sz w:val="18"/>
                <w:szCs w:val="18"/>
                <w:color w:val="auto"/>
              </w:rPr>
              <w:t>5,440,579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This is composed of (i) 2,626,200 shares in the name of</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D. E. Shaw Kalon Portfolios, L.L.C., (ii) 2,117,888 shares in the</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5"/>
              </w:rPr>
              <w:t>name of D. E. Shaw Valence Portfolios, L.L.C., (iii) 509,014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5"/>
              </w:rPr>
              <w:t>in the name of D. E. Shaw Oculus Portfolios, L.L.C., (iv) 16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in the name of D. E. Shaw Asymptote Portfolios, L.L.C., and (v)</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6"/>
              </w:rPr>
              <w:t>187,461 shares under the management of D. E. Shaw Investment</w:t>
            </w:r>
          </w:p>
        </w:tc>
      </w:tr>
      <w:tr>
        <w:trPr>
          <w:trHeight w:val="227"/>
        </w:trPr>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Management, L.L.C.</w:t>
            </w:r>
          </w:p>
        </w:tc>
      </w:tr>
      <w:tr>
        <w:trPr>
          <w:trHeight w:val="416"/>
        </w:trPr>
        <w:tc>
          <w:tcPr>
            <w:tcW w:w="4320" w:type="dxa"/>
            <w:vAlign w:val="bottom"/>
            <w:gridSpan w:val="2"/>
          </w:tcPr>
          <w:p>
            <w:pPr>
              <w:ind w:left="420"/>
              <w:spacing w:after="0"/>
              <w:rPr>
                <w:sz w:val="20"/>
                <w:szCs w:val="20"/>
                <w:color w:val="auto"/>
              </w:rPr>
            </w:pPr>
            <w:r>
              <w:rPr>
                <w:rFonts w:ascii="Arial" w:cs="Arial" w:eastAsia="Arial" w:hAnsi="Arial"/>
                <w:sz w:val="18"/>
                <w:szCs w:val="18"/>
                <w:color w:val="auto"/>
              </w:rPr>
              <w:t>David E. Shaw:</w:t>
            </w:r>
          </w:p>
        </w:tc>
        <w:tc>
          <w:tcPr>
            <w:tcW w:w="7100" w:type="dxa"/>
            <w:vAlign w:val="bottom"/>
          </w:tcPr>
          <w:p>
            <w:pPr>
              <w:ind w:left="2020"/>
              <w:spacing w:after="0"/>
              <w:rPr>
                <w:sz w:val="20"/>
                <w:szCs w:val="20"/>
                <w:color w:val="auto"/>
              </w:rPr>
            </w:pPr>
            <w:r>
              <w:rPr>
                <w:rFonts w:ascii="Arial" w:cs="Arial" w:eastAsia="Arial" w:hAnsi="Arial"/>
                <w:sz w:val="18"/>
                <w:szCs w:val="18"/>
                <w:color w:val="auto"/>
              </w:rPr>
              <w:t>5,440,579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This is composed of (i) 2,626,200 shares in the name of</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D. E. Shaw Kalon Portfolios, L.L.C., (ii) 2,117,888 shares in the</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5"/>
              </w:rPr>
              <w:t>name of D. E. Shaw Valence Portfolios, L.L.C., (iii) 509,014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5"/>
              </w:rPr>
              <w:t>in the name of D. E. Shaw Oculus Portfolios, L.L.C., (iv) 16 shares</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in the name of D. E. Shaw Asymptote Portfolios, L.L.C., and (v)</w:t>
            </w:r>
          </w:p>
        </w:tc>
      </w:tr>
      <w:tr>
        <w:trPr>
          <w:trHeight w:val="215"/>
        </w:trPr>
        <w:tc>
          <w:tcPr>
            <w:tcW w:w="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w w:val="96"/>
              </w:rPr>
              <w:t>187,461 shares under the management of D. E. Shaw Investment</w:t>
            </w:r>
          </w:p>
        </w:tc>
      </w:tr>
      <w:tr>
        <w:trPr>
          <w:trHeight w:val="227"/>
        </w:trPr>
        <w:tc>
          <w:tcPr>
            <w:tcW w:w="7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100" w:type="dxa"/>
            <w:vAlign w:val="bottom"/>
          </w:tcPr>
          <w:p>
            <w:pPr>
              <w:ind w:left="2020"/>
              <w:spacing w:after="0"/>
              <w:rPr>
                <w:sz w:val="20"/>
                <w:szCs w:val="20"/>
                <w:color w:val="auto"/>
              </w:rPr>
            </w:pPr>
            <w:r>
              <w:rPr>
                <w:rFonts w:ascii="Arial" w:cs="Arial" w:eastAsia="Arial" w:hAnsi="Arial"/>
                <w:sz w:val="18"/>
                <w:szCs w:val="18"/>
                <w:color w:val="auto"/>
              </w:rPr>
              <w:t>Management, L.L.C.</w:t>
            </w:r>
          </w:p>
        </w:tc>
      </w:tr>
      <w:tr>
        <w:trPr>
          <w:trHeight w:val="429"/>
        </w:trPr>
        <w:tc>
          <w:tcPr>
            <w:tcW w:w="4320" w:type="dxa"/>
            <w:vAlign w:val="bottom"/>
            <w:gridSpan w:val="2"/>
          </w:tcPr>
          <w:p>
            <w:pPr>
              <w:spacing w:after="0"/>
              <w:rPr>
                <w:sz w:val="20"/>
                <w:szCs w:val="20"/>
                <w:color w:val="auto"/>
              </w:rPr>
            </w:pPr>
            <w:r>
              <w:rPr>
                <w:rFonts w:ascii="Arial" w:cs="Arial" w:eastAsia="Arial" w:hAnsi="Arial"/>
                <w:sz w:val="18"/>
                <w:szCs w:val="18"/>
                <w:color w:val="auto"/>
              </w:rPr>
              <w:t>(b) Percent of class:</w:t>
            </w:r>
          </w:p>
        </w:tc>
        <w:tc>
          <w:tcPr>
            <w:tcW w:w="7100" w:type="dxa"/>
            <w:vAlign w:val="bottom"/>
          </w:tcPr>
          <w:p>
            <w:pPr>
              <w:spacing w:after="0"/>
              <w:rPr>
                <w:sz w:val="24"/>
                <w:szCs w:val="24"/>
                <w:color w:val="auto"/>
              </w:rPr>
            </w:pPr>
          </w:p>
        </w:tc>
      </w:tr>
      <w:tr>
        <w:trPr>
          <w:trHeight w:val="416"/>
        </w:trPr>
        <w:tc>
          <w:tcPr>
            <w:tcW w:w="4320" w:type="dxa"/>
            <w:vAlign w:val="bottom"/>
            <w:gridSpan w:val="2"/>
          </w:tcPr>
          <w:p>
            <w:pPr>
              <w:ind w:left="320"/>
              <w:spacing w:after="0"/>
              <w:rPr>
                <w:sz w:val="20"/>
                <w:szCs w:val="20"/>
                <w:color w:val="auto"/>
              </w:rPr>
            </w:pPr>
            <w:r>
              <w:rPr>
                <w:rFonts w:ascii="Arial" w:cs="Arial" w:eastAsia="Arial" w:hAnsi="Arial"/>
                <w:sz w:val="18"/>
                <w:szCs w:val="18"/>
                <w:color w:val="auto"/>
              </w:rPr>
              <w:t>D. E. Shaw &amp; Co., L.P.:</w:t>
            </w:r>
          </w:p>
        </w:tc>
        <w:tc>
          <w:tcPr>
            <w:tcW w:w="7100" w:type="dxa"/>
            <w:vAlign w:val="bottom"/>
          </w:tcPr>
          <w:p>
            <w:pPr>
              <w:ind w:left="2020"/>
              <w:spacing w:after="0"/>
              <w:rPr>
                <w:sz w:val="20"/>
                <w:szCs w:val="20"/>
                <w:color w:val="auto"/>
              </w:rPr>
            </w:pPr>
            <w:r>
              <w:rPr>
                <w:rFonts w:ascii="Arial" w:cs="Arial" w:eastAsia="Arial" w:hAnsi="Arial"/>
                <w:sz w:val="18"/>
                <w:szCs w:val="18"/>
                <w:color w:val="auto"/>
              </w:rPr>
              <w:t>5.1%</w:t>
            </w:r>
          </w:p>
        </w:tc>
      </w:tr>
      <w:tr>
        <w:trPr>
          <w:trHeight w:val="227"/>
        </w:trPr>
        <w:tc>
          <w:tcPr>
            <w:tcW w:w="4320" w:type="dxa"/>
            <w:vAlign w:val="bottom"/>
            <w:gridSpan w:val="2"/>
          </w:tcPr>
          <w:p>
            <w:pPr>
              <w:ind w:left="320"/>
              <w:spacing w:after="0"/>
              <w:rPr>
                <w:sz w:val="20"/>
                <w:szCs w:val="20"/>
                <w:color w:val="auto"/>
              </w:rPr>
            </w:pPr>
            <w:r>
              <w:rPr>
                <w:rFonts w:ascii="Arial" w:cs="Arial" w:eastAsia="Arial" w:hAnsi="Arial"/>
                <w:sz w:val="18"/>
                <w:szCs w:val="18"/>
                <w:color w:val="auto"/>
              </w:rPr>
              <w:t>David E. Shaw:</w:t>
            </w:r>
          </w:p>
        </w:tc>
        <w:tc>
          <w:tcPr>
            <w:tcW w:w="7100" w:type="dxa"/>
            <w:vAlign w:val="bottom"/>
          </w:tcPr>
          <w:p>
            <w:pPr>
              <w:ind w:left="2020"/>
              <w:spacing w:after="0"/>
              <w:rPr>
                <w:sz w:val="20"/>
                <w:szCs w:val="20"/>
                <w:color w:val="auto"/>
              </w:rPr>
            </w:pPr>
            <w:r>
              <w:rPr>
                <w:rFonts w:ascii="Arial" w:cs="Arial" w:eastAsia="Arial" w:hAnsi="Arial"/>
                <w:sz w:val="18"/>
                <w:szCs w:val="18"/>
                <w:color w:val="auto"/>
              </w:rPr>
              <w:t>5.1%</w:t>
            </w:r>
          </w:p>
        </w:tc>
      </w:tr>
      <w:tr>
        <w:trPr>
          <w:trHeight w:val="645"/>
        </w:trPr>
        <w:tc>
          <w:tcPr>
            <w:tcW w:w="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2"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(c)  Number of shares to which the person has:</w:t>
      </w:r>
    </w:p>
    <w:p>
      <w:pPr>
        <w:spacing w:after="0" w:line="32"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6"/>
          <w:szCs w:val="16"/>
          <w:color w:val="auto"/>
        </w:rPr>
        <w:t>(i)</w:t>
        <w:tab/>
        <w:t>Sole power to vote or to direct the vote:</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 Shaw &amp; Co., L.P.:</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400" w:space="720"/>
            <w:col w:w="4300"/>
          </w:cols>
          <w:pgMar w:left="240" w:top="876" w:right="239" w:bottom="1440" w:gutter="0" w:footer="0" w:header="0"/>
        </w:sectPr>
      </w:pP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(ii)  Shared power to vote or to direct the vote:</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 Shaw &amp; Co., L.P.:</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5,401,918 shares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5,401,918 shares</w:t>
      </w:r>
    </w:p>
    <w:p>
      <w:pPr>
        <w:spacing w:after="0" w:line="234" w:lineRule="exact"/>
        <w:rPr>
          <w:sz w:val="20"/>
          <w:szCs w:val="20"/>
          <w:color w:val="auto"/>
        </w:rPr>
      </w:pPr>
    </w:p>
    <w:p>
      <w:pPr>
        <w:sectPr>
          <w:pgSz w:w="11900" w:h="16838" w:orient="portrait"/>
          <w:cols w:equalWidth="0" w:num="2">
            <w:col w:w="6380" w:space="720"/>
            <w:col w:w="4320"/>
          </w:cols>
          <w:pgMar w:left="240" w:top="876" w:right="239" w:bottom="1440" w:gutter="0" w:footer="0" w:header="0"/>
          <w:type w:val="continuous"/>
        </w:sectPr>
      </w:pP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(iii)  Sole power to dispose or to direct the disposition of:</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 Shaw &amp; Co., L.P.:</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380" w:space="720"/>
            <w:col w:w="4320"/>
          </w:cols>
          <w:pgMar w:left="240" w:top="876" w:right="239" w:bottom="1440" w:gutter="0" w:footer="0" w:header="0"/>
          <w:type w:val="continuous"/>
        </w:sectPr>
      </w:pP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(iv) Shared power to dispose or to direct the disposition of:</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 Shaw &amp; Co., L.P.:</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E. Shaw:</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5,440,579 shares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5,440,579 shares</w:t>
      </w:r>
    </w:p>
    <w:p>
      <w:pPr>
        <w:spacing w:after="0" w:line="234" w:lineRule="exact"/>
        <w:rPr>
          <w:sz w:val="20"/>
          <w:szCs w:val="20"/>
          <w:color w:val="auto"/>
        </w:rPr>
      </w:pPr>
    </w:p>
    <w:p>
      <w:pPr>
        <w:sectPr>
          <w:pgSz w:w="11900" w:h="16838" w:orient="portrait"/>
          <w:cols w:equalWidth="0" w:num="2">
            <w:col w:w="6380" w:space="720"/>
            <w:col w:w="4320"/>
          </w:cols>
          <w:pgMar w:left="240" w:top="876" w:right="239" w:bottom="1440" w:gutter="0" w:footer="0" w:header="0"/>
          <w:type w:val="continuous"/>
        </w:sectPr>
      </w:pPr>
    </w:p>
    <w:p>
      <w:pPr>
        <w:spacing w:after="0" w:line="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David E. Shaw does not own any shares directly. By virtue of David E. Shaw’s position as President and sole shareholder of D. E. Shaw &amp; Co., Inc., which is the general partner of D. E. Shaw &amp; Co., L.P., which in turn is the manager and investment adviser of D. E. Shaw Valence Portfolios, L.L.C., the investment adviser of D. E. Shaw Oculus Portfolios, L.L.C., and the managing member of (i) D. E. Shaw Investment Management, L.L.C., (ii) D. E. Shaw Heliant Adviser, L.L.C., which in turn is the investment adviser of D. E. Shaw Kalon Portfolios, L.L.C., (iii) D. E. Shaw Adviser, L.L.C., which in turn is the investment adviser of D. E. Shaw Asymptote Portfolios, L.L.C., and by virtue of David E. Shaw’s position as President and sole shareholder of D. E. Shaw &amp; Co. II, Inc., which is the managing member of D. E. Shaw &amp; Co., L.L.C., which in turn is the manager of D. E. Shaw Oculus Portfolios, L.L.C. and the managing member of (i) D. E. Shaw Heliant Manager, L.L.C., which in turn is the manager of D. E. Shaw Kalon Portfolios, L.L.C., and (ii) D. E. Shaw Manager, L.L.C., which in turn is the manager of D. E. Shaw Asymptote Portfolios, L.L.C., David E. Shaw may be deemed to have the shared power to vote or direct the vote of 5,401,918 shares, and the shared power to dispose or direct the disposition of 5,440,579 shares, the 5,440,579 shares as described above constituting 5.1% of the outstanding shares and, therefore, David E. Shaw may be deemed to be the beneficial owner of such shares. David E. Shaw disclaims beneficial ownership of such 5,440,579 shares.</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ind w:left="980" w:right="20" w:hanging="965"/>
        <w:spacing w:after="0" w:line="258"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By signing below, each of D. E. Shaw &amp; Co., L.P. and David E. Shaw certify that, to the best of such reporting person’s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382270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6"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After reasonable inquiry and to the best of their knowledge and belief, the undersigned certify that the information set forth in this statement is true, complete and correct. A Power of Attorney, dated December 16, 2014, granted by David E. Shaw in favor of Nathan Thomas, is attached hereto.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26, 2014</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 E. Shaw &amp; Co., L.P.</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Thomas</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Compliance Officer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E. Shaw</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Thomas</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240" w:top="872"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t>Exhibit 1</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CERTAIN REGULATORY FILINGS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INCLUDING CERTAIN FILINGS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THE INVESTMENT ADVISERS ACT OF 1940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David E. Shaw, hereby make, constitute, and appoint each of:</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Anne Dinning,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Julius Gaudio,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Liftin,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Maximilian Stone,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Nathan Thomas, and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Eric Wepsic,</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acting individually, as my agent and attorney-in-fact, with full power of substitution, for the purpose of, from time to time, (i) executing in my name and/or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United States or non-United States governmental or regulatory authority, including without limitation Form ADV, Forms 3, 4, 5, and 13F, and Schedules 13D and 13G required to be filed with the United States Securities and Exchange Commission, and (ii) delivering, furnishing, or filing any such documents to or with the appropriate governmental or regulatory authority. Any such determination shall be conclusively evidenced by such person’s execution, delivery, furnishing, and/or filing of the applicable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be valid from the date hereof and replaces the power granted on June 22, 2012, which is hereby cancelled.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I have executed this instrument as of the date set forth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DAVID E. SHAW, as President of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 E. Shaw &amp; Co.,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 David E. Shaw</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u w:val="single" w:color="auto"/>
          <w:color w:val="auto"/>
        </w:rPr>
        <w:t>Exhibit 2</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JOINT FILING AGREEMENT</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$0.01 par value, of Civeo Corporation, and that this Agreement be included as an Exhibit to such joint filing. This Agreement may be executed in any number of counterparts, all of which taken together shall constitute one and the same instrument.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hereby executes this Agreement as of this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2014.</w:t>
      </w:r>
    </w:p>
    <w:p>
      <w:pPr>
        <w:spacing w:after="0" w:line="1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 E. Shaw &amp; Co., L.P.</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Thomas</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Compliance Officer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E. Shaw</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Nathan Thomas</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Thomas</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upperLetter"/>
      <w:start w:val="4"/>
    </w:lvl>
  </w:abstractNum>
  <w:abstractNum w:abstractNumId="13">
    <w:nsid w:val="DED726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2019-12-08T08:52:21Z</dcterms:created>
  <dcterms:modified xsi:type="dcterms:W3CDTF">2019-12-08T08:52:21Z</dcterms:modified>
</cp:coreProperties>
</file>