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251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Brewer Barclay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02/25/2022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94"/>
        <w:spacing w:after="0"/>
        <w:rPr>
          <w:sz w:val="20"/>
          <w:szCs w:val="20"/>
          <w:color w:val="auto"/>
        </w:rPr>
      </w:pPr>
      <w:r>
        <w:rPr>
          <w:rFonts w:ascii="Arial" w:cs="Arial" w:eastAsia="Arial" w:hAnsi="Arial"/>
          <w:sz w:val="17"/>
          <w:szCs w:val="17"/>
          <w:color w:val="0000FF"/>
        </w:rPr>
        <w:t>Vice President and Controller</w:t>
      </w:r>
    </w:p>
    <w:p>
      <w:pPr>
        <w:spacing w:after="0" w:line="391"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HOUSTON</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77002</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w w:val="97"/>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Arial" w:cs="Arial" w:eastAsia="Arial" w:hAnsi="Arial"/>
                <w:sz w:val="17"/>
                <w:szCs w:val="17"/>
                <w:color w:val="0000FF"/>
              </w:rPr>
              <w:t>02/25/2022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2"/>
                <w:szCs w:val="22"/>
                <w:color w:val="auto"/>
              </w:rPr>
            </w:pPr>
          </w:p>
        </w:tc>
        <w:tc>
          <w:tcPr>
            <w:tcW w:w="580" w:type="dxa"/>
            <w:vAlign w:val="bottom"/>
          </w:tcPr>
          <w:p>
            <w:pPr>
              <w:jc w:val="center"/>
              <w:ind w:left="132"/>
              <w:spacing w:after="0"/>
              <w:rPr>
                <w:sz w:val="20"/>
                <w:szCs w:val="20"/>
                <w:color w:val="auto"/>
              </w:rPr>
            </w:pPr>
            <w:r>
              <w:rPr>
                <w:rFonts w:ascii="Arial" w:cs="Arial" w:eastAsia="Arial" w:hAnsi="Arial"/>
                <w:sz w:val="17"/>
                <w:szCs w:val="17"/>
                <w:color w:val="0000FF"/>
                <w:w w:val="89"/>
              </w:rPr>
              <w:t>3,200</w:t>
            </w:r>
          </w:p>
        </w:tc>
        <w:tc>
          <w:tcPr>
            <w:tcW w:w="64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left="173"/>
              <w:spacing w:after="0"/>
              <w:rPr>
                <w:sz w:val="20"/>
                <w:szCs w:val="20"/>
                <w:color w:val="auto"/>
              </w:rPr>
            </w:pPr>
            <w:r>
              <w:rPr>
                <w:rFonts w:ascii="Arial" w:cs="Arial" w:eastAsia="Arial" w:hAnsi="Arial"/>
                <w:sz w:val="11"/>
                <w:szCs w:val="11"/>
                <w:color w:val="008000"/>
                <w:w w:val="88"/>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2"/>
              </w:rPr>
              <w:t>10,575</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w w:val="97"/>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Arial" w:cs="Arial" w:eastAsia="Arial" w:hAnsi="Arial"/>
                <w:sz w:val="17"/>
                <w:szCs w:val="17"/>
                <w:color w:val="0000FF"/>
              </w:rPr>
              <w:t>02/25/2022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Arial" w:cs="Arial" w:eastAsia="Arial" w:hAnsi="Arial"/>
                <w:sz w:val="13"/>
                <w:szCs w:val="13"/>
                <w:color w:val="0000FF"/>
                <w:w w:val="84"/>
              </w:rPr>
              <w:t>D</w:t>
            </w:r>
          </w:p>
        </w:tc>
        <w:tc>
          <w:tcPr>
            <w:tcW w:w="160" w:type="dxa"/>
            <w:vAlign w:val="bottom"/>
          </w:tcPr>
          <w:p>
            <w:pPr>
              <w:spacing w:after="0"/>
              <w:rPr>
                <w:sz w:val="22"/>
                <w:szCs w:val="22"/>
                <w:color w:val="auto"/>
              </w:rPr>
            </w:pPr>
          </w:p>
        </w:tc>
        <w:tc>
          <w:tcPr>
            <w:tcW w:w="580" w:type="dxa"/>
            <w:vAlign w:val="bottom"/>
          </w:tcPr>
          <w:p>
            <w:pPr>
              <w:jc w:val="center"/>
              <w:ind w:left="132"/>
              <w:spacing w:after="0"/>
              <w:rPr>
                <w:sz w:val="20"/>
                <w:szCs w:val="20"/>
                <w:color w:val="auto"/>
              </w:rPr>
            </w:pPr>
            <w:r>
              <w:rPr>
                <w:rFonts w:ascii="Arial" w:cs="Arial" w:eastAsia="Arial" w:hAnsi="Arial"/>
                <w:sz w:val="17"/>
                <w:szCs w:val="17"/>
                <w:color w:val="0000FF"/>
                <w:w w:val="89"/>
              </w:rPr>
              <w:t>3,200</w:t>
            </w:r>
          </w:p>
        </w:tc>
        <w:tc>
          <w:tcPr>
            <w:tcW w:w="640" w:type="dxa"/>
            <w:vAlign w:val="bottom"/>
          </w:tcPr>
          <w:p>
            <w:pPr>
              <w:ind w:left="400"/>
              <w:spacing w:after="0"/>
              <w:rPr>
                <w:sz w:val="20"/>
                <w:szCs w:val="20"/>
                <w:color w:val="auto"/>
              </w:rPr>
            </w:pPr>
            <w:r>
              <w:rPr>
                <w:rFonts w:ascii="Arial" w:cs="Arial" w:eastAsia="Arial" w:hAnsi="Arial"/>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21.97</w:t>
            </w: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9"/>
              </w:rPr>
              <w:t>7,375</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w w:val="97"/>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Arial" w:cs="Arial" w:eastAsia="Arial" w:hAnsi="Arial"/>
                <w:sz w:val="17"/>
                <w:szCs w:val="17"/>
                <w:color w:val="0000FF"/>
              </w:rPr>
              <w:t>02/25/2022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Arial" w:cs="Arial" w:eastAsia="Arial" w:hAnsi="Arial"/>
                <w:sz w:val="13"/>
                <w:szCs w:val="13"/>
                <w:color w:val="0000FF"/>
              </w:rPr>
              <w:t>F</w:t>
            </w:r>
          </w:p>
        </w:tc>
        <w:tc>
          <w:tcPr>
            <w:tcW w:w="160" w:type="dxa"/>
            <w:vAlign w:val="bottom"/>
          </w:tcPr>
          <w:p>
            <w:pPr>
              <w:spacing w:after="0"/>
              <w:rPr>
                <w:sz w:val="22"/>
                <w:szCs w:val="22"/>
                <w:color w:val="auto"/>
              </w:rPr>
            </w:pPr>
          </w:p>
        </w:tc>
        <w:tc>
          <w:tcPr>
            <w:tcW w:w="580" w:type="dxa"/>
            <w:vAlign w:val="bottom"/>
          </w:tcPr>
          <w:p>
            <w:pPr>
              <w:jc w:val="center"/>
              <w:ind w:left="112"/>
              <w:spacing w:after="0"/>
              <w:rPr>
                <w:sz w:val="20"/>
                <w:szCs w:val="20"/>
                <w:color w:val="auto"/>
              </w:rPr>
            </w:pPr>
            <w:r>
              <w:rPr>
                <w:rFonts w:ascii="Arial" w:cs="Arial" w:eastAsia="Arial" w:hAnsi="Arial"/>
                <w:sz w:val="17"/>
                <w:szCs w:val="17"/>
                <w:color w:val="0000FF"/>
                <w:w w:val="84"/>
              </w:rPr>
              <w:t>316</w:t>
            </w:r>
          </w:p>
        </w:tc>
        <w:tc>
          <w:tcPr>
            <w:tcW w:w="640" w:type="dxa"/>
            <w:vAlign w:val="bottom"/>
          </w:tcPr>
          <w:p>
            <w:pPr>
              <w:ind w:left="400"/>
              <w:spacing w:after="0"/>
              <w:rPr>
                <w:sz w:val="20"/>
                <w:szCs w:val="20"/>
                <w:color w:val="auto"/>
              </w:rPr>
            </w:pPr>
            <w:r>
              <w:rPr>
                <w:rFonts w:ascii="Arial" w:cs="Arial" w:eastAsia="Arial" w:hAnsi="Arial"/>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21.97</w:t>
            </w: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9"/>
              </w:rPr>
              <w:t>7,059</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2"/>
          </w:tcPr>
          <w:p>
            <w:pPr>
              <w:jc w:val="center"/>
              <w:ind w:left="51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02/25/2022</w:t>
            </w: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vMerge w:val="restart"/>
          </w:tcPr>
          <w:p>
            <w:pPr>
              <w:ind w:left="10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3"/>
                <w:szCs w:val="13"/>
                <w:color w:val="0000FF"/>
              </w:rPr>
              <w:t>3,200</w:t>
            </w:r>
          </w:p>
        </w:tc>
        <w:tc>
          <w:tcPr>
            <w:tcW w:w="760" w:type="dxa"/>
            <w:vAlign w:val="bottom"/>
            <w:gridSpan w:val="2"/>
            <w:vMerge w:val="restart"/>
          </w:tcPr>
          <w:p>
            <w:pPr>
              <w:jc w:val="center"/>
              <w:ind w:right="18"/>
              <w:spacing w:after="0"/>
              <w:rPr>
                <w:sz w:val="20"/>
                <w:szCs w:val="20"/>
                <w:color w:val="auto"/>
              </w:rPr>
            </w:pPr>
            <w:r>
              <w:rPr>
                <w:rFonts w:ascii="Arial" w:cs="Arial" w:eastAsia="Arial" w:hAnsi="Arial"/>
                <w:sz w:val="11"/>
                <w:szCs w:val="11"/>
                <w:color w:val="008000"/>
                <w:w w:val="88"/>
              </w:rPr>
              <w:t>(1)</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3,200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7,387</w:t>
            </w:r>
          </w:p>
        </w:tc>
        <w:tc>
          <w:tcPr>
            <w:tcW w:w="28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Shares</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Share</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4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phantom share was the economic equivalent of one Civeo common share and is payable in cash. The phantom shares vest at various times based on grant date. 3,200 shares vested on February 25, 2022.</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/s/Barclay Brewer, by Bradley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03/01/2022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Dodson, as 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19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80" w:type="dxa"/>
            <w:vAlign w:val="bottom"/>
            <w:gridSpan w:val="2"/>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4660"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2022-03-01T15:25:02Z</dcterms:created>
  <dcterms:modified xsi:type="dcterms:W3CDTF">2022-03-01T15:25:02Z</dcterms:modified>
</cp:coreProperties>
</file>