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60" w:right="1780" w:hanging="560"/>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2017</w:t>
      </w:r>
    </w:p>
    <w:p>
      <w:pPr>
        <w:spacing w:after="0" w:line="184"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spacing w:after="0"/>
        <w:tabs>
          <w:tab w:leader="none" w:pos="9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11" w:lineRule="exact"/>
        <w:rPr>
          <w:sz w:val="24"/>
          <w:szCs w:val="24"/>
          <w:color w:val="auto"/>
        </w:rPr>
      </w:pPr>
    </w:p>
    <w:p>
      <w:pPr>
        <w:ind w:left="96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21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1460" w:type="dxa"/>
            <w:vAlign w:val="bottom"/>
          </w:tcPr>
          <w:p>
            <w:pPr>
              <w:spacing w:after="0"/>
              <w:rPr>
                <w:sz w:val="17"/>
                <w:szCs w:val="17"/>
                <w:color w:val="auto"/>
              </w:rPr>
            </w:pPr>
          </w:p>
        </w:tc>
        <w:tc>
          <w:tcPr>
            <w:tcW w:w="198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140" w:type="dxa"/>
            <w:vAlign w:val="bottom"/>
            <w:gridSpan w:val="5"/>
          </w:tcPr>
          <w:p>
            <w:pPr>
              <w:jc w:val="center"/>
              <w:ind w:right="660"/>
              <w:spacing w:after="0"/>
              <w:rPr>
                <w:sz w:val="20"/>
                <w:szCs w:val="20"/>
                <w:color w:val="auto"/>
              </w:rPr>
            </w:pPr>
            <w:r>
              <w:rPr>
                <w:rFonts w:ascii="Arial" w:cs="Arial" w:eastAsia="Arial" w:hAnsi="Arial"/>
                <w:sz w:val="18"/>
                <w:szCs w:val="18"/>
                <w:color w:val="auto"/>
                <w:w w:val="92"/>
              </w:rPr>
              <w:t>(State or other jurisdiction of</w:t>
            </w:r>
          </w:p>
        </w:tc>
        <w:tc>
          <w:tcPr>
            <w:tcW w:w="1980" w:type="dxa"/>
            <w:vAlign w:val="bottom"/>
            <w:gridSpan w:val="5"/>
          </w:tcPr>
          <w:p>
            <w:pPr>
              <w:jc w:val="center"/>
              <w:ind w:left="550"/>
              <w:spacing w:after="0"/>
              <w:rPr>
                <w:sz w:val="20"/>
                <w:szCs w:val="20"/>
                <w:color w:val="auto"/>
              </w:rPr>
            </w:pPr>
            <w:r>
              <w:rPr>
                <w:rFonts w:ascii="Arial" w:cs="Arial" w:eastAsia="Arial" w:hAnsi="Arial"/>
                <w:sz w:val="18"/>
                <w:szCs w:val="18"/>
                <w:color w:val="auto"/>
                <w:w w:val="92"/>
              </w:rPr>
              <w:t>(I.R.S. Employer</w:t>
            </w:r>
          </w:p>
        </w:tc>
      </w:tr>
      <w:tr>
        <w:trPr>
          <w:trHeight w:val="230"/>
        </w:trPr>
        <w:tc>
          <w:tcPr>
            <w:tcW w:w="4140" w:type="dxa"/>
            <w:vAlign w:val="bottom"/>
            <w:gridSpan w:val="5"/>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1980" w:type="dxa"/>
            <w:vAlign w:val="bottom"/>
            <w:gridSpan w:val="5"/>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Allen Center, 333 Clay Street, Suite 4980,</w:t>
            </w:r>
          </w:p>
        </w:tc>
        <w:tc>
          <w:tcPr>
            <w:tcW w:w="10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3"/>
          </w:tcPr>
          <w:p>
            <w:pPr>
              <w:jc w:val="center"/>
              <w:ind w:right="1840"/>
              <w:spacing w:after="0" w:line="196" w:lineRule="exact"/>
              <w:rPr>
                <w:sz w:val="20"/>
                <w:szCs w:val="20"/>
                <w:color w:val="auto"/>
              </w:rPr>
            </w:pPr>
            <w:r>
              <w:rPr>
                <w:rFonts w:ascii="Arial" w:cs="Arial" w:eastAsia="Arial" w:hAnsi="Arial"/>
                <w:sz w:val="18"/>
                <w:szCs w:val="18"/>
                <w:color w:val="auto"/>
                <w:w w:val="88"/>
              </w:rPr>
              <w:t>Houston, Texas</w:t>
            </w:r>
          </w:p>
        </w:tc>
        <w:tc>
          <w:tcPr>
            <w:tcW w:w="880" w:type="dxa"/>
            <w:vAlign w:val="bottom"/>
          </w:tcPr>
          <w:p>
            <w:pPr>
              <w:spacing w:after="0"/>
              <w:rPr>
                <w:sz w:val="17"/>
                <w:szCs w:val="17"/>
                <w:color w:val="auto"/>
              </w:rPr>
            </w:pPr>
          </w:p>
        </w:tc>
        <w:tc>
          <w:tcPr>
            <w:tcW w:w="110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11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510-2400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436" w:right="239" w:bottom="1440" w:gutter="0" w:footer="0" w:header="0"/>
        </w:sect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(Check one):</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14" w:lineRule="exact"/>
        <w:rPr>
          <w:sz w:val="24"/>
          <w:szCs w:val="24"/>
          <w:color w:val="auto"/>
        </w:rPr>
      </w:pPr>
    </w:p>
    <w:p>
      <w:pPr>
        <w:sectPr>
          <w:pgSz w:w="11900" w:h="16838" w:orient="portrait"/>
          <w:cols w:equalWidth="0" w:num="3">
            <w:col w:w="4520" w:space="720"/>
            <w:col w:w="2620" w:space="720"/>
            <w:col w:w="2840"/>
          </w:cols>
          <w:pgMar w:left="240" w:top="436"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5260" w:space="460"/>
            <w:col w:w="5700"/>
          </w:cols>
          <w:pgMar w:left="240" w:top="436" w:right="239" w:bottom="1440" w:gutter="0" w:footer="0" w:header="0"/>
          <w:type w:val="continuous"/>
        </w:sectPr>
      </w:pPr>
    </w:p>
    <w:p>
      <w:pPr>
        <w:spacing w:after="0" w:line="4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jc w:val="right"/>
              <w:ind w:right="970"/>
              <w:spacing w:after="0"/>
              <w:rPr>
                <w:sz w:val="20"/>
                <w:szCs w:val="20"/>
                <w:color w:val="auto"/>
              </w:rPr>
            </w:pPr>
            <w:r>
              <w:rPr>
                <w:rFonts w:ascii="Arial" w:cs="Arial" w:eastAsia="Arial" w:hAnsi="Arial"/>
                <w:sz w:val="18"/>
                <w:szCs w:val="18"/>
                <w:color w:val="auto"/>
              </w:rPr>
              <w:t>YES [ ]</w:t>
            </w:r>
          </w:p>
        </w:tc>
        <w:tc>
          <w:tcPr>
            <w:tcW w:w="5220" w:type="dxa"/>
            <w:vAlign w:val="bottom"/>
          </w:tcPr>
          <w:p>
            <w:pPr>
              <w:ind w:left="80"/>
              <w:spacing w:after="0"/>
              <w:rPr>
                <w:sz w:val="20"/>
                <w:szCs w:val="20"/>
                <w:color w:val="auto"/>
              </w:rPr>
            </w:pPr>
            <w:r>
              <w:rPr>
                <w:rFonts w:ascii="Arial" w:cs="Arial" w:eastAsia="Arial" w:hAnsi="Arial"/>
                <w:sz w:val="18"/>
                <w:szCs w:val="18"/>
                <w:color w:val="auto"/>
              </w:rPr>
              <w:t>NO [X ]</w:t>
            </w:r>
          </w:p>
        </w:tc>
      </w:tr>
      <w:tr>
        <w:trPr>
          <w:trHeight w:val="418"/>
        </w:trPr>
        <w:tc>
          <w:tcPr>
            <w:tcW w:w="6200" w:type="dxa"/>
            <w:vAlign w:val="bottom"/>
          </w:tcPr>
          <w:p>
            <w:pPr>
              <w:jc w:val="right"/>
              <w:spacing w:after="0"/>
              <w:rPr>
                <w:sz w:val="20"/>
                <w:szCs w:val="20"/>
                <w:color w:val="auto"/>
              </w:rPr>
            </w:pPr>
            <w:r>
              <w:rPr>
                <w:rFonts w:ascii="Arial" w:cs="Arial" w:eastAsia="Arial" w:hAnsi="Arial"/>
                <w:sz w:val="18"/>
                <w:szCs w:val="18"/>
                <w:color w:val="auto"/>
                <w:w w:val="89"/>
              </w:rPr>
              <w:t>The Registrant had 132,259,000 common shares outstanding as of October 23, 2017.</w:t>
            </w:r>
          </w:p>
        </w:tc>
        <w:tc>
          <w:tcPr>
            <w:tcW w:w="5220" w:type="dxa"/>
            <w:vAlign w:val="bottom"/>
          </w:tcPr>
          <w:p>
            <w:pPr>
              <w:spacing w:after="0"/>
              <w:rPr>
                <w:sz w:val="24"/>
                <w:szCs w:val="24"/>
                <w:color w:val="auto"/>
              </w:rPr>
            </w:pPr>
          </w:p>
        </w:tc>
      </w:tr>
      <w:tr>
        <w:trPr>
          <w:trHeight w:val="432"/>
        </w:trPr>
        <w:tc>
          <w:tcPr>
            <w:tcW w:w="620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5220" w:type="dxa"/>
            <w:vAlign w:val="bottom"/>
          </w:tcPr>
          <w:p>
            <w:pPr>
              <w:spacing w:after="0"/>
              <w:rPr>
                <w:sz w:val="24"/>
                <w:szCs w:val="24"/>
                <w:color w:val="auto"/>
              </w:rPr>
            </w:pPr>
          </w:p>
        </w:tc>
      </w:tr>
      <w:tr>
        <w:trPr>
          <w:trHeight w:val="115"/>
        </w:trPr>
        <w:tc>
          <w:tcPr>
            <w:tcW w:w="620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436"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80" w:type="dxa"/>
            <w:vAlign w:val="bottom"/>
          </w:tcPr>
          <w:p>
            <w:pPr>
              <w:jc w:val="center"/>
              <w:ind w:left="810"/>
              <w:spacing w:after="0"/>
              <w:rPr>
                <w:sz w:val="20"/>
                <w:szCs w:val="20"/>
                <w:color w:val="auto"/>
              </w:rPr>
            </w:pPr>
            <w:r>
              <w:rPr>
                <w:rFonts w:ascii="Arial" w:cs="Arial" w:eastAsia="Arial" w:hAnsi="Arial"/>
                <w:sz w:val="18"/>
                <w:szCs w:val="18"/>
                <w:color w:val="auto"/>
                <w:w w:val="95"/>
              </w:rPr>
              <w:t>CIVEO CORPORATION</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80" w:type="dxa"/>
            <w:vAlign w:val="bottom"/>
          </w:tcPr>
          <w:p>
            <w:pPr>
              <w:jc w:val="center"/>
              <w:ind w:left="830"/>
              <w:spacing w:after="0"/>
              <w:rPr>
                <w:sz w:val="20"/>
                <w:szCs w:val="20"/>
                <w:color w:val="auto"/>
              </w:rPr>
            </w:pPr>
            <w:r>
              <w:rPr>
                <w:rFonts w:ascii="Arial" w:cs="Arial" w:eastAsia="Arial" w:hAnsi="Arial"/>
                <w:sz w:val="18"/>
                <w:szCs w:val="18"/>
                <w:color w:val="auto"/>
              </w:rPr>
              <w:t>INDEX</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480" w:type="dxa"/>
            <w:vAlign w:val="bottom"/>
          </w:tcPr>
          <w:p>
            <w:pPr>
              <w:spacing w:after="0"/>
              <w:rPr>
                <w:sz w:val="24"/>
                <w:szCs w:val="24"/>
                <w:color w:val="auto"/>
              </w:rPr>
            </w:pPr>
          </w:p>
        </w:tc>
        <w:tc>
          <w:tcPr>
            <w:tcW w:w="940" w:type="dxa"/>
            <w:vAlign w:val="bottom"/>
            <w:gridSpan w:val="3"/>
          </w:tcPr>
          <w:p>
            <w:pPr>
              <w:ind w:left="24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Part I -- FINANCIAL INFORMATION</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Financial Statements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800"/>
              <w:spacing w:after="0"/>
              <w:rPr>
                <w:sz w:val="20"/>
                <w:szCs w:val="20"/>
                <w:color w:val="auto"/>
              </w:rPr>
            </w:pPr>
            <w:r>
              <w:rPr>
                <w:rFonts w:ascii="Arial" w:cs="Arial" w:eastAsia="Arial" w:hAnsi="Arial"/>
                <w:sz w:val="18"/>
                <w:szCs w:val="18"/>
                <w:color w:val="auto"/>
                <w:w w:val="95"/>
              </w:rPr>
              <w:t>Unaudited Consolidated Statements of Operations for the Three and Nine Month Periods Ended September 30, 2017 and 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8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w w:val="92"/>
              </w:rPr>
              <w:t>Unaudited Consolidated Statements of Comprehensive Income (Loss) for the Three and Nine Month Periods Ended September 30,</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2017 and 2016</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800"/>
              <w:spacing w:after="0"/>
              <w:rPr>
                <w:sz w:val="20"/>
                <w:szCs w:val="20"/>
                <w:color w:val="auto"/>
              </w:rPr>
            </w:pPr>
            <w:r>
              <w:rPr>
                <w:rFonts w:ascii="Arial" w:cs="Arial" w:eastAsia="Arial" w:hAnsi="Arial"/>
                <w:sz w:val="18"/>
                <w:szCs w:val="18"/>
                <w:color w:val="auto"/>
              </w:rPr>
              <w:t>Consolidated Balance Sheets – September 30, 2017 (unaudited) and December 31, 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Unaudited Consolidated Statements of Changes in Shareholders’ Equity for the Nine Months Ended September 30, 2017 and 2016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800"/>
              <w:spacing w:after="0"/>
              <w:rPr>
                <w:sz w:val="20"/>
                <w:szCs w:val="20"/>
                <w:color w:val="auto"/>
              </w:rPr>
            </w:pPr>
            <w:r>
              <w:rPr>
                <w:rFonts w:ascii="Arial" w:cs="Arial" w:eastAsia="Arial" w:hAnsi="Arial"/>
                <w:sz w:val="18"/>
                <w:szCs w:val="18"/>
                <w:color w:val="auto"/>
              </w:rPr>
              <w:t>Unaudited Consolidated Statements of Cash Flows for the Nine Months Ended September 30, 2017 and 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to Unaudited Consolidated Financial Statements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Item 4. Controls and Procedures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1160"/>
              <w:spacing w:after="0"/>
              <w:rPr>
                <w:sz w:val="20"/>
                <w:szCs w:val="20"/>
                <w:color w:val="auto"/>
              </w:rPr>
            </w:pPr>
            <w:r>
              <w:rPr>
                <w:rFonts w:ascii="Arial" w:cs="Arial" w:eastAsia="Arial" w:hAnsi="Arial"/>
                <w:sz w:val="18"/>
                <w:szCs w:val="18"/>
                <w:color w:val="auto"/>
              </w:rPr>
              <w:t>Part II -- OTHER INFORMATION</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Item 1A. Risk Factors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Item 6. Exhibits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640"/>
              <w:spacing w:after="0"/>
              <w:rPr>
                <w:sz w:val="20"/>
                <w:szCs w:val="20"/>
                <w:color w:val="auto"/>
              </w:rPr>
            </w:pPr>
            <w:r>
              <w:rPr>
                <w:rFonts w:ascii="Arial" w:cs="Arial" w:eastAsia="Arial" w:hAnsi="Arial"/>
                <w:sz w:val="18"/>
                <w:szCs w:val="18"/>
                <w:color w:val="auto"/>
              </w:rPr>
              <w:t>(a) Index of Exhibits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Signature Page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50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95,564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97,792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274,438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280,928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Service and other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61,534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179,044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13,644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37,729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333,371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387,478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net loss per share attributable to Civeo Corporation common shareholders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loss per share attributable to Civeo Corporation common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130,889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107,118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127,512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 net of taxes of zero</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38,691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(32,370)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Comprehensive income attributable to noncontrolling interest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Civeo Corporation.</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rPr>
              <w:t>CIVEO CORPORATION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CONSOLIDATED BALANCE SHEETS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7"/>
              </w:rPr>
              <w:t>SEPTEMBER 30,</w:t>
            </w:r>
          </w:p>
        </w:tc>
        <w:tc>
          <w:tcPr>
            <w:tcW w:w="10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jc w:val="right"/>
              <w:ind w:right="3890"/>
              <w:spacing w:after="0"/>
              <w:rPr>
                <w:sz w:val="20"/>
                <w:szCs w:val="20"/>
                <w:color w:val="auto"/>
              </w:rPr>
            </w:pPr>
            <w:r>
              <w:rPr>
                <w:rFonts w:ascii="Arial" w:cs="Arial" w:eastAsia="Arial" w:hAnsi="Arial"/>
                <w:sz w:val="18"/>
                <w:szCs w:val="18"/>
                <w:color w:val="auto"/>
              </w:rPr>
              <w:t>ASSETS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54,002</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789,710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24,700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28,039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10,129</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-582295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-307975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00" w:space="720"/>
            <w:col w:w="330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1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19,429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307,522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403,921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434,456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shares (no par value; 550,000,000 shares authorized, 132,424,451 shares and 108,171,329 shares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respectively, and 132,259,000 shares and 108,103,048 shares outstanding, respectively)</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1,382,160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(531,534)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Common shares held in treasury at cost, 165,451 and 68,281 shares, respectively</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(324,563)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525,705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475,467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525,829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475,990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929,750</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Paid-in</w:t>
            </w:r>
          </w:p>
        </w:tc>
        <w:tc>
          <w:tcPr>
            <w:tcW w:w="1440" w:type="dxa"/>
            <w:vAlign w:val="bottom"/>
            <w:gridSpan w:val="4"/>
          </w:tcPr>
          <w:p>
            <w:pPr>
              <w:ind w:left="22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Noncontrolling</w:t>
            </w:r>
          </w:p>
        </w:tc>
        <w:tc>
          <w:tcPr>
            <w:tcW w:w="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Par Value</w:t>
            </w:r>
          </w:p>
        </w:tc>
        <w:tc>
          <w:tcPr>
            <w:tcW w:w="12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Shares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1,305,930</w:t>
            </w:r>
          </w:p>
        </w:tc>
        <w:tc>
          <w:tcPr>
            <w:tcW w:w="4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(376,376)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(366,309)</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(80,439)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1,310,465</w:t>
            </w:r>
          </w:p>
        </w:tc>
        <w:tc>
          <w:tcPr>
            <w:tcW w:w="4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(456,815)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(339,799)</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514,754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Balance, December 31, 2016</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1,311,226</w:t>
            </w:r>
          </w:p>
        </w:tc>
        <w:tc>
          <w:tcPr>
            <w:tcW w:w="4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(472,764)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(362,930)</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523</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(58,134)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6"/>
              </w:rPr>
              <w:t>Cumulative effect of implementation of</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ASU 2016-09.</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Isssuance of common shares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64,817</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1,382,160</w:t>
            </w:r>
          </w:p>
        </w:tc>
        <w:tc>
          <w:tcPr>
            <w:tcW w:w="4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(531,534)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(324,563)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525,829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05" w:lineRule="auto"/>
        <w:rPr>
          <w:sz w:val="20"/>
          <w:szCs w:val="20"/>
          <w:color w:val="auto"/>
        </w:rPr>
      </w:pPr>
      <w:r>
        <w:rPr>
          <w:rFonts w:ascii="Arial" w:cs="Arial" w:eastAsia="Arial" w:hAnsi="Arial"/>
          <w:sz w:val="16"/>
          <w:szCs w:val="16"/>
          <w:b w:val="1"/>
          <w:bCs w:val="1"/>
          <w:color w:val="auto"/>
        </w:rPr>
        <w:t xml:space="preserve">Balance, December 31, 2016 </w:t>
      </w:r>
      <w:r>
        <w:rPr>
          <w:rFonts w:ascii="Arial" w:cs="Arial" w:eastAsia="Arial" w:hAnsi="Arial"/>
          <w:sz w:val="16"/>
          <w:szCs w:val="16"/>
          <w:color w:val="auto"/>
        </w:rPr>
        <w:t>Issuance of common shares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285559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285559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5595"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Balance, September 30, 2017</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6640"/>
        <w:spacing w:after="0"/>
        <w:rPr>
          <w:sz w:val="20"/>
          <w:szCs w:val="20"/>
          <w:color w:val="auto"/>
        </w:rPr>
      </w:pPr>
      <w:r>
        <w:rPr>
          <w:rFonts w:ascii="Arial" w:cs="Arial" w:eastAsia="Arial" w:hAnsi="Arial"/>
          <w:sz w:val="18"/>
          <w:szCs w:val="18"/>
          <w:b w:val="1"/>
          <w:bCs w:val="1"/>
          <w:color w:val="auto"/>
        </w:rPr>
        <w:t>Common</w:t>
      </w:r>
    </w:p>
    <w:p>
      <w:pPr>
        <w:spacing w:after="0" w:line="27" w:lineRule="exact"/>
        <w:rPr>
          <w:sz w:val="20"/>
          <w:szCs w:val="20"/>
          <w:color w:val="auto"/>
        </w:rPr>
      </w:pPr>
    </w:p>
    <w:p>
      <w:pPr>
        <w:jc w:val="center"/>
        <w:ind w:right="6640"/>
        <w:spacing w:after="0"/>
        <w:rPr>
          <w:sz w:val="20"/>
          <w:szCs w:val="20"/>
          <w:color w:val="auto"/>
        </w:rPr>
      </w:pPr>
      <w:r>
        <w:rPr>
          <w:rFonts w:ascii="Arial" w:cs="Arial" w:eastAsia="Arial" w:hAnsi="Arial"/>
          <w:sz w:val="18"/>
          <w:szCs w:val="18"/>
          <w:b w:val="1"/>
          <w:bCs w:val="1"/>
          <w:color w:val="auto"/>
        </w:rPr>
        <w:t>Stock (in</w:t>
      </w:r>
    </w:p>
    <w:p>
      <w:pPr>
        <w:spacing w:after="0" w:line="9" w:lineRule="exact"/>
        <w:rPr>
          <w:sz w:val="20"/>
          <w:szCs w:val="20"/>
          <w:color w:val="auto"/>
        </w:rPr>
      </w:pPr>
    </w:p>
    <w:p>
      <w:pPr>
        <w:jc w:val="center"/>
        <w:ind w:right="6640"/>
        <w:spacing w:after="0"/>
        <w:rPr>
          <w:sz w:val="20"/>
          <w:szCs w:val="20"/>
          <w:color w:val="auto"/>
        </w:rPr>
      </w:pPr>
      <w:r>
        <w:rPr>
          <w:rFonts w:ascii="Arial" w:cs="Arial" w:eastAsia="Arial" w:hAnsi="Arial"/>
          <w:sz w:val="18"/>
          <w:szCs w:val="18"/>
          <w:b w:val="1"/>
          <w:bCs w:val="1"/>
          <w:color w:val="auto"/>
        </w:rPr>
        <w:t>thousands)</w:t>
      </w:r>
    </w:p>
    <w:p>
      <w:pPr>
        <w:spacing w:after="0" w:line="9" w:lineRule="exact"/>
        <w:rPr>
          <w:sz w:val="20"/>
          <w:szCs w:val="20"/>
          <w:color w:val="auto"/>
        </w:rPr>
      </w:pPr>
    </w:p>
    <w:p>
      <w:pPr>
        <w:jc w:val="right"/>
        <w:ind w:right="7040"/>
        <w:spacing w:after="0"/>
        <w:rPr>
          <w:sz w:val="20"/>
          <w:szCs w:val="20"/>
          <w:color w:val="auto"/>
        </w:rPr>
      </w:pPr>
      <w:r>
        <w:rPr>
          <w:rFonts w:ascii="Arial" w:cs="Arial" w:eastAsia="Arial" w:hAnsi="Arial"/>
          <w:sz w:val="18"/>
          <w:szCs w:val="18"/>
          <w:b w:val="1"/>
          <w:bCs w:val="1"/>
          <w:color w:val="auto"/>
        </w:rPr>
        <w:t>108,103</w:t>
      </w:r>
    </w:p>
    <w:p>
      <w:pPr>
        <w:spacing w:after="0" w:line="9" w:lineRule="exact"/>
        <w:rPr>
          <w:sz w:val="20"/>
          <w:szCs w:val="20"/>
          <w:color w:val="auto"/>
        </w:rPr>
      </w:pPr>
    </w:p>
    <w:p>
      <w:pPr>
        <w:jc w:val="right"/>
        <w:ind w:right="7040"/>
        <w:spacing w:after="0"/>
        <w:rPr>
          <w:sz w:val="20"/>
          <w:szCs w:val="20"/>
          <w:color w:val="auto"/>
        </w:rPr>
      </w:pPr>
      <w:r>
        <w:rPr>
          <w:rFonts w:ascii="Arial" w:cs="Arial" w:eastAsia="Arial" w:hAnsi="Arial"/>
          <w:sz w:val="18"/>
          <w:szCs w:val="18"/>
          <w:color w:val="auto"/>
        </w:rPr>
        <w:t>23,000</w:t>
      </w:r>
    </w:p>
    <w:p>
      <w:pPr>
        <w:spacing w:after="0" w:line="9" w:lineRule="exact"/>
        <w:rPr>
          <w:sz w:val="20"/>
          <w:szCs w:val="20"/>
          <w:color w:val="auto"/>
        </w:rPr>
      </w:pPr>
    </w:p>
    <w:p>
      <w:pPr>
        <w:jc w:val="right"/>
        <w:ind w:right="7040"/>
        <w:spacing w:after="0"/>
        <w:rPr>
          <w:sz w:val="20"/>
          <w:szCs w:val="20"/>
          <w:color w:val="auto"/>
        </w:rPr>
      </w:pPr>
      <w:r>
        <w:rPr>
          <w:rFonts w:ascii="Arial" w:cs="Arial" w:eastAsia="Arial" w:hAnsi="Arial"/>
          <w:sz w:val="18"/>
          <w:szCs w:val="18"/>
          <w:color w:val="auto"/>
        </w:rPr>
        <w:t>1,156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132,259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14605</wp:posOffset>
            </wp:positionV>
            <wp:extent cx="591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31750</wp:posOffset>
            </wp:positionV>
            <wp:extent cx="591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4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320" w:space="720"/>
            <w:col w:w="838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28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8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5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(57,791)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(Gain) loss on disposal of assets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(benefit) for loss on receivables, net of recoveries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(7,032)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flows provided by 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(8,020)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Term loan repayments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Revolving credit borrowings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repayments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(84,462)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Net cash flows provided by (used in) financing activities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52,217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Pr>
          <w:p>
            <w:pPr>
              <w:jc w:val="right"/>
              <w:ind w:right="75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54,002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89"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On February 7, 2017, we closed a public offering of 23,000,000 common shares at $3.00 per share. We used a portion of the net proceeds of $64.8 million from the offering to repay amounts outstanding under several revolving credit facilities provided by our primary credit agreement (the Credit Agreement) and are using the remaining proceeds for general corporate purposes.</w:t>
      </w:r>
    </w:p>
    <w:p>
      <w:pPr>
        <w:spacing w:after="0" w:line="181" w:lineRule="exact"/>
        <w:rPr>
          <w:sz w:val="20"/>
          <w:szCs w:val="20"/>
          <w:color w:val="auto"/>
        </w:rPr>
      </w:pPr>
    </w:p>
    <w:p>
      <w:pPr>
        <w:ind w:right="500" w:firstLine="259"/>
        <w:spacing w:after="0" w:line="312" w:lineRule="auto"/>
        <w:rPr>
          <w:sz w:val="20"/>
          <w:szCs w:val="20"/>
          <w:color w:val="auto"/>
        </w:rPr>
      </w:pPr>
      <w:r>
        <w:rPr>
          <w:rFonts w:ascii="Arial" w:cs="Arial" w:eastAsia="Arial" w:hAnsi="Arial"/>
          <w:sz w:val="16"/>
          <w:szCs w:val="16"/>
          <w:color w:val="auto"/>
        </w:rPr>
        <w:t>On February 17, 2017, the third amendment to the Credit Agreement (as so amended, the Amended Credit Agreement) became effective, which: (i) reduced the aggregate revolving loan commitments; (ii) added one additional level to the total leverage-based grid for determining interest rates; and (iii) increased the maximum leverage ratio allowed under the Amended Credit Agreement. For further information, please see Note 7 –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December 31, 2016 consolidated balance sheet to conform to the current year presentation.</w:t>
      </w:r>
    </w:p>
    <w:p>
      <w:pPr>
        <w:spacing w:after="0" w:line="178"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2016.</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The changes to the accounting for forfeitures and excess tax benefits or deficiencies should be applied using a modified retrospective transition method with a cumulative-effect adjustment to retained earnings. Effective with our quarterly report on Form 10-Q for the quarter ended March 31, 2017, we have adopted this standard effective January 1, 2017. Upon adoption of this standard, we no longer estimate forfeitures in advance and now recognize forfeitures as they occur and have reflected a cumulative effect adjustment of $0.6 million to accumulated deficit in the accompanying unaudited consolidated balance sheet as of September 30, 2017. In addition, this new standard requires that companies classify the cash paid to a tax authority when shares are withheld to satisfy the employer’s statutory income tax withholding obligation as a financing activity. As a result of our withholding of shares for tax-withholding purposes, during the year ended December 31, 2016, we withheld approximately 68,000 shares at a total value of $0.1 million. As a result of our adoption of ASU 2016-09, we reclassified $0.1 million of tax-withholdings from operating activities to financing activities on the accompanying unaudited consolidated statement of cash flows for the nine months ended September 30, 2016.</w:t>
      </w:r>
    </w:p>
    <w:p>
      <w:pPr>
        <w:spacing w:after="0" w:line="18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7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Accordingly, we plan to adopt this standard in the first quarter of 2018. ASC 606 allows either full retrospective or modified retrospective transition, and we currently plan to use the modified retrospective method of adoption. We are continuing to evaluate the impact of this new standard on our consolidated financial statements upon adoption. Our evaluation includes performing a detailed review of key contracts representative of our different businesses and comparing historical accounting policies and practices to the new standard. Through the third quarter of 2017, we have reviewed a material amount of our lodge and village contracts, as well as other revenue generating contracts, in our Canadian, U.S. and Australian segments. Based on our review of these contracts, we do not expect the new revenue recognition standard to have a material impact on our consolidated financial statements upon adoption.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September 30, 2017 and December 31, 2016,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third quarter of 2017 and the first and third quarters of 2016, we wrote down certain long-lived assets to their fair values.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During the third quarter of 2017 and 2016, our estimates of fair value of certain undeveloped land positions in British Columbia were based on appraisals from third parties.</w:t>
      </w:r>
    </w:p>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Additional information regarding selected balance sheet accounts at September 30, 2017 and December 31, 2016 is presented below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Trade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40,790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39,442</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r>
      <w:tr>
        <w:trPr>
          <w:trHeight w:val="20"/>
        </w:trPr>
        <w:tc>
          <w:tcPr>
            <w:tcW w:w="6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r>
      <w:tr>
        <w:trPr>
          <w:trHeight w:val="20"/>
        </w:trPr>
        <w:tc>
          <w:tcPr>
            <w:tcW w:w="6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56,302</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2,371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r>
      <w:tr>
        <w:trPr>
          <w:trHeight w:val="20"/>
        </w:trPr>
        <w:tc>
          <w:tcPr>
            <w:tcW w:w="6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third quarter of 2016, we recorded a $0.9 million write-down of inventory at our modular construction and manufacturing plant in Canada, which is included in Service and other costs in our accompanying unaudited consolidated statements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5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rPr>
              <w:t>CIVEO CORPORATION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3940" w:type="dxa"/>
            <w:vAlign w:val="bottom"/>
            <w:gridSpan w:val="4"/>
          </w:tcPr>
          <w:p>
            <w:pPr>
              <w:jc w:val="center"/>
              <w:spacing w:after="0"/>
              <w:rPr>
                <w:sz w:val="20"/>
                <w:szCs w:val="20"/>
                <w:color w:val="auto"/>
              </w:rPr>
            </w:pPr>
            <w:r>
              <w:rPr>
                <w:rFonts w:ascii="Arial" w:cs="Arial" w:eastAsia="Arial" w:hAnsi="Arial"/>
                <w:sz w:val="18"/>
                <w:szCs w:val="18"/>
                <w:b w:val="1"/>
                <w:bCs w:val="1"/>
                <w:color w:val="auto"/>
              </w:rPr>
              <w:t>NOTES TO UNAUDITED CONSOLIDATED</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35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35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3"/>
              </w:rPr>
              <w:t>(Continued)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September 30, 2017</w:t>
            </w:r>
          </w:p>
        </w:tc>
        <w:tc>
          <w:tcPr>
            <w:tcW w:w="16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2016</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Land</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42,563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41,122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358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3 - 15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1,665,496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1,554,986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580" w:type="dxa"/>
            <w:vAlign w:val="bottom"/>
            <w:gridSpan w:val="2"/>
          </w:tcPr>
          <w:p>
            <w:pPr>
              <w:ind w:left="2760"/>
              <w:spacing w:after="0"/>
              <w:rPr>
                <w:sz w:val="20"/>
                <w:szCs w:val="20"/>
                <w:color w:val="auto"/>
              </w:rPr>
            </w:pPr>
            <w:r>
              <w:rPr>
                <w:rFonts w:ascii="Arial" w:cs="Arial" w:eastAsia="Arial" w:hAnsi="Arial"/>
                <w:sz w:val="18"/>
                <w:szCs w:val="18"/>
                <w:color w:val="auto"/>
              </w:rPr>
              <w:t>5 - 20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31,015</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28,104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58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4 - 15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580" w:type="dxa"/>
            <w:vAlign w:val="bottom"/>
            <w:gridSpan w:val="2"/>
          </w:tcPr>
          <w:p>
            <w:pPr>
              <w:ind w:left="2760"/>
              <w:spacing w:after="0"/>
              <w:rPr>
                <w:sz w:val="20"/>
                <w:szCs w:val="20"/>
                <w:color w:val="auto"/>
              </w:rPr>
            </w:pPr>
            <w:r>
              <w:rPr>
                <w:rFonts w:ascii="Arial" w:cs="Arial" w:eastAsia="Arial" w:hAnsi="Arial"/>
                <w:sz w:val="18"/>
                <w:szCs w:val="18"/>
                <w:color w:val="auto"/>
              </w:rPr>
              <w:t>3 - 7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54,770</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29,948</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58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3 - 5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3,163</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23,016</w:t>
            </w:r>
          </w:p>
        </w:tc>
      </w:tr>
      <w:tr>
        <w:trPr>
          <w:trHeight w:val="20"/>
        </w:trPr>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1,822,568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1,701,568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(1,066,430)</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(911,858)</w:t>
            </w:r>
          </w:p>
        </w:tc>
      </w:tr>
      <w:tr>
        <w:trPr>
          <w:trHeight w:val="20"/>
        </w:trPr>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property, plant and equipment, net</w:t>
            </w:r>
          </w:p>
        </w:tc>
        <w:tc>
          <w:tcPr>
            <w:tcW w:w="2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789,710</w:t>
            </w:r>
          </w:p>
        </w:tc>
      </w:tr>
      <w:tr>
        <w:trPr>
          <w:trHeight w:val="827"/>
        </w:trPr>
        <w:tc>
          <w:tcPr>
            <w:tcW w:w="312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CCEEFF"/>
            </w:tcBorders>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Accrued compensation</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16,270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13,189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taxes, other than income taxes</w:t>
            </w: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Accrued interest</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r>
      <w:tr>
        <w:trPr>
          <w:trHeight w:val="20"/>
        </w:trPr>
        <w:tc>
          <w:tcPr>
            <w:tcW w:w="31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19,429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14,822</w:t>
            </w:r>
          </w:p>
        </w:tc>
      </w:tr>
      <w:tr>
        <w:trPr>
          <w:trHeight w:val="20"/>
        </w:trPr>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Charges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pre-tax impairment charges recorded during the nine month period ended September 30, 2017, which are included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Impairment expense in our accompanying unaudited consolidated statements of operations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Canada</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Australia</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2017</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Long-lived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4,360</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4,360</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b w:val="1"/>
          <w:bCs w:val="1"/>
          <w:i w:val="1"/>
          <w:iCs w:val="1"/>
          <w:color w:val="auto"/>
        </w:rPr>
        <w:t xml:space="preserve">Quarter ended September 30, 2017. </w:t>
      </w:r>
      <w:r>
        <w:rPr>
          <w:rFonts w:ascii="Arial" w:cs="Arial" w:eastAsia="Arial" w:hAnsi="Arial"/>
          <w:sz w:val="17"/>
          <w:szCs w:val="17"/>
          <w:color w:val="auto"/>
        </w:rPr>
        <w:t>During the third quarter of 2017, we made the decision to vacate an open camp facility in Canada and relocated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to a newly awarded contract for a Canadian mobile camp. We assessed the carrying value of the remaining assets to determine if they continued to be recoverable based on their estimated future cash flows. Based on the assessment, the carrying values of certain leasehold improvements were determined to not be fully recoverable, and we proceeded to compare the estimated fair value of those assets to their respective carrying values. Accordingly, the value of the remaining leasehold improvements were written down to their fair value of zero. As a result of the analysis described above, we recorded an impairment expense of $3.2 million associated with our leased properties in Canada.</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also recorded an impairment expense of $1.2 million related to undeveloped land positions in Canada, the fair market value of which was negatively impacted by the recent cancellation of an LNG project in British Columbia.</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Impairment Charges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pre-tax impairment charges recorded during the nine month period ended September 30, 2016, which are included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Impairment expense in our accompanying unaudited consolidated statements of operations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Canada</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Australia</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U.S.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2016</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Long-lived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8,400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Long-lived assets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37,729</w:t>
            </w:r>
          </w:p>
        </w:tc>
        <w:tc>
          <w:tcPr>
            <w:tcW w:w="10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37,729</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37,729</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46,129</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Quarter ended September 30, 2016. </w:t>
      </w:r>
      <w:r>
        <w:rPr>
          <w:rFonts w:ascii="Arial" w:cs="Arial" w:eastAsia="Arial" w:hAnsi="Arial"/>
          <w:sz w:val="17"/>
          <w:szCs w:val="17"/>
          <w:color w:val="auto"/>
        </w:rPr>
        <w:t>During the third quarter of 2016, we identified an indicator that certain asset groups used, or expected to be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conjunction with potential LNG projects in British Columbia may be impaired due to market developments occurring in the third quarter of 2016, including the delay in the final investment decision regarding an LNG project in British Columbia. We assessed the carrying value of each of the asset groups to determine if they continued to be recoverable based on their estimated future cash flows. Based on the assessment, the carrying values of the mobile camp assets and certain undeveloped land positions in British Columbia were determined to not be fully recoverable, and we proceeded to compare the estimated fair value of those assets groups to their respective carrying values. Accordingly, the mobile camp assets and undeveloped land positions were written down to their estimated fair values of $26.6 million and $5.6 million, respectively.</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a result of the analysis described above, we recorded an impairment expense of $37.7 million associated with our mobile camp assets in Canada and undeveloped land positions in the British Columbia LNG market.</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Quarter ended March 31, 2016. </w:t>
      </w:r>
      <w:r>
        <w:rPr>
          <w:rFonts w:ascii="Arial" w:cs="Arial" w:eastAsia="Arial" w:hAnsi="Arial"/>
          <w:sz w:val="18"/>
          <w:szCs w:val="18"/>
          <w:color w:val="auto"/>
        </w:rPr>
        <w:t>During the first quarter of 2016, we recorded an impairment expense of $8.4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our U.S. segment, due to a continued reduction of U.S. drilling activity in the Bakken Shale region. These fixed assets were written down to their fair value of $3.8 million. We assessed the carrying values of the asset groups to determine if they continued to be recoverable based on estimated future cash flows. Based on the assessment, the carrying values were determined to not be recoverable, and we proceeded to compare the fair value of those assets groups to their respective carrying values.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 attributable to Civeo</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(22,331)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(42,131)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(58,134)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(22,331)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(42,131)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(58,134)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107,118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127,512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Basic loss per share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diluted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spacing w:after="0" w:line="243" w:lineRule="exact"/>
              <w:rPr>
                <w:sz w:val="20"/>
                <w:szCs w:val="20"/>
                <w:color w:val="auto"/>
              </w:rPr>
            </w:pPr>
            <w:r>
              <w:rPr>
                <w:rFonts w:ascii="Arial" w:cs="Arial" w:eastAsia="Arial" w:hAnsi="Arial"/>
                <w:sz w:val="17"/>
                <w:szCs w:val="17"/>
                <w:color w:val="auto"/>
              </w:rPr>
              <w:t xml:space="preserve">Effect of dilutive securities </w:t>
            </w:r>
            <w:r>
              <w:rPr>
                <w:rFonts w:ascii="Arial" w:cs="Arial" w:eastAsia="Arial" w:hAnsi="Arial"/>
                <w:sz w:val="28"/>
                <w:szCs w:val="28"/>
                <w:color w:val="auto"/>
                <w:vertAlign w:val="superscript"/>
              </w:rPr>
              <w:t>(1)</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right="60" w:hanging="432"/>
        <w:spacing w:after="0" w:line="256" w:lineRule="auto"/>
        <w:tabs>
          <w:tab w:leader="none" w:pos="4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and nine months ended September 30, 2017 and 2016. In the three months ended September 30, 2017 and 2016, we excluded from the calculation 2.2 million and 1.6 million share based awards, respectively, since the effect would have been anti-dilutive. In the nine months ended September 30, 2017 and 2016, we excluded from the calculation 2.1 million and 1.5 million share based awards, respectively, since the effect would have been anti-dilutive.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and December 31, 2016,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195"/>
        </w:trPr>
        <w:tc>
          <w:tcPr>
            <w:tcW w:w="7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U.S. term loan, which matures on May 28, 2019; weighted average interest rate of 4.3% for the nine-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month period ended September 30, 2017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w:t>
            </w:r>
          </w:p>
        </w:tc>
      </w:tr>
      <w:tr>
        <w:trPr>
          <w:trHeight w:val="216"/>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Canadian term loan, which matures on May 28, 2019; 1.25% of aggregate principal repayable per</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1"/>
              </w:rPr>
              <w:t>quarter; weighted average interest rate of 4.3% for the nine-month period ended September 30, 2017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303,405</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293,763</w:t>
            </w:r>
          </w:p>
        </w:tc>
      </w:tr>
      <w:tr>
        <w:trPr>
          <w:trHeight w:val="216"/>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U.S. revolving credit facility, which matures on May 28, 2019, weighted average interest rate of 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 the nine-month period ended September 30, 2017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weighted average interest rate of</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5.1% for the nine-month period ended September 30, 2017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23,089</w:t>
            </w:r>
          </w:p>
        </w:tc>
      </w:tr>
      <w:tr>
        <w:trPr>
          <w:trHeight w:val="216"/>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weighted average interest rate of</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5.1% for the nine-month period ended September 30, 2017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9,533</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Australian revolving credit facility, which matures on May 28, 2019, weighted average interest rate of 5.0% for the nine-month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-293370</wp:posOffset>
            </wp:positionV>
            <wp:extent cx="687768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8776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debt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Current portion of long-term debt, including unamortized debt issuance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8776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7800" w:val="left"/>
        </w:tabs>
        <w:rPr>
          <w:sz w:val="20"/>
          <w:szCs w:val="20"/>
          <w:color w:val="auto"/>
        </w:rPr>
      </w:pPr>
      <w:r>
        <w:rPr>
          <w:rFonts w:ascii="Arial" w:cs="Arial" w:eastAsia="Arial" w:hAnsi="Arial"/>
          <w:sz w:val="18"/>
          <w:szCs w:val="18"/>
          <w:color w:val="auto"/>
        </w:rPr>
        <w:t>Long-term debt, less current maturities</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r>
      <w:tr>
        <w:trPr>
          <w:trHeight w:val="195"/>
        </w:trPr>
        <w:tc>
          <w:tcPr>
            <w:tcW w:w="8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6"/>
              </w:rPr>
              <w:t>327,780</w:t>
            </w:r>
          </w:p>
        </w:tc>
        <w:tc>
          <w:tcPr>
            <w:tcW w:w="5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357,267</w:t>
            </w:r>
          </w:p>
        </w:tc>
      </w:tr>
      <w:tr>
        <w:trPr>
          <w:trHeight w:val="23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3,587</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r>
      <w:tr>
        <w:trPr>
          <w:trHeight w:val="195"/>
        </w:trPr>
        <w:tc>
          <w:tcPr>
            <w:tcW w:w="8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6"/>
              </w:rPr>
              <w:t>324,193</w:t>
            </w:r>
          </w:p>
        </w:tc>
        <w:tc>
          <w:tcPr>
            <w:tcW w:w="5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353,271</w:t>
            </w:r>
          </w:p>
        </w:tc>
      </w:tr>
      <w:tr>
        <w:trPr>
          <w:trHeight w:val="23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16,671</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15,471</w:t>
            </w:r>
          </w:p>
        </w:tc>
      </w:tr>
      <w:tr>
        <w:trPr>
          <w:trHeight w:val="21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307,522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337,800</w:t>
            </w:r>
          </w:p>
        </w:tc>
      </w:tr>
      <w:tr>
        <w:trPr>
          <w:trHeight w:val="20"/>
        </w:trPr>
        <w:tc>
          <w:tcPr>
            <w:tcW w:w="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-25400</wp:posOffset>
            </wp:positionV>
            <wp:extent cx="960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-8255</wp:posOffset>
            </wp:positionV>
            <wp:extent cx="960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680"/>
          </w:cols>
          <w:pgMar w:left="240" w:top="580" w:right="239" w:bottom="1440" w:gutter="0" w:footer="0" w:header="0"/>
          <w:type w:val="continuous"/>
        </w:sectPr>
      </w:pPr>
    </w:p>
    <w:p>
      <w:pPr>
        <w:spacing w:after="0" w:line="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did not have any capitalized interest to net against interest expense for either of the three-month or nine-month periods ended September 30, 2017 or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As of December 31, 2016, our Credit Agreement, as then amended to date, provided for: (i) a $350.0 million, revolving credit facility scheduled to mature on May 28, 2019, allocated as follows: (A) a $50.0 million senior secured revolving credit facility in favor of certain of our U.S. subsidiaries, as borrowers; (B) a $100.0 million senior secured revolving credit facility in favor of Civeo and certain of our Canadian subsidiaries, as borrowers; (C) a $100.0 million senior secured revolving credit facility in favor of Civeo, as borrower; and (D) a $100.0 million senior secured revolving credit facility in favor of one of our Australian subsidiaries, as borrower; and (ii) a $350.0 million term loan facility scheduled to mature on May 28, 2019 in favor of Civeo.</w:t>
      </w:r>
    </w:p>
    <w:p>
      <w:pPr>
        <w:spacing w:after="0" w:line="15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February 17, 2017, the third amendment to the Credit Agreement (as amended by the third amendment, the Amended Credit Agreement) became effective, which:</w:t>
      </w:r>
    </w:p>
    <w:p>
      <w:pPr>
        <w:spacing w:after="0" w:line="170" w:lineRule="exact"/>
        <w:rPr>
          <w:sz w:val="20"/>
          <w:szCs w:val="20"/>
          <w:color w:val="auto"/>
        </w:rPr>
      </w:pPr>
    </w:p>
    <w:p>
      <w:pPr>
        <w:ind w:left="660" w:right="18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88"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for the relevant periods,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Period Ended</w:t>
            </w:r>
          </w:p>
        </w:tc>
        <w:tc>
          <w:tcPr>
            <w:tcW w:w="1780" w:type="dxa"/>
            <w:vAlign w:val="bottom"/>
            <w:gridSpan w:val="5"/>
          </w:tcPr>
          <w:p>
            <w:pPr>
              <w:spacing w:after="0"/>
              <w:rPr>
                <w:sz w:val="20"/>
                <w:szCs w:val="20"/>
                <w:color w:val="auto"/>
              </w:rPr>
            </w:pPr>
            <w:r>
              <w:rPr>
                <w:rFonts w:ascii="Arial" w:cs="Arial" w:eastAsia="Arial" w:hAnsi="Arial"/>
                <w:sz w:val="18"/>
                <w:szCs w:val="18"/>
                <w:b w:val="1"/>
                <w:bCs w:val="1"/>
                <w:color w:val="auto"/>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1560" w:type="dxa"/>
            <w:vAlign w:val="bottom"/>
            <w:tcBorders>
              <w:top w:val="single" w:sz="8" w:color="auto"/>
            </w:tcBorders>
            <w:gridSpan w:val="4"/>
          </w:tcPr>
          <w:p>
            <w:pPr>
              <w:jc w:val="right"/>
              <w:ind w:right="580"/>
              <w:spacing w:after="0" w:line="196" w:lineRule="exact"/>
              <w:rPr>
                <w:sz w:val="20"/>
                <w:szCs w:val="20"/>
                <w:color w:val="auto"/>
              </w:rPr>
            </w:pPr>
            <w:r>
              <w:rPr>
                <w:rFonts w:ascii="Arial" w:cs="Arial" w:eastAsia="Arial" w:hAnsi="Arial"/>
                <w:sz w:val="18"/>
                <w:szCs w:val="18"/>
                <w:b w:val="1"/>
                <w:bCs w:val="1"/>
                <w:color w:val="auto"/>
              </w:rPr>
              <w:t>Ratio</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5.85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5.50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2019 &amp; thereafter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Amended Credit Agreement.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Facility bear interest at a variable rate equal to the Bank Bill Swap Bid Rate plus a margin of 2.25% to 5.50%,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5.85 to 1.0 (as of September 30,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September 30, 2017.</w:t>
      </w:r>
    </w:p>
    <w:p>
      <w:pPr>
        <w:spacing w:after="0" w:line="1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$1.1 million to $122.2 million.</w:t>
      </w:r>
    </w:p>
    <w:p>
      <w:pPr>
        <w:spacing w:after="0" w:line="17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27% to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As Australia and the U.S. are loss jurisdictions for tax accounting purposes, Australia and the U.S. have been removed from the annual effective tax rate computation for purposes of computing the interim tax provision. Income taxes for any significant and unusual or extraordinary transactions are computed and recorded in the period that the specific transaction occurs.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Our income tax benefit for the nine months ended September 30, 2017 totaled $9.9 million, or 14.6% of pretax loss, compared to a benefit of $17.2 million, or 17.7% of pretax loss, for the nine months ended September 30, 2016. Our income tax benefit for the three months ended September 30, 2017 totaled $4.0 million, or 15.3% of pretax loss, compared to a benefit of $11.7 million, or 21.8% of pretax loss, for the three months ended September 30, 2016. Our effective tax rate for the nine months ended September 30, 2017 and 2016 was reduced approximately 12% and 10%, respectively, by the exclusion of Australia and U.S. for purposes of computing the interim tax provision since they are loss jurisdictions for tax accounting purposes.</w:t>
      </w:r>
    </w:p>
    <w:p>
      <w:pPr>
        <w:spacing w:after="0" w:line="15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6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accumulated other comprehensive loss decreased $38.4 million from $362.9 million at December 31, 2016 to $324.5 million at September 30, 2017, as a result of foreign currency exchange rate fluctuations. Changes in other comprehensive loss during the first nine months of 2017 were primarily driven by the Australian dollar and Canadian dollar increasing in value compared to the U.S. dollar. Excluding intercompany balances, our Canadian dollar and Australian dollar functional currency net assets totaled approximately C$0.2 billion and A$0.5 billion, respectively, at September 30,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BASED COMPENSATION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14.0 million Civeo common shares may be awarded under the Civeo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both the three month periods ended September 30, 2017 and 2016 totaled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$0.1 million. Compensation expense associated with options recognized in both the nine month periods ended September 30, 2017 and 2016 totaled less than $0.1 million. At September 30, 2017, unrecognized compensation cost related to options was less than $0.1 million, which is expected to be recognized over a weighted average period of 0.4 years.</w:t>
      </w:r>
    </w:p>
    <w:p>
      <w:pPr>
        <w:spacing w:after="0" w:line="187"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b w:val="1"/>
          <w:bCs w:val="1"/>
          <w:i w:val="1"/>
          <w:iCs w:val="1"/>
          <w:color w:val="auto"/>
        </w:rPr>
        <w:t xml:space="preserve">Restricted Share / Deferred Share Awards. </w:t>
      </w:r>
      <w:r>
        <w:rPr>
          <w:rFonts w:ascii="Arial" w:cs="Arial" w:eastAsia="Arial" w:hAnsi="Arial"/>
          <w:sz w:val="17"/>
          <w:szCs w:val="17"/>
          <w:color w:val="auto"/>
        </w:rPr>
        <w:t>On February 21, 2017, we granted 1,322,934 restricted share awards and deferred share awards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Civeo Plan, which vest in three equal annual installments beginning on February 21, 2018. On March 21, 2017, we granted 47,529 restricted share awards to one of our non-employee directors upon his appointment to our Board of Directors, which vest in their entirety on March 21, 2018. On May 11, 2017, we granted 243,190 restricted share awards to our other non-employee directors, which vest in their entirety on May 11,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 periods ended September 30, 2017 and 2016 totaled $0.9 million and $1.0 million, respectively. Compensation expense associated with restricted share awards and deferred share awards recognized in the nine month periods ended September 30, 2017 and 2016 totaled $3.2 million and $3.0 million, respectively. The total fair value of restricted share awards and deferred share awards that vested during each of the three months ended September 30, 2017 and 2016 was de minimis. The total fair value of restricted share awards and deferred share awards that vested during the nine months ended September 30, 2017 and 2016 was $2.4 million and $0.6 million, respectively.</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September 30, 2017, unrecognized compensation cost related to restricted share awards and deferred share awards was $5.5 million, which is expected to be recognized over a weighted average period of 1.9 years.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21, 2017, we granted 351,022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21, 2018. We also granted 163,617 phantom share awards under the Canadian Long-Term Incentive Plan, which vest in three equal annual installments beginning on February 21, 2018.</w:t>
      </w:r>
    </w:p>
    <w:p>
      <w:pPr>
        <w:spacing w:after="0" w:line="18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During the three month periods ended September 30, 2017 and 2016, we recognized compensation expense associated with phantom shares totaling $2.4 million and a de minims amount, respectively. During the nine month periods ended September 30, 2017 and 2016, we recognized compensation expense associated with phantom shares totaling $6.6 million and $1.8 million, respectively. At September 30, 2017, unrecognized compensation cost related to phantom shares was $9.0 million, as remeasured at September 30, 2017, which is expected to be recognized over a weighted average period of 1.5 years.</w:t>
      </w:r>
    </w:p>
    <w:p>
      <w:pPr>
        <w:spacing w:after="0" w:line="15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21, 2017, we granted 762,497 performance awards under the Civeo Plan, which cliff vest in three years on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21, 2020. These awards will be earned in amounts between 0% and 200% of the participant’s target performance share award, based on the payout percentage associated with Civeo’s relative total shareholder return rank among a peer group that includes 14 other companies.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During the three month periods ended September 30, 2017 and 2016, we recognized compensation expense associated with performance awards totaling $0.8 million and $0.5 million, respectively. During the nine month periods ended September 30, 2017 and 2016, we recognized compensation expense associated with performance awards totaling $2.3 million and $1.4 million, respectively. At September 30, 2017, unrecognized compensation cost related to performance shares was $5.9 million, which is expected to be recognized over a weighted average period of 1.9 years.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2017 and 2016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Depreciation</w:t>
            </w: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w:t>
            </w: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Revenues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amortization</w:t>
            </w: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expenditures</w:t>
            </w:r>
          </w:p>
        </w:tc>
        <w:tc>
          <w:tcPr>
            <w:tcW w:w="2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assets</w:t>
            </w:r>
          </w:p>
        </w:tc>
        <w:tc>
          <w:tcPr>
            <w:tcW w:w="58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2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63,832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18,402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(11,691)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579,593</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391,520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31,161</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(72,524)</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97,489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32,700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(21,344)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929,750</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200" w:type="dxa"/>
            <w:vAlign w:val="bottom"/>
          </w:tcPr>
          <w:p>
            <w:pPr>
              <w:spacing w:after="0" w:line="198" w:lineRule="exact"/>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576,945</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Australia</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27,679</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11,736</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409,982</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2,136</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(40,802)</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978,051</w:t>
            </w:r>
          </w:p>
        </w:tc>
        <w:tc>
          <w:tcPr>
            <w:tcW w:w="58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3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Nine months ended September 30, 2017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182,006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54,374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(26,283)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2,195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579,593</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83,164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391,520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15,758</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3,549</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(10,347)</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31,161</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(72,524)</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280,928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97,083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(52,443)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929,750</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w w:val="93"/>
              </w:rPr>
              <w:t>Nine months ended September 30, 2016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576,945</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Australia</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80,694</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34,348</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3,833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409,982</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8,835</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(40,802)</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100,444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978,051</w:t>
            </w:r>
          </w:p>
        </w:tc>
        <w:tc>
          <w:tcPr>
            <w:tcW w:w="58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2017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2016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and estimates of resource production. As a result, demand for our products and services is largely sensitive to expected commodity prices, principally related to crude oil and metallurgical (met) coal.</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right="120" w:firstLine="324"/>
        <w:spacing w:after="0" w:line="254" w:lineRule="auto"/>
        <w:rPr>
          <w:sz w:val="20"/>
          <w:szCs w:val="20"/>
          <w:color w:val="auto"/>
        </w:rPr>
      </w:pPr>
      <w:r>
        <w:rPr>
          <w:rFonts w:ascii="Arial" w:cs="Arial" w:eastAsia="Arial" w:hAnsi="Arial"/>
          <w:sz w:val="18"/>
          <w:szCs w:val="18"/>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WTI oil prices, WCS also fell. Prices began to increase in March 2016, and continued to increase through the first quarter of 2017. After falling slightly in the second quarter of 2017, prices began to increase towards the end of the third quarter of 2017. WCS prices in the third quarter of 2017 averaged $37.72 per barrel compared to a low of $20.26 in the first quarter of 2016 and a high of $83.78 in the second quarter of 2014. The WCS Differential decreased from $16.10 per barrel at the end of the fourth quarter of 2016 to $11.25 per barrel at the end of the third quarter of 2017. As of October 23, 2017, the WTI price was $51.72 and the WCS price was $39.40, resulting in a WCS Differential of $12.32.</w:t>
      </w:r>
    </w:p>
    <w:p>
      <w:pPr>
        <w:spacing w:after="0" w:line="19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or remain at current depressed levels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uplift in oil prices in late 2016 and through 2017, we are not expecting significant improvement in customer activity in the near-term, as we anticipate that our customers’ capital spending will generally lag increased oil prices by nine to 12 months.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U.S. business is also primarily tied to oil prices, specifically oil shale drilling and completion activity, and therefore WTI oil prices, in the Bakken, Rockies and Permian basins. With the recovery in oil prices in late 2016 and into 2017, coupled with ample capital availability for U.S. E&amp;P companies, oil drilling and completion activity in the U.S. has significantly increased over the past year. The U.S. oil rig count has increased from its low of 316 rigs in May of 2016 to over 700 rigs active in the third quarter of 2017. As of October 20, 2017, there were 736 active oil rigs in the U.S. (as measured by Bakerhughes.com). U.S. oil drilling and completion activity will continue to be dependent on WTI oil prices near or above $50 per barrel and sufficient capital to support E&amp;P drilling and completion plans.</w:t>
      </w:r>
    </w:p>
    <w:p>
      <w:pPr>
        <w:spacing w:after="0" w:line="19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5.6% during the first nine months of 2017 compared to the corresponding period in 2016. On March 28, 2017, a Category 4 cyclone made landfall on the coast of Queensland, Australia, temporarily shutting down the majority of Bowen Basin coal export rail infrastructure, causing another spike in met coal spot prices from $152 per metric tonne on March 31, 2017 to over $250 per metric tonne. As of October 23, 2017, met coal spot prices are at $178 per metric tonne and benchmark contract prices for the fourth quarter of 2017 paid to Australian metallurgical coal producers by Japanese steel producers have not settled. Following cyclone Debbie, the market began to shift away from quarterly benchmark pricing to an index linked approach as a pricing mechanism. The changes in met coal pricing this year have not led our customers to approve any significant new projects. We expect that customers will look for a period of sustained higher prices before we see any significant impact on customer activity levels and the demand for our accommodations.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drive down their cost base.</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345"/>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6"/>
              </w:rPr>
              <w:t xml:space="preserve">Average Price </w:t>
            </w:r>
            <w:r>
              <w:rPr>
                <w:rFonts w:ascii="Arial" w:cs="Arial" w:eastAsia="Arial" w:hAnsi="Arial"/>
                <w:sz w:val="30"/>
                <w:szCs w:val="30"/>
                <w:b w:val="1"/>
                <w:bCs w:val="1"/>
                <w:color w:val="auto"/>
                <w:w w:val="86"/>
                <w:vertAlign w:val="superscript"/>
              </w:rPr>
              <w:t>(1)</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left="530"/>
              <w:spacing w:after="0" w:line="191" w:lineRule="exact"/>
              <w:rPr>
                <w:sz w:val="20"/>
                <w:szCs w:val="20"/>
                <w:color w:val="auto"/>
              </w:rPr>
            </w:pPr>
            <w:r>
              <w:rPr>
                <w:rFonts w:ascii="Arial" w:cs="Arial" w:eastAsia="Arial" w:hAnsi="Arial"/>
                <w:sz w:val="18"/>
                <w:szCs w:val="18"/>
                <w:b w:val="1"/>
                <w:bCs w:val="1"/>
                <w:color w:val="auto"/>
              </w:rPr>
              <w:t>WTI</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center"/>
              <w:ind w:left="370"/>
              <w:spacing w:after="0" w:line="191" w:lineRule="exact"/>
              <w:rPr>
                <w:sz w:val="20"/>
                <w:szCs w:val="20"/>
                <w:color w:val="auto"/>
              </w:rPr>
            </w:pPr>
            <w:r>
              <w:rPr>
                <w:rFonts w:ascii="Arial" w:cs="Arial" w:eastAsia="Arial" w:hAnsi="Arial"/>
                <w:sz w:val="18"/>
                <w:szCs w:val="18"/>
                <w:b w:val="1"/>
                <w:bCs w:val="1"/>
                <w:color w:val="auto"/>
                <w:w w:val="99"/>
              </w:rPr>
              <w:t>WCS</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7"/>
              </w:rPr>
              <w:t>Hard</w:t>
            </w:r>
          </w:p>
        </w:tc>
        <w:tc>
          <w:tcPr>
            <w:tcW w:w="120" w:type="dxa"/>
            <w:vAlign w:val="bottom"/>
          </w:tcPr>
          <w:p>
            <w:pPr>
              <w:spacing w:after="0"/>
              <w:rPr>
                <w:sz w:val="16"/>
                <w:szCs w:val="16"/>
                <w:color w:val="auto"/>
              </w:rPr>
            </w:pPr>
          </w:p>
        </w:tc>
      </w:tr>
      <w:tr>
        <w:trPr>
          <w:trHeight w:val="216"/>
        </w:trPr>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720" w:type="dxa"/>
            <w:vAlign w:val="bottom"/>
          </w:tcPr>
          <w:p>
            <w:pPr>
              <w:jc w:val="center"/>
              <w:ind w:left="530"/>
              <w:spacing w:after="0"/>
              <w:rPr>
                <w:sz w:val="20"/>
                <w:szCs w:val="20"/>
                <w:color w:val="auto"/>
              </w:rPr>
            </w:pPr>
            <w:r>
              <w:rPr>
                <w:rFonts w:ascii="Arial" w:cs="Arial" w:eastAsia="Arial" w:hAnsi="Arial"/>
                <w:sz w:val="18"/>
                <w:szCs w:val="18"/>
                <w:b w:val="1"/>
                <w:bCs w:val="1"/>
                <w:color w:val="auto"/>
                <w:w w:val="96"/>
              </w:rPr>
              <w:t>Crude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center"/>
              <w:ind w:left="370"/>
              <w:spacing w:after="0"/>
              <w:rPr>
                <w:sz w:val="20"/>
                <w:szCs w:val="20"/>
                <w:color w:val="auto"/>
              </w:rPr>
            </w:pPr>
            <w:r>
              <w:rPr>
                <w:rFonts w:ascii="Arial" w:cs="Arial" w:eastAsia="Arial" w:hAnsi="Arial"/>
                <w:sz w:val="18"/>
                <w:szCs w:val="18"/>
                <w:b w:val="1"/>
                <w:bCs w:val="1"/>
                <w:color w:val="auto"/>
                <w:w w:val="96"/>
              </w:rPr>
              <w:t>Crude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Coking Coal (Met Coal)</w:t>
            </w:r>
          </w:p>
        </w:tc>
      </w:tr>
      <w:tr>
        <w:trPr>
          <w:trHeight w:val="23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1"/>
              </w:rPr>
              <w:t>(per bbl)</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4"/>
              </w:rPr>
              <w:t>(per bbl)</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(per tonne)</w:t>
            </w:r>
          </w:p>
        </w:tc>
        <w:tc>
          <w:tcPr>
            <w:tcW w:w="120" w:type="dxa"/>
            <w:vAlign w:val="bottom"/>
          </w:tcPr>
          <w:p>
            <w:pPr>
              <w:spacing w:after="0"/>
              <w:rPr>
                <w:sz w:val="20"/>
                <w:szCs w:val="20"/>
                <w:color w:val="auto"/>
              </w:rPr>
            </w:pPr>
          </w:p>
        </w:tc>
      </w:tr>
      <w:tr>
        <w:trPr>
          <w:trHeight w:val="210"/>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Fourth Quarter through 10/23/2017</w:t>
            </w:r>
          </w:p>
        </w:tc>
        <w:tc>
          <w:tcPr>
            <w:tcW w:w="172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50.95</w:t>
            </w: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39.63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2"/>
              </w:rPr>
              <w:t>9/30/2017</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48.16</w:t>
            </w:r>
          </w:p>
        </w:tc>
        <w:tc>
          <w:tcPr>
            <w:tcW w:w="1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37.72</w:t>
            </w:r>
          </w:p>
        </w:tc>
        <w:tc>
          <w:tcPr>
            <w:tcW w:w="16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170.00</w:t>
            </w: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48.11</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38.20</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193.50</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2"/>
              </w:rPr>
              <w:t>3/31/2017</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51.70</w:t>
            </w:r>
          </w:p>
        </w:tc>
        <w:tc>
          <w:tcPr>
            <w:tcW w:w="1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38.09</w:t>
            </w:r>
          </w:p>
        </w:tc>
        <w:tc>
          <w:tcPr>
            <w:tcW w:w="16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285.00</w:t>
            </w: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49.16</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34.34</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2"/>
              </w:rPr>
              <w:t>9/30/2016</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44.88</w:t>
            </w:r>
          </w:p>
        </w:tc>
        <w:tc>
          <w:tcPr>
            <w:tcW w:w="1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30.67</w:t>
            </w:r>
          </w:p>
        </w:tc>
        <w:tc>
          <w:tcPr>
            <w:tcW w:w="16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92.50</w:t>
            </w: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6/30/2016</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45.53</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32.84</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84.00</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2"/>
              </w:rPr>
              <w:t>3/31/2016</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33.41</w:t>
            </w:r>
          </w:p>
        </w:tc>
        <w:tc>
          <w:tcPr>
            <w:tcW w:w="1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20.26</w:t>
            </w:r>
          </w:p>
        </w:tc>
        <w:tc>
          <w:tcPr>
            <w:tcW w:w="16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81.00</w:t>
            </w: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42.02</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27.82</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89.00</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2"/>
              </w:rPr>
              <w:t>9/30/2015</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46.48</w:t>
            </w:r>
          </w:p>
        </w:tc>
        <w:tc>
          <w:tcPr>
            <w:tcW w:w="1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31.54</w:t>
            </w:r>
          </w:p>
        </w:tc>
        <w:tc>
          <w:tcPr>
            <w:tcW w:w="16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93.00</w:t>
            </w: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57.64</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48.09</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109.50</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2"/>
              </w:rPr>
              <w:t>3/31/2015</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48.49</w:t>
            </w:r>
          </w:p>
        </w:tc>
        <w:tc>
          <w:tcPr>
            <w:tcW w:w="1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35.03</w:t>
            </w:r>
          </w:p>
        </w:tc>
        <w:tc>
          <w:tcPr>
            <w:tcW w:w="16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117.00</w:t>
            </w: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73.21</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57.75</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119.00</w:t>
            </w: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92"/>
              </w:rPr>
              <w:t>9/30/2014</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97.60</w:t>
            </w:r>
          </w:p>
        </w:tc>
        <w:tc>
          <w:tcPr>
            <w:tcW w:w="18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78.69</w:t>
            </w:r>
          </w:p>
        </w:tc>
        <w:tc>
          <w:tcPr>
            <w:tcW w:w="160" w:type="dxa"/>
            <w:vAlign w:val="bottom"/>
          </w:tcPr>
          <w:p>
            <w:pPr>
              <w:spacing w:after="0"/>
              <w:rPr>
                <w:sz w:val="20"/>
                <w:szCs w:val="20"/>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r>
    </w:tbl>
    <w:p>
      <w:pPr>
        <w:spacing w:after="0" w:line="228" w:lineRule="exact"/>
        <w:rPr>
          <w:sz w:val="20"/>
          <w:szCs w:val="20"/>
          <w:color w:val="auto"/>
        </w:rPr>
      </w:pPr>
    </w:p>
    <w:p>
      <w:pPr>
        <w:ind w:left="980" w:right="5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-302260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In response to decreases in crude oil prices beginning in late 2014, many of our customers in Canada curtailed their operations and spending, and most major oil sands mining operators are continuing to seek to reduce their costs and limit capital spending, thereby limiting the demand for accommodations of the kind we provide. In Australia, approximately 80% of our rooms are located in the Bowen Basin and primarily serve met coal mines in that region, where our customers continue to implement operational efficiency measures, in order to drive down their cost base.</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oil prices and oil price expectations, certain operators with steam-assisted gravity drainage operations in the Canadian oil sands have increased capital spending in 2017. In addition, recent regulatory approvals of several major pipeline projects have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U.S. Gulf Coast refineries. In Australia, we believe prices are currently at a level that may contribute to increased activity over the long term if our customers view these price levels as sustainable.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right="160" w:firstLine="324"/>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accommodations services, we do not expect an immediate improvement in our business and are expecting our full year 2017 revenues and EBITDA to be materially lower compared to 2016. Accordingly, we plan to focus on enhancing the quality of our operations, maintaining financial discipline and proactively managing our business as market conditions continue to evolve.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ran through September 2017. To support this contract, we developed a new accommodations facility, named Sitka Lodge, which includes private washrooms, recreational facilities and other amenities. This lodge currently has 436 rooms, with the potential to expand to serve future accommodations demand in the region.</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FID has been delayed. Recent public statements by LNGC and news reports indicate that FID for LNGC is expected in the second half of 2018. Should the project ultimately move forward, British Columbia LNG activity could become a material driver of future activity for our Sitka Lodge, as well as for our mobile fleet assets, which are well suited for the related pipeline construction activity.</w:t>
      </w:r>
    </w:p>
    <w:p>
      <w:pPr>
        <w:spacing w:after="0" w:line="193"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However, there can be no assurance that LNGC’s joint venture participants will reach a positive FID or that our contracts with LNGC will be extended. Further, on July 25, 2017, Petronas and its partners announced the cancellation of their Pacific NorthWest (“PNW”) liquefied natural gas project they had planned to build in Port Edward, British Columbia. If the LNGC project, and other potential projects in the area, do not move forward, our future results of operations and our existing long-lived assets in Canada, including our Sitka Lodge, may be negatively affected, and we may be required to record material impairment charges equal to the excess of the carrying values of these assets over their fair values. As of September 30, 2017, the net book value of long-lived assets that are currently supporting, or could be used to support, potential LNG projects in British Columbia was approximately $75 million.</w:t>
      </w:r>
    </w:p>
    <w:p>
      <w:pPr>
        <w:spacing w:after="0" w:line="16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As a result of the PNW cancellation, we identified an indicator that certain asset groups used, or expected to be used, in conjunction with potential LNG projects in British Columbia may be impaired. As a result, we assessed the carrying values of each of the asset groups to determine if they continued to be recoverable based on their estimated future cash flows. Based on the assessment, the carrying values of certain undeveloped land positions in British Columbia were determined to not be recoverable, and an impairment charge totaling $1.2 million was recorded in the third quarter of 2017.</w:t>
      </w:r>
    </w:p>
    <w:p>
      <w:pPr>
        <w:spacing w:after="0" w:line="15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estimating future cash flows, we made numerous assumptions with respect to future circumstances that might directly impact each of the asset groups’ operations in the future and are therefore uncertain. These assumptions with respect to future circumstances included future oil, coal and natural gas prices, anticipated customer spending, and industry and/or local market conditions. These assumptions represented our best judgment based on the current facts and circumstances. However, different assumptions could result in a determination that the carrying values of additional asset groups are no longer recoverable based on estimated future cash flows. Our estimate of fair value was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$0.80 for the third quarter of 2017, compared to U.S. $0.77 for the third quarter of 2016, an increase of approximately 4%. The Canadian dollar was valued at an average exchange rate of U.S. $0.77 for the first nine months of 2017 compared to U.S. $0.76 for the first nine months of 2016, an increase of approximately 1%. The Canadian dollar was valued at an exchange rate of $0.80 on September 30, 2017 and $0.74 on December 31, 2016. The Australian dollar was valued at an average exchange rate of U.S. $0.79 for the third quarter of 2017 compared to U.S. $0.76 for the third quarter of 2016, an increase of approximately 4%. The Australian dollar was valued at an average exchange rate of U.S. $0.77 for the first nine months of 2017 compared to U.S. $0.74 for the first nine months of 2016, an increase of approximately 3%. The Australian dollar was valued at an exchange rate of $0.78 on September 30, 2017 and $0.72 on December 31, 2016. These fluctuations of the Canadian and Australian dollars have had and will continue to have an impact on the translation of earnings generated from our Canadian and Australian subsidiaries and, therefore, our financial results.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2" w:name="page23"/>
    <w:bookmarkEnd w:id="22"/>
    <w:p>
      <w:pPr>
        <w:ind w:right="2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activities. We currently expect that our 2017 capital expenditures, exclusive of any business acquisitions, will total approximately $12 million to $15 million, compared to 2016 capital expenditures of $19.8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2017 capital expenditures.</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February 2017, we completed a public offering of 23 million common shares. We used a portion of the net proceeds of $64.8 million from the offering to repay amounts outstanding under several revolving credit facilities provided by our primary credit agreement (the Credit Agreement) and are using the remaining proceeds for general corporate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nine-month periods ended September 30, 2017, is based on a comparison to the corresponding periods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2017 Compared to Three Months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Canada</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63,832</w:t>
            </w:r>
          </w:p>
        </w:tc>
        <w:tc>
          <w:tcPr>
            <w:tcW w:w="8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73,539</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(33,369)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153,196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(34,363)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(21,344)</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(48,958)</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(26,219)</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(53,666)</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(7,686)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(22,208)</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(41,969)</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(22,331)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(42,131)</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160" w:type="dxa"/>
            <w:vAlign w:val="bottom"/>
          </w:tcPr>
          <w:p>
            <w:pPr>
              <w:spacing w:after="0"/>
              <w:rPr>
                <w:sz w:val="24"/>
                <w:szCs w:val="24"/>
                <w:color w:val="auto"/>
              </w:rPr>
            </w:pPr>
          </w:p>
        </w:tc>
        <w:tc>
          <w:tcPr>
            <w:tcW w:w="37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ind w:right="120" w:firstLine="324"/>
        <w:spacing w:after="0" w:line="264" w:lineRule="auto"/>
        <w:rPr>
          <w:sz w:val="20"/>
          <w:szCs w:val="20"/>
          <w:color w:val="auto"/>
        </w:rPr>
      </w:pPr>
      <w:r>
        <w:rPr>
          <w:rFonts w:ascii="Arial" w:cs="Arial" w:eastAsia="Arial" w:hAnsi="Arial"/>
          <w:sz w:val="18"/>
          <w:szCs w:val="18"/>
          <w:color w:val="auto"/>
        </w:rPr>
        <w:t>We reported net loss attributable to Civeo for the quarter ended September 30, 2017 of $22.3 million, or $0.17 per diluted share. As further discussed below, net loss included a $4.4 million pre-tax loss ($3.2 million after-tax, or $0.02 per diluted share) resulting from the impairment of fixed assets included in Impairment expense below.</w:t>
      </w:r>
    </w:p>
    <w:p>
      <w:pPr>
        <w:spacing w:after="0" w:line="18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reported net loss attributable to Civeo for the quarter ended September 30, 2016 of $42.1 million, or $0.39 per diluted share. As further discussed below, net loss included a $37.7 million pre-tax loss ($27.5 million after-tax, or $0.26 per diluted share) resulting from the impairment of fixed assets included in Impairment expense below.</w:t>
      </w:r>
    </w:p>
    <w:p>
      <w:pPr>
        <w:spacing w:after="0" w:line="177"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decreased $6.7 million, or 6%, in the third quarter of 2017 compared to the third quarter of 2016. This decline was</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decreases in Canada resulting from lower rates and lower mobile, open camp and product activity and decreases in Australia due to reduced take-or-pay revenues on expired contracts at our villages in the Bowen Basin. This was partially offset by increases in the U.S., due to overall increased activity, as well as stronger Canadian and Australian dollars relative to the U.S. dollar in the third quarter of 2017 compared to the third quarter of 2016. Please see the discussion of segment results of operations below for further information.</w:t>
      </w:r>
    </w:p>
    <w:p>
      <w:pPr>
        <w:spacing w:after="0" w:line="168" w:lineRule="exact"/>
        <w:rPr>
          <w:sz w:val="20"/>
          <w:szCs w:val="20"/>
          <w:color w:val="auto"/>
        </w:rPr>
      </w:pPr>
    </w:p>
    <w:p>
      <w:pPr>
        <w:jc w:val="both"/>
        <w:ind w:right="200" w:firstLine="324"/>
        <w:spacing w:after="0" w:line="281"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decreased $2.4 million, or 4%, in the third quarter of 2017 compared to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2016, primarily due to decreases in Canada resulting from lower mobile, open camp and product activity. This was partially offset by increases in the U.S., due to overall increased activity, as well as stronger Canadian and Australian dollars relative to the U.S. dollar in the third quarter of 2017 compared to the third quarter of 2016. Please see the discussion of segment results of operations below for further information.</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Selling, general and administrative (SG&amp;A) expense increased $2.2 million, or 16%, in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2017 compared to the third quarter of 2016. This increase was primarily due to higher share based compensation expense associated with phantom share awards and higher incentive compensation costs. The increase in share based compensation was due to the increase in our share price during the period, which is used to remeasure the phantom share awards at each reporting date. These items were partially offset by reduced compensation as a result of workforce reductions in 2016, lower professional fees when compared to 2016 and other administrative cost reductions.</w:t>
      </w:r>
    </w:p>
    <w:p>
      <w:pPr>
        <w:spacing w:after="0" w:line="168"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$1.0 million, or 3%, in the third quarter of 2017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third quarter of 2016, primarily due to reduced depreciation expense resulting from impairments recorded in 2016, partially offset by increased depreciation expense associated with an enterprise information system placed in service in 2017.</w:t>
      </w:r>
    </w:p>
    <w:p>
      <w:pPr>
        <w:spacing w:after="0" w:line="176"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Impairment expense of $4.4 million in the third quarter of 2017 consisted of leasehold improvements and undeveloped land</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positions in our Canadian segment. Impairment expense of $37.7 million in the third quarter of 2016 consisted of pre-tax impairment losses of $37.7 million related to mobile camp assets and certain undeveloped land positions in the British Columbia LNG market in our Canadian segment. Please see Note 5 - Impairment Charges to the notes to the unaudited consolidated financial statements of this quarterly report for further discussion.</w:t>
      </w:r>
    </w:p>
    <w:p>
      <w:pPr>
        <w:spacing w:after="0" w:line="165"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by $27.6 million, or 56%, in the third quarter of 2017 compared to the third quarter of 2016,</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impairment expense and lower contracted rates in Canada.</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decreased by $0.7 million, or 11%, in the third quarter of 2017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2016, primarily due to lower amounts outstanding under our revolving credit facilities in the third quarter of 2017 as compared to the third quarter of 2016, partially offset by higher interest rates on our term loan borrowings.</w:t>
      </w:r>
    </w:p>
    <w:p>
      <w:pPr>
        <w:spacing w:after="0" w:line="176" w:lineRule="exact"/>
        <w:rPr>
          <w:sz w:val="20"/>
          <w:szCs w:val="20"/>
          <w:color w:val="auto"/>
        </w:rPr>
      </w:pPr>
    </w:p>
    <w:p>
      <w:pPr>
        <w:ind w:right="340" w:firstLine="324"/>
        <w:spacing w:after="0" w:line="266"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decreased by $0.8 million, or 61%, in the third quarter of 2017 compared to the third quarter of 2016,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income recorded in the third quarter of 2016 from an unconsolidated investment related to the engineering and planning work performed for LNGC’s accommodation center in Kitimat, which was not repeated in the third quarter of 2017.</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4" w:name="page25"/>
    <w:bookmarkEnd w:id="24"/>
    <w:p>
      <w:pPr>
        <w:ind w:firstLine="324"/>
        <w:spacing w:after="0" w:line="256"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September 30, 2017 totaled $4.0 million, or 15.3% of pretax loss,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a benefit of $11.7 million, or 21.8% of pretax loss, for the three months ended September 30, 2016. Our effective tax rates in 2017 and 2016 were reduced by the exclusion of Australia and U.S. for purposes of computing the interim tax provision since they are loss jurisdictions for tax accounting purposes. In addition, the effective tax rates for the three months ended September 30, 2017 and 2016 were impacted by changes in annual effective rates, as required under ASC 740-270, Accounting for Income Taxes, the quarterly tax provision is based on our current estimate of the annual effective tax rate less the prior quarter’s year-to-date tax provision.</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b w:val="1"/>
          <w:bCs w:val="1"/>
          <w:color w:val="auto"/>
        </w:rPr>
        <w:t xml:space="preserve">Other Comprehensive Income (Loss). </w:t>
      </w:r>
      <w:r>
        <w:rPr>
          <w:rFonts w:ascii="Arial" w:cs="Arial" w:eastAsia="Arial" w:hAnsi="Arial"/>
          <w:sz w:val="17"/>
          <w:szCs w:val="17"/>
          <w:color w:val="auto"/>
        </w:rPr>
        <w:t>Other comprehensive income increased $4.7 million in the third quarter of 2017 compared to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2016, primarily as a result of foreign currency translation adjustments due to changes in the Canadian and Australian dollar exchange rates compared to the U.S. dollar. The Canadian dollar exchange rate compared to the U.S. dollar increased 4% from June 30, 2017 to September 30, 2017 compared to a 1% decrease from June 30, 2016 to September 30, 2016. The Australian dollar exchange rate compared to the U.S. dollar increased 2% from June 30, 2017 to September 30,2017 compared to a 3% increase from June 30, 2016 to September 30, 2016.</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59,484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61,712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11,827</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(7,479)</w:t>
            </w:r>
          </w:p>
        </w:tc>
      </w:tr>
      <w:tr>
        <w:trPr>
          <w:trHeight w:val="20"/>
        </w:trPr>
        <w:tc>
          <w:tcPr>
            <w:tcW w:w="86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63,832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73,539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(9,707)</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43,331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50,571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(7,240)</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10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14,670</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10,588</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Occupancy in lodges (5)</w:t>
            </w:r>
          </w:p>
        </w:tc>
        <w:tc>
          <w:tcPr>
            <w:tcW w:w="10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0.799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0.766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0.033</w:t>
            </w:r>
          </w:p>
        </w:tc>
      </w:tr>
    </w:tbl>
    <w:p>
      <w:pPr>
        <w:spacing w:after="0" w:line="22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out-of-service rooms. The increase in occupancy percentage for the three months ended September 30, 2017 compared to the same period in 2016 is largely due to the reduction in the number of rentable rooms driven primarily by the use of more rooms during the Fort McMurray fires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-986790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Canadian segment reported revenues in the third quarter of 2017 that were $9.7 million, or 13%, lower than the third quarter of 2016. The strengthening of the average exchange rates for the Canadian dollar relative to the U.S. dollar by 4% in the third quarter of 2017 compared to the third quarter of 2016 resulted in a $2.7 million period-over-period increase in revenues. Excluding the impact of the stronger Canadian exchange rates, the segment experienced an 8% decline in lodge revenues. This decline was driven primarily by lower rates. In 2016, more rentable rooms were utilized due to the Fort McMurray fires. Finally, mobile, open camp and product revenues declined due to overall lower activity levels.</w:t>
      </w:r>
    </w:p>
    <w:p>
      <w:pPr>
        <w:spacing w:after="0" w:line="1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Canadian segment cost of sales and services decreased $7.2 million, or 14%, in the third quarter of 2017 compared to the third quarter of 2016 primarily due to the decline in mobile, open camp and product activity, as well as a focus on cost containment and operational efficiencies. This was partially offset by increased warranty related costs resulting from a product sale.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Canadian segment gross margin as a percentage of revenues increased from 31% in the third quarter of 2016 to 32% in the third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driven by lower costs due to a focus on cost containment and operational efficiencies.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27,541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27,679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r>
      <w:tr>
        <w:trPr>
          <w:trHeight w:val="20"/>
        </w:trPr>
        <w:tc>
          <w:tcPr>
            <w:tcW w:w="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27,541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27,679</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14,451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13,441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9,344</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8,675</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0.790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0.758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0.032</w:t>
            </w:r>
          </w:p>
        </w:tc>
      </w:tr>
    </w:tbl>
    <w:p>
      <w:pPr>
        <w:spacing w:after="0" w:line="24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-688340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Australian segment reported revenues in the third quarter of 2017 that were $0.1 million, or 0.5%, lower than the third quarter of 2016. The strengthening of the average exchange rates for Australian dollars relative to the U.S. dollar by 4% in the third quarter of 2017 compared to the third quarter of 2016 resulted in a $1.1 million period-over-period increase in revenues. Excluding the impact of the stronger Australian exchange rates, the Australian segment experienced a 4% decline in revenues due to reduced take-or-pay revenues on expired contracts at our villages in the Bowen Basin, primarily as a result of the ongoing slowdown in mining activity.</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Australian segment cost of sales increased $1.0 million, or 8%, in the third quarter of 2017 compared to the third quarter of 2016. The increase was driven by the strengthening of the Australian dollar.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gross margin as a percentage of revenues decreased to 48% in the third quarter of 2017 from 51% in the third quarter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reduced take-or-pay revenues on expired contracts compared to the third quarter of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3,096</w:t>
            </w:r>
          </w:p>
        </w:tc>
      </w:tr>
      <w:tr>
        <w:trPr>
          <w:trHeight w:val="216"/>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w:t>
            </w:r>
          </w:p>
        </w:tc>
      </w:tr>
      <w:tr>
        <w:trPr>
          <w:trHeight w:val="216"/>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U.S. segment reported revenues in the third quarter of 2017 that were $3.1 million, or 103%, higher than the third quarter of 2016. The increase was primarily due to greater U.S. drilling activity in the Bakken, Rockies and Texas markets and higher revenues from our offshore business.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27" w:name="page28"/>
    <w:bookmarkEnd w:id="27"/>
    <w:p>
      <w:pPr>
        <w:ind w:right="300" w:firstLine="324"/>
        <w:spacing w:after="0" w:line="264" w:lineRule="auto"/>
        <w:rPr>
          <w:sz w:val="20"/>
          <w:szCs w:val="20"/>
          <w:color w:val="auto"/>
        </w:rPr>
      </w:pPr>
      <w:r>
        <w:rPr>
          <w:rFonts w:ascii="Arial" w:cs="Arial" w:eastAsia="Arial" w:hAnsi="Arial"/>
          <w:sz w:val="18"/>
          <w:szCs w:val="18"/>
          <w:color w:val="auto"/>
        </w:rPr>
        <w:t>Our U.S. cost of sales increased $3.8 million, or 96%, in the third quarter of 2017 compared to the third quarter of 2016. The increase was driven by greater U.S. drilling activity in the Bakken, Rockies and Texas markets, greater activity in our offshore business and cost associated with an unforeseen contract cancellation.</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U.S. segment gross margin as a percentage of revenues increased from (31%) in the third quarter of 2016 to (27%) in the third quarter of 2017 primarily due to increased activity in the Bakken, Rockies and Texas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Nine Months Ended September 30, 2017 Compared to Nine Months Ended September 30, 2016</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rPr>
              <w:t>NINE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in thousands)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182,006</w:t>
            </w:r>
          </w:p>
        </w:tc>
        <w:tc>
          <w:tcPr>
            <w:tcW w:w="320" w:type="dxa"/>
            <w:vAlign w:val="bottom"/>
          </w:tcPr>
          <w:p>
            <w:pPr>
              <w:jc w:val="right"/>
              <w:ind w:right="15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216,168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(34,162)</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83,164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80,694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15,758</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9,447</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6,311</w:t>
            </w:r>
          </w:p>
        </w:tc>
      </w:tr>
      <w:tr>
        <w:trPr>
          <w:trHeight w:val="20"/>
        </w:trPr>
        <w:tc>
          <w:tcPr>
            <w:tcW w:w="4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280,928</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306,309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3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125,449</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145,914</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(20,465)</w:t>
            </w:r>
          </w:p>
        </w:tc>
      </w:tr>
      <w:tr>
        <w:trPr>
          <w:trHeight w:val="216"/>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41,753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39,092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r>
      <w:tr>
        <w:trPr>
          <w:trHeight w:val="216"/>
        </w:trPr>
        <w:tc>
          <w:tcPr>
            <w:tcW w:w="458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19,481</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13,487</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5,994</w:t>
            </w:r>
          </w:p>
        </w:tc>
      </w:tr>
      <w:tr>
        <w:trPr>
          <w:trHeight w:val="20"/>
        </w:trPr>
        <w:tc>
          <w:tcPr>
            <w:tcW w:w="4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 of sales and services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186,683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198,493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(11,810)</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44,141</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42,056</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97,083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100,444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4,360</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46,129</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(41,769)</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r>
      <w:tr>
        <w:trPr>
          <w:trHeight w:val="20"/>
        </w:trPr>
        <w:tc>
          <w:tcPr>
            <w:tcW w:w="45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333,371</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387,478</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(54,107)</w:t>
            </w:r>
          </w:p>
        </w:tc>
      </w:tr>
      <w:tr>
        <w:trPr>
          <w:trHeight w:val="20"/>
        </w:trPr>
        <w:tc>
          <w:tcPr>
            <w:tcW w:w="4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(52,443)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(81,169)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28,726</w:t>
            </w:r>
          </w:p>
        </w:tc>
      </w:tr>
      <w:tr>
        <w:trPr>
          <w:trHeight w:val="216"/>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(16,470)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1,058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0"/>
        </w:trPr>
        <w:tc>
          <w:tcPr>
            <w:tcW w:w="4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(67,666)</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(97,214)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9,875</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17,217</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(7,342)</w:t>
            </w:r>
          </w:p>
        </w:tc>
      </w:tr>
      <w:tr>
        <w:trPr>
          <w:trHeight w:val="20"/>
        </w:trPr>
        <w:tc>
          <w:tcPr>
            <w:tcW w:w="4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(57,791)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(79,997)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0"/>
        </w:trPr>
        <w:tc>
          <w:tcPr>
            <w:tcW w:w="4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(58,134)</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22,305</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reported net loss attributable to Civeo for the nine months ended September 30, 2017 of $58.1 million, or $0.46 per diluted share. As further discussed below, net loss included a $4.4 million pre-tax loss ($3.2 million after-tax, or $0.02 per diluted share) resulting from the impairment of fixed assets included in Impairment expense below.</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reported net loss attributable to Civeo for the nine months ended September 30, 2016 of $80.4 million, or $0.75 per diluted share. As further discussed below, net loss included (i) an $46.1 million pre-tax loss ($35.9 million after-tax, or $0.34 per diluted share) resulting from the impairment of fixed assets, included in Impairment expense, and (ii) a $1.3 million pre-tax loss ($1.2 million after-tax, or $0.01 per diluted share) from costs incurred in connection with our redomicile to Canada, included in Selling, general and administrative (SG&amp;A) expense below.</w:t>
      </w:r>
    </w:p>
    <w:p>
      <w:pPr>
        <w:spacing w:after="0" w:line="167"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$25.4 million, or 8%, in the nine months ended September 30, 2017 compared to the nine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2016. This decline was largely driven by decreases in Canada due to lower rates and lower mobile, open camp and product activity, offset by increases in the U.S. due to increased activity levels and in Australia due to increased occupancy at our villages in Western Australian, as well as stronger Canadian and Australian dollars in 2017 compared to 2016. Please see the discussion of segment results of operations below for further information.</w:t>
      </w:r>
    </w:p>
    <w:p>
      <w:pPr>
        <w:spacing w:after="0" w:line="151"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$11.8 million, or 6%, in the nine months ended September 30,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2016, primarily due to decreases in Canada due to lower mobile, open camp and product activity, as well as a focus on cost containment and operational efficiencies. This was partially offset by increases in the U.S. due to increased activity levels and in Australia due to increased occupancy at our villages in Western Australia, as well as stronger Canadian and Australian dollars in 2017 compared to 2016. Please see the discussion of segment results of operations below for further information.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8" w:name="page29"/>
    <w:bookmarkEnd w:id="28"/>
    <w:p>
      <w:pPr>
        <w:ind w:firstLine="324"/>
        <w:spacing w:after="0" w:line="277"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$2.1 million, or 5%, in the nine months ended September 30, 2017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nine months ended September 30, 2016. This increase was primarily due to higher share based compensation expense associated with phantom share awards and higher incentive compensation costs. The increase in share based compensation was due to the increase in our share price during the period, which is used to remeasure the phantom share awards at each reporting date. These items were partially offset by reduced compensation as a result of workforce reductions in 2016, lower professional fees when compared to 2016 and other administrative cost reductions.</w:t>
      </w:r>
    </w:p>
    <w:p>
      <w:pPr>
        <w:spacing w:after="0" w:line="168" w:lineRule="exact"/>
        <w:rPr>
          <w:sz w:val="20"/>
          <w:szCs w:val="20"/>
          <w:color w:val="auto"/>
        </w:rPr>
      </w:pPr>
    </w:p>
    <w:p>
      <w:pPr>
        <w:ind w:right="160" w:firstLine="324"/>
        <w:spacing w:after="0" w:line="314"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$3.4 million, or 3%, in the nine months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30, 2017 compared to the nine months ended September 30, 2016 primarily due to reduced depreciation expense resulting from impairments recorded in 2016, partially offset by increased depreciation expense associated with an enterprise information system placed in service in 2017.</w:t>
      </w:r>
    </w:p>
    <w:p>
      <w:pPr>
        <w:spacing w:after="0" w:line="142"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$4.4 million in the nine months ended September 30, 2017 consisted of leasehold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undeveloped land positions in our Canadian segment.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Impairment expense of $46.1 million in the nine months ended September 30, 2016 consisted of:</w:t>
      </w:r>
    </w:p>
    <w:p>
      <w:pPr>
        <w:spacing w:after="0" w:line="225" w:lineRule="exact"/>
        <w:rPr>
          <w:sz w:val="20"/>
          <w:szCs w:val="20"/>
          <w:color w:val="auto"/>
        </w:rPr>
      </w:pPr>
    </w:p>
    <w:p>
      <w:pPr>
        <w:ind w:left="980" w:right="1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impairment losses of $37.7 million related to mobile camp assets and certain undeveloped land positions in the British Columbia LNG market in our Canadian segment;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impairment losses of $8.4 million related to the impairment of fixed assets in our U.S.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see Note 5 - Impairment Charges to the notes to the unaudited consolidated financial statements of this quarterly report for further discussion.</w:t>
      </w:r>
    </w:p>
    <w:p>
      <w:pPr>
        <w:spacing w:after="0" w:line="244"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$28.7 million, or 35%, in the nine months ended September 30, 2017 compared to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2016 primarily due to lower impairment expense in the 2017 period and lower depreciation and amortization expense, partially offset by lower contracted rates in Canada.</w:t>
      </w:r>
    </w:p>
    <w:p>
      <w:pPr>
        <w:spacing w:after="0" w:line="17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decreased by $0.6 million, or 4%, in the nine months ended September 30, 2017</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30, 2016 primarily due to lower amounts outstanding under our revolving credit facilities in the first nine months of 2017 as compared to the first nine months of 2016, offset by increases from the 2017 write-off of $0.8 million of debt issuance costs associated with an amendment to the Credit Agreement (as compared to a $0.3 million write-off of debt issuance costs in the first quarter 2016) and higher interest rates on term loan and revolving credit facility borrowings.</w:t>
      </w:r>
    </w:p>
    <w:p>
      <w:pPr>
        <w:spacing w:after="0" w:line="18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nine months ended September 30, 2017 totaled $9.9 million, or 14.6%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$17.2 million, or 17.7% of pretax loss, for the nine months ended September 30, 2016. Our effective tax rates in 2017 and 2016 were reduced approximately 11% and 10%, respectively, by the exclusion of Australia and U.S. for purposes of computing the interim tax provision since they are loss jurisdictions for tax accounting purposes.</w:t>
      </w:r>
    </w:p>
    <w:p>
      <w:pPr>
        <w:spacing w:after="0" w:line="18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income increased $12.2 million in the nine months ended September 30, 2017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2016 primarily as a result of foreign currency translation adjustments due to changes in the Canadian and Australian dollar exchange rates compared to the U.S. dollar. The Canadian dollar exchange rate compared to the U.S. dollar increased 8% from December 31, 2016 to September 30, 2017 compared to a 6% increase from December 31, 2015 to September 30, 2016. The Australian dollar exchange rate compared to the U.S. dollar increased 8% from December 31, 2016 to September 30, 2017 compared to a 5% increase from December 31, 2015 to September 30,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4"/>
          </w:tcPr>
          <w:p>
            <w:pPr>
              <w:ind w:left="4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2"/>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168,654</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182,899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(14,245)</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33,269</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(19,917)</w:t>
            </w:r>
          </w:p>
        </w:tc>
      </w:tr>
      <w:tr>
        <w:trPr>
          <w:trHeight w:val="20"/>
        </w:trPr>
        <w:tc>
          <w:tcPr>
            <w:tcW w:w="86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182,006</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216,168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(34,162)</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125,449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145,914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(20,465)</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14,720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14,647</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10,199</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Occupancy in lodges (5)</w:t>
            </w:r>
          </w:p>
        </w:tc>
        <w:tc>
          <w:tcPr>
            <w:tcW w:w="9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0.766</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0.757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0.009</w:t>
            </w:r>
          </w:p>
        </w:tc>
      </w:tr>
    </w:tbl>
    <w:p>
      <w:pPr>
        <w:spacing w:after="0" w:line="22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-688340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Canadian segment reported revenues in the nine months ended September 30, 2017 that were $34.2 million, or 16%, lower than the nine months ended September 30, 2016. The strengthening of the average exchange rates for the Canadian dollar relative to the U.S. dollar by 1% in the nine months ended September 30, 2017 compared to the nine months ended September 30, 2016 resulted in a $2.3 million year-over-year increase in revenues. In addition, excluding the impact of the stronger Canadian exchange rates, the segment experienced a 9% decline in lodge revenues, primarily due to lower rates. Finally, mobile, open camp and product revenues declined due to overall lower activity levels.</w:t>
      </w:r>
    </w:p>
    <w:p>
      <w:pPr>
        <w:spacing w:after="0" w:line="1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Canadian segment cost of sales and services decreased $20.5 million, or 14%, in the nine months ended September 30, 2017 compared to the nine months ended September 30, 2016, primarily due to the decline in mobile, open camp and product activity, as well as a focus on cost containment and operational efficiencies.</w:t>
      </w:r>
    </w:p>
    <w:p>
      <w:pPr>
        <w:spacing w:after="0" w:line="18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Canadian segment gross margin as a percentage of revenues decreased from 33% in the nine months ended September 30, 2016 to 31% in the nine months ended September 30, 2017 primarily due to lower rates, partially offset by lower costs due to a focus on cost containment and operational efficiencies.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83,164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80,694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r>
      <w:tr>
        <w:trPr>
          <w:trHeight w:val="20"/>
        </w:trPr>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83,164</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80,694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41,753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9,377</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8,753</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0.024</w:t>
            </w:r>
          </w:p>
        </w:tc>
      </w:tr>
    </w:tbl>
    <w:p>
      <w:pPr>
        <w:spacing w:after="0" w:line="24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-688340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Australian segment reported revenues in the nine months ended September 30, 2017 that were $2.5 million, or 3%, higher than the nine months ended September 30, 2016. The strengthening of the average exchange rates for Australian dollars relative to the U.S. dollar by 3% in the nine months ended September 30, 2017 compared to the nine months ended September 30, 2016 resulted in a $2.6 million year-over-year increase in revenues. Excluding the impact of the stronger Australian exchange rates, the segment was flat due to increased occupancy at our villages in Western Australian, offset by reduced occupancy at our villages in the Bowen Basin. Occupancy increased in Western Australia during the nine months ended September 30, 2017 with increased activity from anchor tenants at both our Western Australian village locations. Reduced occupancy in the Bowen Basin is primarily a result of the ongoing slowdown in mining activity.</w:t>
      </w:r>
    </w:p>
    <w:p>
      <w:pPr>
        <w:spacing w:after="0" w:line="18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Australian segment cost of sales increased $2.7 million, or 7%, in the nine months ended September 30, 2017 compared to the nine months ended September 30, 2016. The increase was driven by higher occupancy levels at our villages in Western Australian as well as the strengthening of the Australian dollar.</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Australian segment gross margin as a percentage of revenues decreased to 50% in the nine months ended September 30, 2017 from 52% in the nine months ended September 30, 2016. This was primarily driven by reduced take-or-pay revenues on expired contracts compared to the nine months ended September 30, 2016.</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15,758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6,311</w:t>
            </w:r>
          </w:p>
        </w:tc>
      </w:tr>
      <w:tr>
        <w:trPr>
          <w:trHeight w:val="216"/>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19,481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13,487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5,994</w:t>
            </w:r>
          </w:p>
        </w:tc>
      </w:tr>
      <w:tr>
        <w:trPr>
          <w:trHeight w:val="216"/>
        </w:trPr>
        <w:tc>
          <w:tcPr>
            <w:tcW w:w="8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(23.6%)</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U.S. segment reported revenues in the nine months ended September 30, 2017 that were $6.3 million, or 67%, higher than the nine months ended September 30, 2016. The increase was primarily due to greater U.S. drilling activity in the Bakken, Rockies and Texas markets, partially offset by decreased revenues from our offshore business.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U.S. cost of sales increased $6.0 million, or 44%, in the nine months ended September 30, 2017 compared to the nine months ended September 30, 2016. The increase was driven by greater U.S. drilling activity in the Bakken, Rockies and Texas markets.</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U.S. segment gross margin as a percentage of revenues increased from (43%) in the nine months ended September 30, 2016 to (24%) in the nine months ended September 30, 2017, primarily due to increased activity in the Bakken, Rockies and Texas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Credit Agreement (as amended by the third amendment described below, the Amended Credit Agreement) and proceeds from our equity issuance. In the future, we may seek to access the debt and equity capital markets from time to time to raise additional capital, increase liquidity, fund acquisitions and refinance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liquidity position as of September 30, 2017 and December 31, 2016:</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50"/>
        </w:trPr>
        <w:tc>
          <w:tcPr>
            <w:tcW w:w="63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Lender commitments </w:t>
            </w:r>
            <w:r>
              <w:rPr>
                <w:rFonts w:ascii="Arial" w:cs="Arial" w:eastAsia="Arial" w:hAnsi="Arial"/>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57"/>
        </w:trPr>
        <w:tc>
          <w:tcPr>
            <w:tcW w:w="63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Reductions in availability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(167,358)</w:t>
            </w:r>
          </w:p>
        </w:tc>
        <w:tc>
          <w:tcPr>
            <w:tcW w:w="18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(144,803)</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revolving credit capacity</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(39,129)</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(1,571)</w:t>
            </w: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164,497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166,282</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2" w:lineRule="exact"/>
        <w:rPr>
          <w:sz w:val="20"/>
          <w:szCs w:val="20"/>
          <w:color w:val="auto"/>
        </w:rPr>
      </w:pPr>
    </w:p>
    <w:p>
      <w:pPr>
        <w:ind w:left="660" w:right="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A$0.8 million and A$0.8 million under this facility outstanding as of September 30, 2017 and December 31, 2016, respectively.</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September 30, 2017 and December 31, 2016, $167.4 million and $144.8 million, respectively, of our borrowing capacity under the Amended Credit Agreement could not be utilized in order to maintain compliance with the maximum leverage ratio financial covenant in the 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-701040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Cash totaling $45.5 million was provided by operations during the nine months ended September 30, 2017 compared to $48.8 million provided by operations during the nine months ended September 30, 2016. The decrease in operating cash flow in 2017 compared to 2016 was primarily due to lower revenue resulting from occupancy levels in lodges and villages. Net cash provided by changes in operating assets and liabilities was $4.5 million during the nine months ended September 30, 2017 compared to net cash used in changes in operating assets and liabilities of $0.9 million during the nine months ended September 30, 2016. The increase was primarily the result of income tax refunds received in the third quarter 2017.</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32" w:name="page33"/>
    <w:bookmarkEnd w:id="32"/>
    <w:p>
      <w:pPr>
        <w:ind w:right="20" w:firstLine="324"/>
        <w:spacing w:after="0" w:line="279" w:lineRule="auto"/>
        <w:rPr>
          <w:sz w:val="20"/>
          <w:szCs w:val="20"/>
          <w:color w:val="auto"/>
        </w:rPr>
      </w:pPr>
      <w:r>
        <w:rPr>
          <w:rFonts w:ascii="Arial" w:cs="Arial" w:eastAsia="Arial" w:hAnsi="Arial"/>
          <w:sz w:val="17"/>
          <w:szCs w:val="17"/>
          <w:color w:val="auto"/>
        </w:rPr>
        <w:t>Cash was used in investing activities during the nine months ended September 30, 2017 in the amount of $5.8 million compared to cash used in investing activities during the nine months ended September 30, 2016 in the amount of $11.5 million. Capital expenditures totaled $8.0 million and $15.2 million during the nine months ended September 30, 2017 and 2016, respectively. Capital expenditures in the nine months ended September 30, 2017 and 2016 consisted primarily of routine maintenance capital expenditures as well as investments in an enterprise information system.</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expect our capital expenditures for 2017 to be in the range of $12 million to $15 million, which excludes any expenditures for unannounced and uncommitted projects, the spending for which is contingent on obtaining customer contracts. Whether planned expenditures will match actual expenditures in 2017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Net cash of $10.6 million was provided in financing activities during the nine months ended September 30, 2017, primarily due to net proceeds from our February 2017 equity offering of $64.8 million, offset by net repayments under our revolving credit facilities of $39.9 million, repayments of term loan borrowings of $12.2 million and debt issuance costs of $1.9 million. Net cash of $45.8 million was used in financing activities during the nine months ended September 30, 2016, primarily due to repayments of term loan borrowings of $37.1 million, net repayments of revolver borrowings of $6.6 million and debt issuance costs of $2.0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debt outstanding during the nine months ended September 30, 2017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Canada</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357,267</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Borrowings under revolving credit facilities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4,970</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16,900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44,525</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borrowings under revolving credit facilities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(55,725)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(84,462)</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Repayments of term loans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(12,214)</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(12,214)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22,664</w:t>
            </w:r>
          </w:p>
        </w:tc>
      </w:tr>
      <w:tr>
        <w:trPr>
          <w:trHeight w:val="20"/>
        </w:trPr>
        <w:tc>
          <w:tcPr>
            <w:tcW w:w="5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303,405</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24,375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327,780</w:t>
            </w: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17, 2017, the third amendment to the Credit Agreement became effective, which:</w:t>
      </w:r>
    </w:p>
    <w:p>
      <w:pPr>
        <w:spacing w:after="0" w:line="225" w:lineRule="exact"/>
        <w:rPr>
          <w:sz w:val="20"/>
          <w:szCs w:val="20"/>
          <w:color w:val="auto"/>
        </w:rPr>
      </w:pPr>
    </w:p>
    <w:p>
      <w:pPr>
        <w:ind w:left="660" w:right="18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88"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for the relevant periods,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 Ended</w:t>
            </w:r>
          </w:p>
        </w:tc>
        <w:tc>
          <w:tcPr>
            <w:tcW w:w="1780" w:type="dxa"/>
            <w:vAlign w:val="bottom"/>
            <w:gridSpan w:val="5"/>
          </w:tcPr>
          <w:p>
            <w:pPr>
              <w:spacing w:after="0"/>
              <w:rPr>
                <w:sz w:val="20"/>
                <w:szCs w:val="20"/>
                <w:color w:val="auto"/>
              </w:rPr>
            </w:pPr>
            <w:r>
              <w:rPr>
                <w:rFonts w:ascii="Arial" w:cs="Arial" w:eastAsia="Arial" w:hAnsi="Arial"/>
                <w:sz w:val="18"/>
                <w:szCs w:val="18"/>
                <w:b w:val="1"/>
                <w:bCs w:val="1"/>
                <w:color w:val="auto"/>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1560" w:type="dxa"/>
            <w:vAlign w:val="bottom"/>
            <w:tcBorders>
              <w:top w:val="single" w:sz="8" w:color="auto"/>
            </w:tcBorders>
            <w:gridSpan w:val="4"/>
          </w:tcPr>
          <w:p>
            <w:pPr>
              <w:jc w:val="right"/>
              <w:ind w:right="580"/>
              <w:spacing w:after="0" w:line="196" w:lineRule="exact"/>
              <w:rPr>
                <w:sz w:val="20"/>
                <w:szCs w:val="20"/>
                <w:color w:val="auto"/>
              </w:rPr>
            </w:pPr>
            <w:r>
              <w:rPr>
                <w:rFonts w:ascii="Arial" w:cs="Arial" w:eastAsia="Arial" w:hAnsi="Arial"/>
                <w:sz w:val="18"/>
                <w:szCs w:val="18"/>
                <w:b w:val="1"/>
                <w:bCs w:val="1"/>
                <w:color w:val="auto"/>
              </w:rPr>
              <w:t>Ratio</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5.85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5.50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2019 &amp; thereafter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Amended Credit Agreement.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Facility bear interest at a variable rate equal to the Bank Bill Swap Bid Rate plus a margin of 2.25% to 5.50%,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5.85 to 1.0 (as of September 30,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September 30, 2017.</w:t>
      </w:r>
    </w:p>
    <w:p>
      <w:pPr>
        <w:spacing w:after="0" w:line="1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$1.1 million to $122.2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firstLine="369"/>
        <w:spacing w:after="0" w:line="254" w:lineRule="auto"/>
        <w:rPr>
          <w:sz w:val="20"/>
          <w:szCs w:val="20"/>
          <w:color w:val="auto"/>
        </w:rPr>
      </w:pPr>
      <w:r>
        <w:rPr>
          <w:rFonts w:ascii="Arial" w:cs="Arial" w:eastAsia="Arial" w:hAnsi="Arial"/>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2016. As of September 30, 2017, except for net repayments under our revolving credit facilities, there were no material changes to this disclosures regarding our contractual obligations made in our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2016.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September 30, 2017, we had $327.8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$3.3 million annually, based on our floating-rate debt obligations and interest rates in effect as of September 30,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C$0.2 billion and A$0.5 billion, respectively, at September 30, 2017.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2017 would result in translation adjustments of approximately $20 million and $47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2017,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three months ended September 30, 2017,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6" w:name="page37"/>
    <w:bookmarkEnd w:id="36"/>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included in our Annual Report on Form 10-K for the year ended December 31, 2016.</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INDEX OF EXHIBITS</w:t>
      </w:r>
    </w:p>
    <w:p>
      <w:pPr>
        <w:spacing w:after="0" w:line="221" w:lineRule="exact"/>
        <w:rPr>
          <w:sz w:val="20"/>
          <w:szCs w:val="20"/>
          <w:color w:val="auto"/>
        </w:rPr>
      </w:pPr>
    </w:p>
    <w:p>
      <w:pPr>
        <w:ind w:left="260"/>
        <w:spacing w:after="0"/>
        <w:tabs>
          <w:tab w:leader="none" w:pos="59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3"/>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40">
              <w:r>
                <w:rPr>
                  <w:rFonts w:ascii="Arial" w:cs="Arial" w:eastAsia="Arial" w:hAnsi="Arial"/>
                  <w:sz w:val="18"/>
                  <w:szCs w:val="18"/>
                  <w:color w:val="0000EE"/>
                  <w:w w:val="92"/>
                </w:rPr>
                <w:t>Certification of Chief Executive Officer of Civeo Corporation pursuant to Rules 13a-14(a) or 15d-14(a) under the Securities Exchange Act</w:t>
              </w:r>
            </w:hyperlink>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3"/>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41">
              <w:r>
                <w:rPr>
                  <w:rFonts w:ascii="Arial" w:cs="Arial" w:eastAsia="Arial" w:hAnsi="Arial"/>
                  <w:sz w:val="18"/>
                  <w:szCs w:val="18"/>
                  <w:color w:val="0000EE"/>
                  <w:w w:val="93"/>
                </w:rPr>
                <w:t>Certification of Chief Financial Officer of Civeo Corporation pursuant to Rules 13a-14(a) or 15d-14(a) under the Securities Exchange Act</w:t>
              </w:r>
            </w:hyperlink>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3"/>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42">
              <w:r>
                <w:rPr>
                  <w:rFonts w:ascii="Arial" w:cs="Arial" w:eastAsia="Arial" w:hAnsi="Arial"/>
                  <w:sz w:val="18"/>
                  <w:szCs w:val="18"/>
                  <w:color w:val="0000EE"/>
                  <w:w w:val="92"/>
                </w:rPr>
                <w:t>Certification of Chief Executive Officer of Civeo Corporation pursuant to Rules 13a-14(b) or 15d-14(b) under the Securities Exchange Act</w:t>
              </w:r>
            </w:hyperlink>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3"/>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43">
              <w:r>
                <w:rPr>
                  <w:rFonts w:ascii="Arial" w:cs="Arial" w:eastAsia="Arial" w:hAnsi="Arial"/>
                  <w:sz w:val="18"/>
                  <w:szCs w:val="18"/>
                  <w:color w:val="0000EE"/>
                  <w:w w:val="93"/>
                </w:rPr>
                <w:t>Certification of Chief Financial Officer of Civeo Corporation pursuant to Rules 13a-14(b) or 15d-14(b) under the Securities Exchange Act</w:t>
              </w:r>
            </w:hyperlink>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  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Pr>
          <w:p>
            <w:pPr>
              <w:spacing w:after="0"/>
              <w:rPr>
                <w:sz w:val="24"/>
                <w:szCs w:val="24"/>
                <w:color w:val="auto"/>
              </w:rPr>
            </w:pPr>
          </w:p>
        </w:tc>
      </w:tr>
    </w:tbl>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pacing w:after="0" w:line="221" w:lineRule="exact"/>
        <w:rPr>
          <w:sz w:val="20"/>
          <w:szCs w:val="20"/>
          <w:color w:val="auto"/>
        </w:rPr>
      </w:pPr>
    </w:p>
    <w:p>
      <w:pPr>
        <w:ind w:left="3200"/>
        <w:spacing w:after="0"/>
        <w:tabs>
          <w:tab w:leader="none" w:pos="3940" w:val="left"/>
          <w:tab w:leader="none" w:pos="5720" w:val="left"/>
          <w:tab w:leader="none" w:pos="7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2017</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Frank C. Steininger</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-130810</wp:posOffset>
            </wp:positionV>
            <wp:extent cx="3841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Treasurer (Duly Authorized Officer and Principal</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2017,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October 26, 2017</w:t>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2017,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October 26, 2017</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6"/>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7"/>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Roman"/>
      <w:start w:val="6"/>
    </w:lvl>
  </w:abstractNum>
  <w:abstractNum w:abstractNumId="12">
    <w:nsid w:val="721DA317"/>
    <w:multiLevelType w:val="hybridMultilevel"/>
    <w:lvl w:ilvl="0">
      <w:lvlJc w:val="left"/>
      <w:lvlText w:val="%1."/>
      <w:numFmt w:val="decimal"/>
      <w:start w:val="8"/>
    </w:lvl>
  </w:abstractNum>
  <w:abstractNum w:abstractNumId="13">
    <w:nsid w:val="2443A858"/>
    <w:multiLevelType w:val="hybridMultilevel"/>
    <w:lvl w:ilvl="0">
      <w:lvlJc w:val="left"/>
      <w:lvlText w:val="%1."/>
      <w:numFmt w:val="decimal"/>
      <w:start w:val="9"/>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6"/>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2019-12-29T03:52:41Z</dcterms:created>
  <dcterms:modified xsi:type="dcterms:W3CDTF">2019-12-29T03:52:41Z</dcterms:modified>
</cp:coreProperties>
</file>