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9"/>
          <w:szCs w:val="19"/>
          <w:b w:val="1"/>
          <w:bCs w:val="1"/>
          <w:color w:val="auto"/>
        </w:rPr>
        <w:t>Filed Pursuant to Rule 424(b)(3)</w:t>
      </w:r>
    </w:p>
    <w:p>
      <w:pPr>
        <w:jc w:val="right"/>
        <w:spacing w:after="0"/>
        <w:rPr>
          <w:sz w:val="20"/>
          <w:szCs w:val="20"/>
          <w:color w:val="auto"/>
        </w:rPr>
      </w:pPr>
      <w:r>
        <w:rPr>
          <w:rFonts w:ascii="Arial" w:cs="Arial" w:eastAsia="Arial" w:hAnsi="Arial"/>
          <w:sz w:val="19"/>
          <w:szCs w:val="19"/>
          <w:b w:val="1"/>
          <w:bCs w:val="1"/>
          <w:color w:val="auto"/>
        </w:rPr>
        <w:t>Registration No. 333-233444</w:t>
      </w:r>
    </w:p>
    <w:p>
      <w:pPr>
        <w:spacing w:after="0" w:line="20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2450465</wp:posOffset>
            </wp:positionH>
            <wp:positionV relativeFrom="paragraph">
              <wp:posOffset>227330</wp:posOffset>
            </wp:positionV>
            <wp:extent cx="2726055" cy="1412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1412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CIVEO CORPORATION</w:t>
      </w:r>
    </w:p>
    <w:p>
      <w:pPr>
        <w:spacing w:after="0" w:line="338"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60,756,375 Common Shares</w:t>
      </w:r>
    </w:p>
    <w:p>
      <w:pPr>
        <w:spacing w:after="0" w:line="201" w:lineRule="exact"/>
        <w:rPr>
          <w:sz w:val="24"/>
          <w:szCs w:val="24"/>
          <w:color w:val="auto"/>
        </w:rPr>
      </w:pPr>
    </w:p>
    <w:p>
      <w:pPr>
        <w:jc w:val="both"/>
        <w:ind w:right="100" w:firstLine="685"/>
        <w:spacing w:after="0" w:line="246" w:lineRule="auto"/>
        <w:rPr>
          <w:sz w:val="20"/>
          <w:szCs w:val="20"/>
          <w:color w:val="auto"/>
        </w:rPr>
      </w:pPr>
      <w:r>
        <w:rPr>
          <w:rFonts w:ascii="Arial" w:cs="Arial" w:eastAsia="Arial" w:hAnsi="Arial"/>
          <w:sz w:val="17"/>
          <w:szCs w:val="17"/>
          <w:color w:val="auto"/>
        </w:rPr>
        <w:t>This prospectus relates to up to (i) 30,121,856 common shares of Civeo Corporation issuable to the selling shareholders named herein (the “selling shareholders”) upon conversion of 9,042 shares of Class A Series 1 Preferred Shares of Civeo Corporation (the “Class A Series 1 Preferred Shares”) and (ii) an additional 30,634,519 common shares of Civeo Corporation held by the selling shareholders, in each case, that may be offered and sold from time to time in one or more offerings by the selling shareholders. For more information related to the selling shareholders, please read “Selling Shareholders.”</w:t>
      </w:r>
    </w:p>
    <w:p>
      <w:pPr>
        <w:spacing w:after="0" w:line="126" w:lineRule="exact"/>
        <w:rPr>
          <w:sz w:val="24"/>
          <w:szCs w:val="24"/>
          <w:color w:val="auto"/>
        </w:rPr>
      </w:pPr>
    </w:p>
    <w:p>
      <w:pPr>
        <w:ind w:right="100" w:firstLine="685"/>
        <w:spacing w:after="0" w:line="255" w:lineRule="auto"/>
        <w:rPr>
          <w:sz w:val="20"/>
          <w:szCs w:val="20"/>
          <w:color w:val="auto"/>
        </w:rPr>
      </w:pPr>
      <w:r>
        <w:rPr>
          <w:rFonts w:ascii="Arial" w:cs="Arial" w:eastAsia="Arial" w:hAnsi="Arial"/>
          <w:sz w:val="17"/>
          <w:szCs w:val="17"/>
          <w:color w:val="auto"/>
        </w:rPr>
        <w:t>The selling shareholders may offer and sell these common shares to or through one or more underwriters, dealers or agents, or directly to investors or through any other means described in this prospectus under “Plan of Distribution,” in amounts, at prices and on terms to be determined by market conditions and other factors at the time of the offering. Each selling shareholder may elect to sell all, a portion or none of the common shares offered hereby.</w:t>
      </w:r>
    </w:p>
    <w:p>
      <w:pPr>
        <w:spacing w:after="0" w:line="119" w:lineRule="exact"/>
        <w:rPr>
          <w:sz w:val="24"/>
          <w:szCs w:val="24"/>
          <w:color w:val="auto"/>
        </w:rPr>
      </w:pPr>
    </w:p>
    <w:p>
      <w:pPr>
        <w:ind w:firstLine="685"/>
        <w:spacing w:after="0" w:line="219" w:lineRule="auto"/>
        <w:rPr>
          <w:sz w:val="20"/>
          <w:szCs w:val="20"/>
          <w:color w:val="auto"/>
        </w:rPr>
      </w:pPr>
      <w:r>
        <w:rPr>
          <w:rFonts w:ascii="Arial" w:cs="Arial" w:eastAsia="Arial" w:hAnsi="Arial"/>
          <w:sz w:val="19"/>
          <w:szCs w:val="19"/>
          <w:color w:val="auto"/>
        </w:rPr>
        <w:t>We do not know which method, in what amount, or at what time or times the selling shareholders may sell the common shares covered by this prospectus. We will not receive any proceeds from the sale of any common shares covered by this prospectus. We generally will bear the expenses and fees in connection with the registration of the common shares. The selling shareholders will bear all discounts and commissions and transfer taxes or stamp or other duties, if any, attributable to the sale of common shares.</w:t>
      </w:r>
    </w:p>
    <w:p>
      <w:pPr>
        <w:spacing w:after="0" w:line="129" w:lineRule="exact"/>
        <w:rPr>
          <w:sz w:val="24"/>
          <w:szCs w:val="24"/>
          <w:color w:val="auto"/>
        </w:rPr>
      </w:pPr>
    </w:p>
    <w:p>
      <w:pPr>
        <w:ind w:right="120" w:firstLine="685"/>
        <w:spacing w:after="0" w:line="219" w:lineRule="auto"/>
        <w:rPr>
          <w:sz w:val="20"/>
          <w:szCs w:val="20"/>
          <w:color w:val="auto"/>
        </w:rPr>
      </w:pPr>
      <w:r>
        <w:rPr>
          <w:rFonts w:ascii="Arial" w:cs="Arial" w:eastAsia="Arial" w:hAnsi="Arial"/>
          <w:sz w:val="19"/>
          <w:szCs w:val="19"/>
          <w:color w:val="auto"/>
        </w:rPr>
        <w:t>This prospectus contains a general description of the common shares. We may file one or more prospectus supplements that may describe the specific manner in which the selling shareholders will offer the common shares. You should read this prospectus and any prospectus supplement carefully before you invest. Our common shares are listed on the New York Stock Exchange (the “NYSE”) under the symbol “CVEO.” The last reported sale price of our common shares on September 4, 2019, as reported by the NYSE, was $1.40 per share.</w:t>
      </w:r>
    </w:p>
    <w:p>
      <w:pPr>
        <w:spacing w:after="0" w:line="129" w:lineRule="exact"/>
        <w:rPr>
          <w:sz w:val="24"/>
          <w:szCs w:val="24"/>
          <w:color w:val="auto"/>
        </w:rPr>
      </w:pPr>
    </w:p>
    <w:p>
      <w:pPr>
        <w:ind w:right="40" w:firstLine="685"/>
        <w:spacing w:after="0" w:line="224" w:lineRule="auto"/>
        <w:rPr>
          <w:sz w:val="20"/>
          <w:szCs w:val="20"/>
          <w:color w:val="auto"/>
        </w:rPr>
      </w:pPr>
      <w:r>
        <w:rPr>
          <w:rFonts w:ascii="Arial" w:cs="Arial" w:eastAsia="Arial" w:hAnsi="Arial"/>
          <w:sz w:val="19"/>
          <w:szCs w:val="19"/>
          <w:b w:val="1"/>
          <w:bCs w:val="1"/>
          <w:i w:val="1"/>
          <w:iCs w:val="1"/>
          <w:color w:val="auto"/>
        </w:rPr>
        <w:t>Investing in our securities involves risks. Please carefully review the information under the heading “Risk Factors” on page 1. In addition, risks associated with any investment in our securities may be described in the applicable prospectus supplement and certain of our filings with the Securities and Exchange Commission, as described in “Risk Factors” on 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305435</wp:posOffset>
            </wp:positionV>
            <wp:extent cx="765048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300" w:firstLine="685"/>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The date of this prospectus is September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346710</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0"/>
          </w:cols>
          <w:pgMar w:left="120" w:top="68" w:right="120" w:bottom="1440" w:gutter="0" w:footer="0" w:header="0"/>
        </w:sectPr>
      </w:pPr>
    </w:p>
    <w:bookmarkStart w:id="1" w:name="page2"/>
    <w:bookmarkEnd w:id="1"/>
    <w:p>
      <w:pPr>
        <w:ind w:left="4980"/>
        <w:spacing w:after="0"/>
        <w:rPr>
          <w:sz w:val="20"/>
          <w:szCs w:val="20"/>
          <w:color w:val="auto"/>
        </w:rPr>
      </w:pPr>
      <w:r>
        <w:rPr>
          <w:rFonts w:ascii="Arial" w:cs="Arial" w:eastAsia="Arial" w:hAnsi="Arial"/>
          <w:sz w:val="19"/>
          <w:szCs w:val="1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625080" cy="235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23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9"/>
          <w:szCs w:val="19"/>
          <w:color w:val="auto"/>
        </w:rPr>
        <w:t>About Civeo Corporation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235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23558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Forward-Looking Information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235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23558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Description of Share Capital</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235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23558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Plan of Distribution</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625080" cy="235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23558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Experts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3500"/>
        <w:spacing w:after="0"/>
        <w:rPr>
          <w:sz w:val="20"/>
          <w:szCs w:val="20"/>
          <w:color w:val="auto"/>
        </w:rPr>
      </w:pPr>
      <w:r>
        <w:rPr>
          <w:rFonts w:ascii="Arial" w:cs="Arial" w:eastAsia="Arial" w:hAnsi="Arial"/>
          <w:sz w:val="19"/>
          <w:szCs w:val="19"/>
          <w:b w:val="1"/>
          <w:bCs w:val="1"/>
          <w:color w:val="auto"/>
        </w:rPr>
        <w:t>ABOUT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Page</w:t>
      </w:r>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1</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1</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1</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3</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6">
        <w:r>
          <w:rPr>
            <w:rFonts w:ascii="Arial" w:cs="Arial" w:eastAsia="Arial" w:hAnsi="Arial"/>
            <w:sz w:val="19"/>
            <w:szCs w:val="19"/>
            <w:u w:val="single" w:color="auto"/>
            <w:color w:val="0000EE"/>
          </w:rPr>
          <w:t>4</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11">
        <w:r>
          <w:rPr>
            <w:rFonts w:ascii="Arial" w:cs="Arial" w:eastAsia="Arial" w:hAnsi="Arial"/>
            <w:sz w:val="19"/>
            <w:szCs w:val="19"/>
            <w:u w:val="single" w:color="auto"/>
            <w:color w:val="0000EE"/>
          </w:rPr>
          <w:t>9</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13">
        <w:r>
          <w:rPr>
            <w:rFonts w:ascii="Arial" w:cs="Arial" w:eastAsia="Arial" w:hAnsi="Arial"/>
            <w:sz w:val="19"/>
            <w:szCs w:val="19"/>
            <w:u w:val="single" w:color="auto"/>
            <w:color w:val="0000EE"/>
          </w:rPr>
          <w:t>11</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16">
        <w:r>
          <w:rPr>
            <w:rFonts w:ascii="Arial" w:cs="Arial" w:eastAsia="Arial" w:hAnsi="Arial"/>
            <w:sz w:val="19"/>
            <w:szCs w:val="19"/>
            <w:u w:val="single" w:color="auto"/>
            <w:color w:val="0000EE"/>
          </w:rPr>
          <w:t>14</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16">
        <w:r>
          <w:rPr>
            <w:rFonts w:ascii="Arial" w:cs="Arial" w:eastAsia="Arial" w:hAnsi="Arial"/>
            <w:sz w:val="19"/>
            <w:szCs w:val="19"/>
            <w:u w:val="single" w:color="auto"/>
            <w:color w:val="0000EE"/>
          </w:rPr>
          <w:t>14</w:t>
        </w:r>
      </w:hyperlink>
    </w:p>
    <w:p>
      <w:pPr>
        <w:spacing w:after="0" w:line="152" w:lineRule="exact"/>
        <w:rPr>
          <w:sz w:val="20"/>
          <w:szCs w:val="20"/>
          <w:color w:val="auto"/>
        </w:rPr>
      </w:pPr>
    </w:p>
    <w:p>
      <w:pPr>
        <w:jc w:val="right"/>
        <w:spacing w:after="0"/>
        <w:rPr>
          <w:rFonts w:ascii="Arial" w:cs="Arial" w:eastAsia="Arial" w:hAnsi="Arial"/>
          <w:sz w:val="19"/>
          <w:szCs w:val="19"/>
          <w:u w:val="single" w:color="auto"/>
          <w:color w:val="0000EE"/>
        </w:rPr>
      </w:pPr>
      <w:hyperlink w:anchor="page16">
        <w:r>
          <w:rPr>
            <w:rFonts w:ascii="Arial" w:cs="Arial" w:eastAsia="Arial" w:hAnsi="Arial"/>
            <w:sz w:val="19"/>
            <w:szCs w:val="19"/>
            <w:u w:val="single" w:color="auto"/>
            <w:color w:val="0000EE"/>
          </w:rPr>
          <w:t>14</w:t>
        </w:r>
      </w:hyperlink>
    </w:p>
    <w:p>
      <w:pPr>
        <w:spacing w:after="0" w:line="1035" w:lineRule="exact"/>
        <w:rPr>
          <w:sz w:val="20"/>
          <w:szCs w:val="20"/>
          <w:color w:val="auto"/>
        </w:rPr>
      </w:pPr>
    </w:p>
    <w:p>
      <w:pPr>
        <w:sectPr>
          <w:pgSz w:w="12240" w:h="15840" w:orient="portrait"/>
          <w:cols w:equalWidth="0" w:num="2">
            <w:col w:w="10740" w:space="720"/>
            <w:col w:w="520"/>
          </w:cols>
          <w:pgMar w:left="120" w:top="236" w:right="140" w:bottom="1440" w:gutter="0" w:footer="0" w:header="0"/>
        </w:sectPr>
      </w:pPr>
    </w:p>
    <w:p>
      <w:pPr>
        <w:spacing w:after="0" w:line="1" w:lineRule="exact"/>
        <w:rPr>
          <w:sz w:val="20"/>
          <w:szCs w:val="20"/>
          <w:color w:val="auto"/>
        </w:rPr>
      </w:pPr>
    </w:p>
    <w:p>
      <w:pPr>
        <w:ind w:right="20" w:firstLine="685"/>
        <w:spacing w:after="0" w:line="237"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(the “SEC”) using a “shelf” registration process. Under this shelf registration process, the selling shareholders may, over time, offer and sell the common shares described in this prospectus in one or more offerings or resales. This prospectus provides a general description of the common shares. Each time the selling shareholders sell common shares, the selling shareholders may provide a prospectus supplement that will contain specific information about the terms of that offering. The prospectus supplement may also add to, update or change information contained in this prospectus and, accordingly, to the extent inconsistent, information in this prospectus will be superseded by the information in the prospectus supplement. You should read both this prospectus and any prospectus supplement together with additional information described under the heading “Where You Can Find More Information.”</w:t>
      </w:r>
    </w:p>
    <w:p>
      <w:pPr>
        <w:spacing w:after="0" w:line="169" w:lineRule="exact"/>
        <w:rPr>
          <w:sz w:val="20"/>
          <w:szCs w:val="20"/>
          <w:color w:val="auto"/>
        </w:rPr>
      </w:pPr>
    </w:p>
    <w:p>
      <w:pPr>
        <w:ind w:right="160" w:firstLine="685"/>
        <w:spacing w:after="0" w:line="258" w:lineRule="auto"/>
        <w:rPr>
          <w:sz w:val="20"/>
          <w:szCs w:val="20"/>
          <w:color w:val="auto"/>
        </w:rPr>
      </w:pPr>
      <w:r>
        <w:rPr>
          <w:rFonts w:ascii="Arial" w:cs="Arial" w:eastAsia="Arial" w:hAnsi="Arial"/>
          <w:sz w:val="16"/>
          <w:szCs w:val="16"/>
          <w:b w:val="1"/>
          <w:bCs w:val="1"/>
          <w:color w:val="auto"/>
        </w:rPr>
        <w:t>We and the selling shareholders have not authorized anyone to provide any information or to make any representations other than those contained in this prospectus or incorporated by reference in this prospectus. We and the selling shareholders take no responsibility for, and can provide no assurance as to the reliability of, any other information that others may give you. This prospectus may only be used where it is legal to sell the offered securities.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117" w:lineRule="exact"/>
        <w:rPr>
          <w:sz w:val="20"/>
          <w:szCs w:val="20"/>
          <w:color w:val="auto"/>
        </w:rPr>
      </w:pPr>
    </w:p>
    <w:p>
      <w:pPr>
        <w:ind w:right="160" w:firstLine="685"/>
        <w:spacing w:after="0" w:line="234" w:lineRule="auto"/>
        <w:rPr>
          <w:sz w:val="20"/>
          <w:szCs w:val="20"/>
          <w:color w:val="auto"/>
        </w:rPr>
      </w:pPr>
      <w:r>
        <w:rPr>
          <w:rFonts w:ascii="Arial" w:cs="Arial" w:eastAsia="Arial" w:hAnsi="Arial"/>
          <w:sz w:val="19"/>
          <w:szCs w:val="19"/>
          <w:color w:val="auto"/>
        </w:rPr>
        <w:t>Unless the context requires otherwise, references in this prospectus to “Civeo,” the “Company,” “we,” “us,” “our” and similar terms refer to Civeo Corporation and its consolidated subsidiaries.</w:t>
      </w:r>
    </w:p>
    <w:p>
      <w:pPr>
        <w:sectPr>
          <w:pgSz w:w="12240" w:h="15840" w:orient="portrait"/>
          <w:cols w:equalWidth="0" w:num="1">
            <w:col w:w="11980"/>
          </w:cols>
          <w:pgMar w:left="120" w:top="236" w:right="140"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color w:val="auto"/>
        </w:rPr>
        <w:t>ABOUT CIVEO CORPORATION</w:t>
      </w:r>
    </w:p>
    <w:p>
      <w:pPr>
        <w:spacing w:after="0" w:line="215" w:lineRule="exact"/>
        <w:rPr>
          <w:sz w:val="20"/>
          <w:szCs w:val="20"/>
          <w:color w:val="auto"/>
        </w:rPr>
      </w:pPr>
    </w:p>
    <w:p>
      <w:pPr>
        <w:ind w:right="20" w:firstLine="685"/>
        <w:spacing w:after="0" w:line="289"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Our executive offices are located at Three Allen Center, 333 Clay Street, Suite 4980, Houston, Texas 77002, and our telephone number is (713) 510-</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2400.</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RISK FACTORS</w:t>
      </w:r>
    </w:p>
    <w:p>
      <w:pPr>
        <w:spacing w:after="0" w:line="201" w:lineRule="exact"/>
        <w:rPr>
          <w:sz w:val="20"/>
          <w:szCs w:val="20"/>
          <w:color w:val="auto"/>
        </w:rPr>
      </w:pPr>
    </w:p>
    <w:p>
      <w:pPr>
        <w:ind w:right="20" w:firstLine="685"/>
        <w:spacing w:after="0" w:line="215" w:lineRule="auto"/>
        <w:rPr>
          <w:sz w:val="20"/>
          <w:szCs w:val="20"/>
          <w:color w:val="auto"/>
        </w:rPr>
      </w:pPr>
      <w:r>
        <w:rPr>
          <w:rFonts w:ascii="Arial" w:cs="Arial" w:eastAsia="Arial" w:hAnsi="Arial"/>
          <w:sz w:val="19"/>
          <w:szCs w:val="19"/>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77" w:lineRule="exact"/>
        <w:rPr>
          <w:sz w:val="20"/>
          <w:szCs w:val="20"/>
          <w:color w:val="auto"/>
        </w:rPr>
      </w:pPr>
    </w:p>
    <w:p>
      <w:pPr>
        <w:ind w:right="100" w:firstLine="685"/>
        <w:spacing w:after="0" w:line="224" w:lineRule="auto"/>
        <w:rPr>
          <w:sz w:val="20"/>
          <w:szCs w:val="20"/>
          <w:color w:val="auto"/>
        </w:rPr>
      </w:pPr>
      <w:r>
        <w:rPr>
          <w:rFonts w:ascii="Arial" w:cs="Arial" w:eastAsia="Arial" w:hAnsi="Arial"/>
          <w:sz w:val="19"/>
          <w:szCs w:val="19"/>
          <w:color w:val="auto"/>
        </w:rPr>
        <w:t>If any of these risks were to occur, our business, financial condition, results of operations or cash flows could be adversely affected. You could lose all or part of your investment. When the selling shareholders sell any common shares pursuant to a prospectus supplement, we may include additional risk factors relevant to that offering in the prospectus supplement.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FORWARD-LOOKING INFORMATION</w:t>
      </w:r>
    </w:p>
    <w:p>
      <w:pPr>
        <w:spacing w:after="0" w:line="201" w:lineRule="exact"/>
        <w:rPr>
          <w:sz w:val="20"/>
          <w:szCs w:val="20"/>
          <w:color w:val="auto"/>
        </w:rPr>
      </w:pPr>
    </w:p>
    <w:p>
      <w:pPr>
        <w:ind w:right="40" w:firstLine="685"/>
        <w:spacing w:after="0" w:line="234" w:lineRule="auto"/>
        <w:rPr>
          <w:sz w:val="20"/>
          <w:szCs w:val="20"/>
          <w:color w:val="auto"/>
        </w:rPr>
      </w:pPr>
      <w:r>
        <w:rPr>
          <w:rFonts w:ascii="Arial" w:cs="Arial" w:eastAsia="Arial" w:hAnsi="Arial"/>
          <w:sz w:val="17"/>
          <w:szCs w:val="17"/>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76" w:lineRule="exact"/>
        <w:rPr>
          <w:sz w:val="20"/>
          <w:szCs w:val="20"/>
          <w:color w:val="auto"/>
        </w:rPr>
      </w:pPr>
    </w:p>
    <w:p>
      <w:pPr>
        <w:ind w:right="140" w:firstLine="685"/>
        <w:spacing w:after="0" w:line="231"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44" w:lineRule="exact"/>
        <w:rPr>
          <w:sz w:val="20"/>
          <w:szCs w:val="20"/>
          <w:color w:val="auto"/>
        </w:rPr>
      </w:pPr>
    </w:p>
    <w:p>
      <w:pPr>
        <w:ind w:left="1020" w:hanging="341"/>
        <w:spacing w:after="0"/>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level of supply and demand for oil, coal, natural gas, iron ore and other minerals;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level of activity, spending and developments in the Canadian oil sands;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980"/>
          </w:cols>
          <w:pgMar w:left="120" w:top="222" w:right="140" w:bottom="1440" w:gutter="0" w:footer="0" w:header="0"/>
        </w:sectPr>
      </w:pPr>
    </w:p>
    <w:bookmarkStart w:id="3" w:name="page4"/>
    <w:bookmarkEnd w:id="3"/>
    <w:p>
      <w:pPr>
        <w:ind w:left="1020" w:hanging="341"/>
        <w:spacing w:after="0" w:line="336"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37" w:lineRule="exact"/>
        <w:rPr>
          <w:rFonts w:ascii="Arial" w:cs="Arial" w:eastAsia="Arial" w:hAnsi="Arial"/>
          <w:sz w:val="17"/>
          <w:szCs w:val="17"/>
          <w:color w:val="auto"/>
        </w:rPr>
      </w:pPr>
    </w:p>
    <w:p>
      <w:pPr>
        <w:ind w:left="1020" w:right="360" w:hanging="341"/>
        <w:spacing w:after="0" w:line="30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plans or otherwise achieve our forecasts and other expectations with respect to our 2018 acquisition of Noralta Lodge Ltd. and to realize the anticipated synergies and cost savings in the time frame anticipated or at all;</w:t>
      </w:r>
    </w:p>
    <w:p>
      <w:pPr>
        <w:spacing w:after="0" w:line="160" w:lineRule="exact"/>
        <w:rPr>
          <w:rFonts w:ascii="Arial" w:cs="Arial" w:eastAsia="Arial" w:hAnsi="Arial"/>
          <w:sz w:val="18"/>
          <w:szCs w:val="18"/>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level of demand for coal and other natural resources from, and investments and opportunities in, Australia;</w:t>
      </w:r>
    </w:p>
    <w:p>
      <w:pPr>
        <w:spacing w:after="0" w:line="237" w:lineRule="exact"/>
        <w:rPr>
          <w:rFonts w:ascii="Arial" w:cs="Arial" w:eastAsia="Arial" w:hAnsi="Arial"/>
          <w:sz w:val="19"/>
          <w:szCs w:val="19"/>
          <w:color w:val="auto"/>
        </w:rPr>
      </w:pPr>
    </w:p>
    <w:p>
      <w:pPr>
        <w:ind w:left="1020" w:right="260" w:hanging="341"/>
        <w:spacing w:after="0" w:line="275" w:lineRule="auto"/>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availability of attractive oil and natural gas field assets, which may be affected by governmental actions or environmental activists which may restrict drilling;</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the current and future prices of oil, coal, natural gas, iron ore and other minerals;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currency exchange rates;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general global economic conditions and the pace of global economic growth;</w:t>
      </w:r>
    </w:p>
    <w:p>
      <w:pPr>
        <w:spacing w:after="0" w:line="237" w:lineRule="exact"/>
        <w:rPr>
          <w:rFonts w:ascii="Arial" w:cs="Arial" w:eastAsia="Arial" w:hAnsi="Arial"/>
          <w:sz w:val="19"/>
          <w:szCs w:val="19"/>
          <w:color w:val="auto"/>
        </w:rPr>
      </w:pPr>
    </w:p>
    <w:p>
      <w:pPr>
        <w:ind w:left="1020" w:right="260" w:hanging="341"/>
        <w:spacing w:after="0" w:line="275" w:lineRule="auto"/>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changes in tax laws, tax treaties or tax regulations or the interpretation or enforcement thereof, including taxing authorities not agreeing with our assessment of the effects of such laws, treaties and regulations;</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global weather conditions, natural disasters and security threats;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hire and retain skilled personnel;</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availability and cost of capital, including the ability to access the debt and equity markets;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development of new projects, including whether such projects will continue in the future;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other factors identified under “Risk Factors” above.</w:t>
      </w:r>
    </w:p>
    <w:p>
      <w:pPr>
        <w:spacing w:after="0" w:line="224" w:lineRule="exact"/>
        <w:rPr>
          <w:sz w:val="20"/>
          <w:szCs w:val="20"/>
          <w:color w:val="auto"/>
        </w:rPr>
      </w:pPr>
    </w:p>
    <w:p>
      <w:pPr>
        <w:ind w:right="140" w:firstLine="685"/>
        <w:spacing w:after="0" w:line="234" w:lineRule="auto"/>
        <w:rPr>
          <w:sz w:val="20"/>
          <w:szCs w:val="20"/>
          <w:color w:val="auto"/>
        </w:rPr>
      </w:pPr>
      <w:r>
        <w:rPr>
          <w:rFonts w:ascii="Arial" w:cs="Arial" w:eastAsia="Arial" w:hAnsi="Arial"/>
          <w:sz w:val="19"/>
          <w:szCs w:val="19"/>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3" w:lineRule="exact"/>
        <w:rPr>
          <w:sz w:val="20"/>
          <w:szCs w:val="20"/>
          <w:color w:val="auto"/>
        </w:rPr>
      </w:pPr>
    </w:p>
    <w:p>
      <w:pPr>
        <w:ind w:right="260" w:firstLine="685"/>
        <w:spacing w:after="0" w:line="219" w:lineRule="auto"/>
        <w:rPr>
          <w:sz w:val="20"/>
          <w:szCs w:val="20"/>
          <w:color w:val="auto"/>
        </w:rPr>
      </w:pPr>
      <w:r>
        <w:rPr>
          <w:rFonts w:ascii="Arial" w:cs="Arial" w:eastAsia="Arial" w:hAnsi="Arial"/>
          <w:sz w:val="19"/>
          <w:szCs w:val="19"/>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980"/>
          </w:cols>
          <w:pgMar w:left="120" w:top="242" w:right="1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9"/>
          <w:szCs w:val="19"/>
          <w:b w:val="1"/>
          <w:bCs w:val="1"/>
          <w:color w:val="auto"/>
        </w:rPr>
        <w:t>USE OF PROCEEDS</w:t>
      </w:r>
    </w:p>
    <w:p>
      <w:pPr>
        <w:spacing w:after="0" w:line="201" w:lineRule="exact"/>
        <w:rPr>
          <w:sz w:val="20"/>
          <w:szCs w:val="20"/>
          <w:color w:val="auto"/>
        </w:rPr>
      </w:pPr>
    </w:p>
    <w:p>
      <w:pPr>
        <w:ind w:firstLine="770"/>
        <w:spacing w:after="0" w:line="234" w:lineRule="auto"/>
        <w:rPr>
          <w:sz w:val="20"/>
          <w:szCs w:val="20"/>
          <w:color w:val="auto"/>
        </w:rPr>
      </w:pPr>
      <w:r>
        <w:rPr>
          <w:rFonts w:ascii="Arial" w:cs="Arial" w:eastAsia="Arial" w:hAnsi="Arial"/>
          <w:sz w:val="19"/>
          <w:szCs w:val="19"/>
          <w:color w:val="auto"/>
        </w:rPr>
        <w:t>The common shares to be offered and sold using this prospectus will be offered and sold by the selling shareholders. We will not receive any of the proceeds from the sale of the common shares by the selling shareholders.</w:t>
      </w:r>
    </w:p>
    <w:p>
      <w:pPr>
        <w:spacing w:after="0" w:line="130" w:lineRule="exact"/>
        <w:rPr>
          <w:sz w:val="20"/>
          <w:szCs w:val="20"/>
          <w:color w:val="auto"/>
        </w:rPr>
      </w:pPr>
    </w:p>
    <w:p>
      <w:pPr>
        <w:ind w:right="240" w:firstLine="770"/>
        <w:spacing w:after="0" w:line="234" w:lineRule="auto"/>
        <w:rPr>
          <w:sz w:val="20"/>
          <w:szCs w:val="20"/>
          <w:color w:val="auto"/>
        </w:rPr>
      </w:pPr>
      <w:r>
        <w:rPr>
          <w:rFonts w:ascii="Arial" w:cs="Arial" w:eastAsia="Arial" w:hAnsi="Arial"/>
          <w:sz w:val="19"/>
          <w:szCs w:val="19"/>
          <w:color w:val="auto"/>
        </w:rPr>
        <w:t>We have agreed to pay certain expenses of the selling shareholders in connection with the sale of the common shares offered by this prospectus. Please read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940"/>
          </w:cols>
          <w:pgMar w:left="120" w:top="450" w:right="1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DESCRIPTION OF SHARE CAPITAL</w:t>
      </w:r>
    </w:p>
    <w:p>
      <w:pPr>
        <w:spacing w:after="0" w:line="201" w:lineRule="exact"/>
        <w:rPr>
          <w:sz w:val="20"/>
          <w:szCs w:val="20"/>
          <w:color w:val="auto"/>
        </w:rPr>
      </w:pPr>
    </w:p>
    <w:p>
      <w:pPr>
        <w:jc w:val="both"/>
        <w:ind w:right="60" w:firstLine="685"/>
        <w:spacing w:after="0" w:line="224" w:lineRule="auto"/>
        <w:rPr>
          <w:sz w:val="20"/>
          <w:szCs w:val="20"/>
          <w:color w:val="auto"/>
        </w:rPr>
      </w:pPr>
      <w:r>
        <w:rPr>
          <w:rFonts w:ascii="Arial" w:cs="Arial" w:eastAsia="Arial" w:hAnsi="Arial"/>
          <w:sz w:val="19"/>
          <w:szCs w:val="19"/>
          <w:color w:val="auto"/>
        </w:rPr>
        <w:t>The following describes our common shares, preferred shares, notice of articles and amended and restated articles (“articles”). This description is a summary only. We encourage you to read the complete text of our notice of articles and articles, which we have filed as exhibits to the registration statement of which this prospectus is a part.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Authorized Share Capital</w:t>
      </w:r>
    </w:p>
    <w:p>
      <w:pPr>
        <w:spacing w:after="0" w:line="158" w:lineRule="exact"/>
        <w:rPr>
          <w:sz w:val="20"/>
          <w:szCs w:val="20"/>
          <w:color w:val="auto"/>
        </w:rPr>
      </w:pPr>
    </w:p>
    <w:p>
      <w:pPr>
        <w:ind w:right="20" w:firstLine="685"/>
        <w:spacing w:after="0" w:line="256" w:lineRule="auto"/>
        <w:rPr>
          <w:sz w:val="20"/>
          <w:szCs w:val="20"/>
          <w:color w:val="auto"/>
        </w:rPr>
      </w:pPr>
      <w:r>
        <w:rPr>
          <w:rFonts w:ascii="Arial" w:cs="Arial" w:eastAsia="Arial" w:hAnsi="Arial"/>
          <w:sz w:val="16"/>
          <w:szCs w:val="16"/>
          <w:color w:val="auto"/>
        </w:rPr>
        <w:t>Our authorized shares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w:t>
      </w:r>
    </w:p>
    <w:p>
      <w:pPr>
        <w:spacing w:after="0" w:line="163" w:lineRule="exact"/>
        <w:rPr>
          <w:sz w:val="20"/>
          <w:szCs w:val="20"/>
          <w:color w:val="auto"/>
        </w:rPr>
      </w:pPr>
    </w:p>
    <w:p>
      <w:pPr>
        <w:jc w:val="both"/>
        <w:ind w:right="100" w:firstLine="685"/>
        <w:spacing w:after="0" w:line="231" w:lineRule="auto"/>
        <w:rPr>
          <w:sz w:val="20"/>
          <w:szCs w:val="20"/>
          <w:color w:val="auto"/>
        </w:rPr>
      </w:pPr>
      <w:r>
        <w:rPr>
          <w:rFonts w:ascii="Arial" w:cs="Arial" w:eastAsia="Arial" w:hAnsi="Arial"/>
          <w:sz w:val="18"/>
          <w:szCs w:val="18"/>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73" w:lineRule="exact"/>
        <w:rPr>
          <w:sz w:val="20"/>
          <w:szCs w:val="20"/>
          <w:color w:val="auto"/>
        </w:rPr>
      </w:pPr>
    </w:p>
    <w:p>
      <w:pPr>
        <w:ind w:right="40" w:firstLine="685"/>
        <w:spacing w:after="0" w:line="219" w:lineRule="auto"/>
        <w:rPr>
          <w:sz w:val="20"/>
          <w:szCs w:val="20"/>
          <w:color w:val="auto"/>
        </w:rPr>
      </w:pPr>
      <w:r>
        <w:rPr>
          <w:rFonts w:ascii="Arial" w:cs="Arial" w:eastAsia="Arial" w:hAnsi="Arial"/>
          <w:sz w:val="19"/>
          <w:szCs w:val="19"/>
          <w:color w:val="auto"/>
        </w:rPr>
        <w:t>The rights and restrictions to which the common shares and Class A Series 1 Preferred Shares are subject are set out in our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Common Shares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Voting Rights</w:t>
      </w:r>
    </w:p>
    <w:p>
      <w:pPr>
        <w:spacing w:after="0" w:line="152" w:lineRule="exact"/>
        <w:rPr>
          <w:sz w:val="20"/>
          <w:szCs w:val="20"/>
          <w:color w:val="auto"/>
        </w:rPr>
      </w:pPr>
    </w:p>
    <w:p>
      <w:pPr>
        <w:ind w:right="20" w:firstLine="685"/>
        <w:spacing w:after="0" w:line="237" w:lineRule="auto"/>
        <w:rPr>
          <w:sz w:val="20"/>
          <w:szCs w:val="20"/>
          <w:color w:val="auto"/>
        </w:rPr>
      </w:pPr>
      <w:r>
        <w:rPr>
          <w:rFonts w:ascii="Arial" w:cs="Arial" w:eastAsia="Arial" w:hAnsi="Arial"/>
          <w:sz w:val="17"/>
          <w:szCs w:val="17"/>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“BCA”).</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Dividends</w:t>
      </w:r>
    </w:p>
    <w:p>
      <w:pPr>
        <w:spacing w:after="0" w:line="152" w:lineRule="exact"/>
        <w:rPr>
          <w:sz w:val="20"/>
          <w:szCs w:val="20"/>
          <w:color w:val="auto"/>
        </w:rPr>
      </w:pPr>
    </w:p>
    <w:p>
      <w:pPr>
        <w:ind w:firstLine="685"/>
        <w:spacing w:after="0" w:line="227" w:lineRule="auto"/>
        <w:rPr>
          <w:sz w:val="20"/>
          <w:szCs w:val="20"/>
          <w:color w:val="auto"/>
        </w:rPr>
      </w:pPr>
      <w:r>
        <w:rPr>
          <w:rFonts w:ascii="Arial" w:cs="Arial" w:eastAsia="Arial" w:hAnsi="Arial"/>
          <w:sz w:val="18"/>
          <w:szCs w:val="18"/>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Conversion, Sinking Fund, Redemption, Liquidation and Preemption Rights</w:t>
      </w:r>
    </w:p>
    <w:p>
      <w:pPr>
        <w:spacing w:after="0" w:line="152" w:lineRule="exact"/>
        <w:rPr>
          <w:sz w:val="20"/>
          <w:szCs w:val="20"/>
          <w:color w:val="auto"/>
        </w:rPr>
      </w:pPr>
    </w:p>
    <w:p>
      <w:pPr>
        <w:ind w:right="160" w:firstLine="685"/>
        <w:spacing w:after="0" w:line="231" w:lineRule="auto"/>
        <w:rPr>
          <w:sz w:val="20"/>
          <w:szCs w:val="20"/>
          <w:color w:val="auto"/>
        </w:rPr>
      </w:pPr>
      <w:r>
        <w:rPr>
          <w:rFonts w:ascii="Arial" w:cs="Arial" w:eastAsia="Arial" w:hAnsi="Arial"/>
          <w:sz w:val="18"/>
          <w:szCs w:val="18"/>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960"/>
          </w:cols>
          <w:pgMar w:left="120" w:top="222" w:right="160" w:bottom="1440" w:gutter="0" w:footer="0" w:header="0"/>
        </w:sectPr>
      </w:pPr>
    </w:p>
    <w:bookmarkStart w:id="6" w:name="page7"/>
    <w:bookmarkEnd w:id="6"/>
    <w:p>
      <w:pPr>
        <w:ind w:right="120"/>
        <w:spacing w:after="0" w:line="234" w:lineRule="auto"/>
        <w:rPr>
          <w:sz w:val="20"/>
          <w:szCs w:val="20"/>
          <w:color w:val="auto"/>
        </w:rPr>
      </w:pPr>
      <w:r>
        <w:rPr>
          <w:rFonts w:ascii="Arial" w:cs="Arial" w:eastAsia="Arial" w:hAnsi="Arial"/>
          <w:sz w:val="19"/>
          <w:szCs w:val="19"/>
          <w:color w:val="auto"/>
        </w:rPr>
        <w:t>preferential amounts to be distributed to holders of outstanding shares of the Class A Series 1 Preferred Shares, the Class B Series 1 Preferred Shares or any other outstanding preferred shares, if 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Shares</w:t>
      </w:r>
    </w:p>
    <w:p>
      <w:pPr>
        <w:spacing w:after="0" w:line="158" w:lineRule="exact"/>
        <w:rPr>
          <w:sz w:val="20"/>
          <w:szCs w:val="20"/>
          <w:color w:val="auto"/>
        </w:rPr>
      </w:pPr>
    </w:p>
    <w:p>
      <w:pPr>
        <w:ind w:right="40" w:firstLine="685"/>
        <w:spacing w:after="0" w:line="227" w:lineRule="auto"/>
        <w:rPr>
          <w:sz w:val="20"/>
          <w:szCs w:val="20"/>
          <w:color w:val="auto"/>
        </w:rPr>
      </w:pPr>
      <w:r>
        <w:rPr>
          <w:rFonts w:ascii="Arial" w:cs="Arial" w:eastAsia="Arial" w:hAnsi="Arial"/>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up to 50,000,000 Class A Series 1 Preferred Shares and Class B Series 1 Preferred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 A summary of the terms of the Class A Series 1 Preferred Shares is set forth below.</w:t>
      </w:r>
    </w:p>
    <w:p>
      <w:pPr>
        <w:spacing w:after="0" w:line="134" w:lineRule="exact"/>
        <w:rPr>
          <w:sz w:val="20"/>
          <w:szCs w:val="20"/>
          <w:color w:val="auto"/>
        </w:rPr>
      </w:pPr>
    </w:p>
    <w:p>
      <w:pPr>
        <w:ind w:right="40" w:firstLine="685"/>
        <w:spacing w:after="0" w:line="236" w:lineRule="auto"/>
        <w:rPr>
          <w:sz w:val="20"/>
          <w:szCs w:val="20"/>
          <w:color w:val="auto"/>
        </w:rPr>
      </w:pPr>
      <w:r>
        <w:rPr>
          <w:rFonts w:ascii="Arial" w:cs="Arial" w:eastAsia="Arial" w:hAnsi="Arial"/>
          <w:sz w:val="18"/>
          <w:szCs w:val="18"/>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88" w:lineRule="exact"/>
        <w:rPr>
          <w:sz w:val="20"/>
          <w:szCs w:val="20"/>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title of the preferred shares;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maximum number of shares of the series;</w:t>
      </w:r>
    </w:p>
    <w:p>
      <w:pPr>
        <w:spacing w:after="0" w:line="237" w:lineRule="exact"/>
        <w:rPr>
          <w:rFonts w:ascii="Arial" w:cs="Arial" w:eastAsia="Arial" w:hAnsi="Arial"/>
          <w:sz w:val="19"/>
          <w:szCs w:val="19"/>
          <w:color w:val="auto"/>
        </w:rPr>
      </w:pPr>
    </w:p>
    <w:p>
      <w:pPr>
        <w:ind w:left="1020" w:right="860" w:hanging="341"/>
        <w:spacing w:after="0" w:line="275" w:lineRule="auto"/>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dividend rate or the method of calculating the dividend, the date from which dividends will accrue and whether dividends will be cumulative;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liquidation preference;</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optional redemption provisions;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sinking fund or other provisions that would obligate us to redeem or purchase the preferred shares;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terms for the conversion or exchange of the preferred shares for other securities of us or any other entity;</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voting rights; and</w:t>
      </w:r>
    </w:p>
    <w:p>
      <w:pPr>
        <w:spacing w:after="0" w:line="237" w:lineRule="exact"/>
        <w:rPr>
          <w:rFonts w:ascii="Arial" w:cs="Arial" w:eastAsia="Arial" w:hAnsi="Arial"/>
          <w:sz w:val="19"/>
          <w:szCs w:val="19"/>
          <w:color w:val="auto"/>
        </w:rPr>
      </w:pPr>
    </w:p>
    <w:p>
      <w:pPr>
        <w:ind w:left="1020" w:right="100" w:hanging="341"/>
        <w:spacing w:after="0" w:line="275" w:lineRule="auto"/>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other preferences and relative, participating, optional or other special rights or any qualifications, limitations or restrictions on the rights of the shares.</w:t>
      </w:r>
    </w:p>
    <w:p>
      <w:pPr>
        <w:spacing w:after="0" w:line="170" w:lineRule="exact"/>
        <w:rPr>
          <w:sz w:val="20"/>
          <w:szCs w:val="20"/>
          <w:color w:val="auto"/>
        </w:rPr>
      </w:pPr>
    </w:p>
    <w:p>
      <w:pPr>
        <w:ind w:right="60" w:firstLine="685"/>
        <w:spacing w:after="0" w:line="224" w:lineRule="auto"/>
        <w:rPr>
          <w:sz w:val="20"/>
          <w:szCs w:val="20"/>
          <w:color w:val="auto"/>
        </w:rPr>
      </w:pPr>
      <w:r>
        <w:rPr>
          <w:rFonts w:ascii="Arial" w:cs="Arial" w:eastAsia="Arial" w:hAnsi="Arial"/>
          <w:sz w:val="19"/>
          <w:szCs w:val="19"/>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Class A Series 1 Preferred Shares</w:t>
      </w:r>
    </w:p>
    <w:p>
      <w:pPr>
        <w:spacing w:after="0" w:line="152" w:lineRule="exact"/>
        <w:rPr>
          <w:sz w:val="20"/>
          <w:szCs w:val="20"/>
          <w:color w:val="auto"/>
        </w:rPr>
      </w:pPr>
    </w:p>
    <w:p>
      <w:pPr>
        <w:ind w:firstLine="685"/>
        <w:spacing w:after="0" w:line="225" w:lineRule="auto"/>
        <w:rPr>
          <w:sz w:val="20"/>
          <w:szCs w:val="20"/>
          <w:color w:val="auto"/>
        </w:rPr>
      </w:pPr>
      <w:r>
        <w:rPr>
          <w:rFonts w:ascii="Arial" w:cs="Arial" w:eastAsia="Arial" w:hAnsi="Arial"/>
          <w:sz w:val="18"/>
          <w:szCs w:val="18"/>
          <w:color w:val="auto"/>
        </w:rPr>
        <w:t>We have outstanding 9,042 Class A Series 1 Preferred Shares that were issued in connection with our 2018 acquisition of Noralta Lodge Ltd. Except as provided by law, the Class A Series 1 Preferred Shares do not have voting rights. The Class A Series 1 Preferred Shares are entitled to receive a 2% annual dividend on the liquidation preference (initially $10,000 per share), paid quarterly in cash or, at our option, by increasing the Class A Series 1 Preferred Shares’ liquidation preference, or by any combination thereof. In the event that a shelf registration statement does not become effective within the time period specified in the Registration Rights Agreement between us and the holders of the Class A Series 1 Preferred Shares, the dividend rate is subject to increase to up to a maximum of 3% per annum until such registration statement becomes effective.</w:t>
      </w:r>
    </w:p>
    <w:p>
      <w:pPr>
        <w:spacing w:after="0" w:line="133" w:lineRule="exact"/>
        <w:rPr>
          <w:sz w:val="20"/>
          <w:szCs w:val="20"/>
          <w:color w:val="auto"/>
        </w:rPr>
      </w:pPr>
    </w:p>
    <w:p>
      <w:pPr>
        <w:ind w:right="100" w:firstLine="685"/>
        <w:spacing w:after="0" w:line="215" w:lineRule="auto"/>
        <w:rPr>
          <w:sz w:val="20"/>
          <w:szCs w:val="20"/>
          <w:color w:val="auto"/>
        </w:rPr>
      </w:pPr>
      <w:r>
        <w:rPr>
          <w:rFonts w:ascii="Arial" w:cs="Arial" w:eastAsia="Arial" w:hAnsi="Arial"/>
          <w:sz w:val="19"/>
          <w:szCs w:val="19"/>
          <w:color w:val="auto"/>
        </w:rPr>
        <w:t>The Class A Series 1 Preferred Shares are convertible into common shares at a conversion price of $3.30 per Class A Series 1 Preferred Share, subject to customary anti-dilution adjustments, including in the case of dividends or distributions to holders of the common shares (the “Conversion Price”). We have the right to elect to convert the Class A Series 1 Preferred Shares into common shares if the 15-day volume weighted average price of the common shares is equal to or exceeds the Conversion Price. Holders of the Class A Series 1 Preferred Shares have the right to convert the Class A Series 1 Preferred Shares into common shares at any time after two years from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980"/>
          </w:cols>
          <w:pgMar w:left="120" w:top="228" w:right="140" w:bottom="1440" w:gutter="0" w:footer="0" w:header="0"/>
        </w:sectPr>
      </w:pPr>
    </w:p>
    <w:bookmarkStart w:id="7" w:name="page8"/>
    <w:bookmarkEnd w:id="7"/>
    <w:p>
      <w:pPr>
        <w:spacing w:after="0"/>
        <w:rPr>
          <w:sz w:val="20"/>
          <w:szCs w:val="20"/>
          <w:color w:val="auto"/>
        </w:rPr>
      </w:pPr>
      <w:r>
        <w:rPr>
          <w:rFonts w:ascii="Arial" w:cs="Arial" w:eastAsia="Arial" w:hAnsi="Arial"/>
          <w:sz w:val="19"/>
          <w:szCs w:val="19"/>
          <w:color w:val="auto"/>
        </w:rPr>
        <w:t>the date of issuance, and the Class A Series 1 Preferred Shares mandatorily convert after five years from the date of issuance.</w:t>
      </w:r>
    </w:p>
    <w:p>
      <w:pPr>
        <w:spacing w:after="0" w:line="152" w:lineRule="exact"/>
        <w:rPr>
          <w:sz w:val="20"/>
          <w:szCs w:val="20"/>
          <w:color w:val="auto"/>
        </w:rPr>
      </w:pPr>
    </w:p>
    <w:p>
      <w:pPr>
        <w:ind w:firstLine="685"/>
        <w:spacing w:after="0" w:line="241" w:lineRule="auto"/>
        <w:rPr>
          <w:sz w:val="20"/>
          <w:szCs w:val="20"/>
          <w:color w:val="auto"/>
        </w:rPr>
      </w:pPr>
      <w:r>
        <w:rPr>
          <w:rFonts w:ascii="Arial" w:cs="Arial" w:eastAsia="Arial" w:hAnsi="Arial"/>
          <w:sz w:val="17"/>
          <w:szCs w:val="17"/>
          <w:color w:val="auto"/>
        </w:rPr>
        <w:t>The Class A Series 1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Class A Series 1 Preferred Share will, without the consent of the holders of the Class A Series 1 Preferred Shares,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w:t>
      </w:r>
    </w:p>
    <w:p>
      <w:pPr>
        <w:spacing w:after="0" w:line="131" w:lineRule="exact"/>
        <w:rPr>
          <w:sz w:val="20"/>
          <w:szCs w:val="20"/>
          <w:color w:val="auto"/>
        </w:rPr>
      </w:pPr>
    </w:p>
    <w:p>
      <w:pPr>
        <w:jc w:val="both"/>
        <w:ind w:right="300" w:firstLine="685"/>
        <w:spacing w:after="0" w:line="255" w:lineRule="auto"/>
        <w:rPr>
          <w:sz w:val="20"/>
          <w:szCs w:val="20"/>
          <w:color w:val="auto"/>
        </w:rPr>
      </w:pPr>
      <w:r>
        <w:rPr>
          <w:rFonts w:ascii="Arial" w:cs="Arial" w:eastAsia="Arial" w:hAnsi="Arial"/>
          <w:sz w:val="17"/>
          <w:szCs w:val="17"/>
          <w:color w:val="auto"/>
        </w:rPr>
        <w:t>We may, at any time and from time to time, redeem any or all of the Class A Series 1 Preferred Shares for cash at the liquidation preference, plus accrued and unpaid dividends. The Class A Series 1 Preferred Shares rank senior in all respects to the common shares with respect to dividend rights and rights upon the liquidation, dissolution or winding-up of Civeo up to the amount of the liquidation preference and accrued and unpaid dividends.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Articles and Articles</w:t>
      </w:r>
    </w:p>
    <w:p>
      <w:pPr>
        <w:spacing w:after="0" w:line="158" w:lineRule="exact"/>
        <w:rPr>
          <w:sz w:val="20"/>
          <w:szCs w:val="20"/>
          <w:color w:val="auto"/>
        </w:rPr>
      </w:pPr>
    </w:p>
    <w:p>
      <w:pPr>
        <w:ind w:right="140" w:firstLine="685"/>
        <w:spacing w:after="0" w:line="236" w:lineRule="auto"/>
        <w:rPr>
          <w:sz w:val="20"/>
          <w:szCs w:val="20"/>
          <w:color w:val="auto"/>
        </w:rPr>
      </w:pPr>
      <w:r>
        <w:rPr>
          <w:rFonts w:ascii="Arial" w:cs="Arial" w:eastAsia="Arial" w:hAnsi="Arial"/>
          <w:sz w:val="18"/>
          <w:szCs w:val="18"/>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31" w:lineRule="exact"/>
        <w:rPr>
          <w:sz w:val="20"/>
          <w:szCs w:val="20"/>
          <w:color w:val="auto"/>
        </w:rPr>
      </w:pPr>
    </w:p>
    <w:p>
      <w:pPr>
        <w:ind w:right="80" w:firstLine="685"/>
        <w:spacing w:after="0" w:line="231" w:lineRule="auto"/>
        <w:rPr>
          <w:sz w:val="20"/>
          <w:szCs w:val="20"/>
          <w:color w:val="auto"/>
        </w:rPr>
      </w:pPr>
      <w:r>
        <w:rPr>
          <w:rFonts w:ascii="Arial" w:cs="Arial" w:eastAsia="Arial" w:hAnsi="Arial"/>
          <w:sz w:val="18"/>
          <w:szCs w:val="18"/>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9"/>
          <w:szCs w:val="19"/>
          <w:color w:val="auto"/>
        </w:rPr>
        <w:t>Among other things, our notice of articles and articles:</w:t>
      </w:r>
    </w:p>
    <w:p>
      <w:pPr>
        <w:spacing w:after="0" w:line="167" w:lineRule="exact"/>
        <w:rPr>
          <w:sz w:val="20"/>
          <w:szCs w:val="20"/>
          <w:color w:val="auto"/>
        </w:rPr>
      </w:pPr>
    </w:p>
    <w:p>
      <w:pPr>
        <w:ind w:left="1020" w:right="220" w:hanging="341"/>
        <w:spacing w:after="0" w:line="28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77" w:lineRule="exact"/>
        <w:rPr>
          <w:rFonts w:ascii="Arial" w:cs="Arial" w:eastAsia="Arial" w:hAnsi="Arial"/>
          <w:sz w:val="18"/>
          <w:szCs w:val="18"/>
          <w:color w:val="auto"/>
        </w:rPr>
      </w:pPr>
    </w:p>
    <w:p>
      <w:pPr>
        <w:ind w:left="1020" w:right="240" w:hanging="341"/>
        <w:spacing w:after="0" w:line="30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60" w:lineRule="exact"/>
        <w:rPr>
          <w:rFonts w:ascii="Arial" w:cs="Arial" w:eastAsia="Arial" w:hAnsi="Arial"/>
          <w:sz w:val="18"/>
          <w:szCs w:val="18"/>
          <w:color w:val="auto"/>
        </w:rPr>
      </w:pPr>
    </w:p>
    <w:p>
      <w:pPr>
        <w:ind w:left="1020" w:right="20" w:hanging="341"/>
        <w:spacing w:after="0" w:line="27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89" w:lineRule="exact"/>
        <w:rPr>
          <w:rFonts w:ascii="Arial" w:cs="Arial" w:eastAsia="Arial" w:hAnsi="Arial"/>
          <w:sz w:val="18"/>
          <w:szCs w:val="18"/>
          <w:color w:val="auto"/>
        </w:rPr>
      </w:pPr>
    </w:p>
    <w:p>
      <w:pPr>
        <w:ind w:left="1020" w:right="220" w:hanging="341"/>
        <w:spacing w:after="0" w:line="259" w:lineRule="auto"/>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97" w:lineRule="exact"/>
        <w:rPr>
          <w:rFonts w:ascii="Arial" w:cs="Arial" w:eastAsia="Arial" w:hAnsi="Arial"/>
          <w:sz w:val="19"/>
          <w:szCs w:val="19"/>
          <w:color w:val="auto"/>
        </w:rPr>
      </w:pPr>
    </w:p>
    <w:p>
      <w:pPr>
        <w:ind w:left="1020" w:hanging="341"/>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provide that the authorized number of directors may only be set by the board of directors;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2000"/>
          </w:cols>
          <w:pgMar w:left="120" w:top="228" w:right="120" w:bottom="1440" w:gutter="0" w:footer="0" w:header="0"/>
        </w:sectPr>
      </w:pPr>
    </w:p>
    <w:bookmarkStart w:id="8" w:name="page9"/>
    <w:bookmarkEnd w:id="8"/>
    <w:p>
      <w:pPr>
        <w:ind w:left="1020" w:hanging="341"/>
        <w:spacing w:after="0" w:line="275"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83" w:lineRule="exact"/>
        <w:rPr>
          <w:rFonts w:ascii="Arial" w:cs="Arial" w:eastAsia="Arial" w:hAnsi="Arial"/>
          <w:sz w:val="19"/>
          <w:szCs w:val="19"/>
          <w:color w:val="auto"/>
        </w:rPr>
      </w:pPr>
    </w:p>
    <w:p>
      <w:pPr>
        <w:ind w:left="1020" w:right="140" w:hanging="341"/>
        <w:spacing w:after="0" w:line="263"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94" w:lineRule="exact"/>
        <w:rPr>
          <w:rFonts w:ascii="Arial" w:cs="Arial" w:eastAsia="Arial" w:hAnsi="Arial"/>
          <w:sz w:val="19"/>
          <w:szCs w:val="19"/>
          <w:color w:val="auto"/>
        </w:rPr>
      </w:pPr>
    </w:p>
    <w:p>
      <w:pPr>
        <w:jc w:val="both"/>
        <w:ind w:left="1020" w:right="160" w:hanging="341"/>
        <w:spacing w:after="0" w:line="259"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197" w:lineRule="exact"/>
        <w:rPr>
          <w:rFonts w:ascii="Arial" w:cs="Arial" w:eastAsia="Arial" w:hAnsi="Arial"/>
          <w:sz w:val="19"/>
          <w:szCs w:val="19"/>
          <w:color w:val="auto"/>
        </w:rPr>
      </w:pPr>
    </w:p>
    <w:p>
      <w:pPr>
        <w:ind w:left="1020" w:right="60" w:hanging="341"/>
        <w:spacing w:after="0" w:line="256"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90" w:lineRule="exact"/>
        <w:rPr>
          <w:sz w:val="20"/>
          <w:szCs w:val="20"/>
          <w:color w:val="auto"/>
        </w:rPr>
      </w:pPr>
    </w:p>
    <w:p>
      <w:pPr>
        <w:ind w:right="100" w:firstLine="685"/>
        <w:spacing w:after="0" w:line="231" w:lineRule="auto"/>
        <w:rPr>
          <w:sz w:val="20"/>
          <w:szCs w:val="20"/>
          <w:color w:val="auto"/>
        </w:rPr>
      </w:pPr>
      <w:r>
        <w:rPr>
          <w:rFonts w:ascii="Arial" w:cs="Arial" w:eastAsia="Arial" w:hAnsi="Arial"/>
          <w:sz w:val="18"/>
          <w:szCs w:val="18"/>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of Liability and Indemnification Matters</w:t>
      </w:r>
    </w:p>
    <w:p>
      <w:pPr>
        <w:spacing w:after="0" w:line="158" w:lineRule="exact"/>
        <w:rPr>
          <w:sz w:val="20"/>
          <w:szCs w:val="20"/>
          <w:color w:val="auto"/>
        </w:rPr>
      </w:pPr>
    </w:p>
    <w:p>
      <w:pPr>
        <w:ind w:right="380" w:firstLine="685"/>
        <w:spacing w:after="0" w:line="219" w:lineRule="auto"/>
        <w:rPr>
          <w:sz w:val="20"/>
          <w:szCs w:val="20"/>
          <w:color w:val="auto"/>
        </w:rPr>
      </w:pPr>
      <w:r>
        <w:rPr>
          <w:rFonts w:ascii="Arial" w:cs="Arial" w:eastAsia="Arial" w:hAnsi="Arial"/>
          <w:sz w:val="19"/>
          <w:szCs w:val="19"/>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44" w:lineRule="exact"/>
        <w:rPr>
          <w:sz w:val="20"/>
          <w:szCs w:val="20"/>
          <w:color w:val="auto"/>
        </w:rPr>
      </w:pPr>
    </w:p>
    <w:p>
      <w:pPr>
        <w:ind w:left="1020" w:right="160" w:hanging="341"/>
        <w:spacing w:after="0" w:line="30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60" w:lineRule="exact"/>
        <w:rPr>
          <w:rFonts w:ascii="Arial" w:cs="Arial" w:eastAsia="Arial" w:hAnsi="Arial"/>
          <w:sz w:val="18"/>
          <w:szCs w:val="18"/>
          <w:color w:val="auto"/>
        </w:rPr>
      </w:pPr>
    </w:p>
    <w:p>
      <w:pPr>
        <w:ind w:left="1020" w:right="40" w:hanging="341"/>
        <w:spacing w:after="0" w:line="275"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83" w:lineRule="exact"/>
        <w:rPr>
          <w:rFonts w:ascii="Arial" w:cs="Arial" w:eastAsia="Arial" w:hAnsi="Arial"/>
          <w:sz w:val="19"/>
          <w:szCs w:val="19"/>
          <w:color w:val="auto"/>
        </w:rPr>
      </w:pPr>
    </w:p>
    <w:p>
      <w:pPr>
        <w:ind w:left="1020" w:right="60" w:hanging="341"/>
        <w:spacing w:after="0" w:line="259"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97" w:lineRule="exact"/>
        <w:rPr>
          <w:rFonts w:ascii="Arial" w:cs="Arial" w:eastAsia="Arial" w:hAnsi="Arial"/>
          <w:sz w:val="19"/>
          <w:szCs w:val="19"/>
          <w:color w:val="auto"/>
        </w:rPr>
      </w:pPr>
    </w:p>
    <w:p>
      <w:pPr>
        <w:ind w:left="1020" w:right="640" w:hanging="341"/>
        <w:spacing w:after="0" w:line="275" w:lineRule="auto"/>
        <w:tabs>
          <w:tab w:leader="none" w:pos="1020"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case of the relevant proceeding other than a civil proceeding, if the director did not have reasonable grounds for believing that the director’s conduct in respect of which the proceeding was brought was lawful.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2000"/>
          </w:cols>
          <w:pgMar w:left="120" w:top="242" w:right="120" w:bottom="1440" w:gutter="0" w:footer="0" w:header="0"/>
        </w:sectPr>
      </w:pPr>
    </w:p>
    <w:bookmarkStart w:id="9" w:name="page10"/>
    <w:bookmarkEnd w:id="9"/>
    <w:p>
      <w:pPr>
        <w:ind w:right="240" w:firstLine="685"/>
        <w:spacing w:after="0" w:line="234" w:lineRule="auto"/>
        <w:rPr>
          <w:sz w:val="20"/>
          <w:szCs w:val="20"/>
          <w:color w:val="auto"/>
        </w:rPr>
      </w:pPr>
      <w:r>
        <w:rPr>
          <w:rFonts w:ascii="Arial" w:cs="Arial" w:eastAsia="Arial" w:hAnsi="Arial"/>
          <w:sz w:val="19"/>
          <w:szCs w:val="19"/>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30" w:lineRule="exact"/>
        <w:rPr>
          <w:sz w:val="20"/>
          <w:szCs w:val="20"/>
          <w:color w:val="auto"/>
        </w:rPr>
      </w:pPr>
    </w:p>
    <w:p>
      <w:pPr>
        <w:ind w:firstLine="685"/>
        <w:spacing w:after="0" w:line="225" w:lineRule="auto"/>
        <w:rPr>
          <w:sz w:val="20"/>
          <w:szCs w:val="20"/>
          <w:color w:val="auto"/>
        </w:rPr>
      </w:pPr>
      <w:r>
        <w:rPr>
          <w:rFonts w:ascii="Arial" w:cs="Arial" w:eastAsia="Arial" w:hAnsi="Arial"/>
          <w:sz w:val="18"/>
          <w:szCs w:val="18"/>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The transfer agent and registrar for our common shares is Computershare Investor Services, Inc.</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9"/>
          <w:szCs w:val="19"/>
          <w:color w:val="auto"/>
        </w:rPr>
        <w:t>Our common shares are listed on the New York Stock Exchange under the symbol “CVEO.”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11820"/>
          </w:cols>
          <w:pgMar w:left="120" w:top="228" w:right="300" w:bottom="1440" w:gutter="0" w:footer="0" w:header="0"/>
        </w:sectPr>
      </w:pPr>
    </w:p>
    <w:bookmarkStart w:id="10" w:name="page11"/>
    <w:bookmarkEnd w:id="10"/>
    <w:p>
      <w:pPr>
        <w:jc w:val="center"/>
        <w:ind w:right="-5"/>
        <w:spacing w:after="0"/>
        <w:rPr>
          <w:sz w:val="20"/>
          <w:szCs w:val="20"/>
          <w:color w:val="auto"/>
        </w:rPr>
      </w:pPr>
      <w:r>
        <w:rPr>
          <w:rFonts w:ascii="Arial" w:cs="Arial" w:eastAsia="Arial" w:hAnsi="Arial"/>
          <w:sz w:val="19"/>
          <w:szCs w:val="19"/>
          <w:b w:val="1"/>
          <w:bCs w:val="1"/>
          <w:color w:val="auto"/>
        </w:rPr>
        <w:t>SELLING SHAREHOLDERS</w:t>
      </w:r>
    </w:p>
    <w:p>
      <w:pPr>
        <w:spacing w:after="0" w:line="158" w:lineRule="exact"/>
        <w:rPr>
          <w:sz w:val="20"/>
          <w:szCs w:val="20"/>
          <w:color w:val="auto"/>
        </w:rPr>
      </w:pPr>
    </w:p>
    <w:p>
      <w:pPr>
        <w:ind w:left="6" w:right="20" w:firstLine="685"/>
        <w:spacing w:after="0" w:line="235" w:lineRule="auto"/>
        <w:rPr>
          <w:sz w:val="20"/>
          <w:szCs w:val="20"/>
          <w:color w:val="auto"/>
        </w:rPr>
      </w:pPr>
      <w:r>
        <w:rPr>
          <w:rFonts w:ascii="Arial" w:cs="Arial" w:eastAsia="Arial" w:hAnsi="Arial"/>
          <w:sz w:val="17"/>
          <w:szCs w:val="17"/>
          <w:color w:val="auto"/>
        </w:rPr>
        <w:t>This prospectus relates to up to (i) 30,121,856 common shares issuable to the selling shareholders upon conversion of 9,042 shares of Class A Series 1 Preferred Shares, based on the liquidation preference of such Class A Series 1 Preferred Shares as of December 31, 2022 assuming all dividends thereon are paid in kind through an increase in the liquidation preference, and (ii) an additional 30,634,519 common shares held by the selling shareholders, in each case subject to any appropriate adjustment as a result of any share subdivision, split, combination or other reclassification of our common shares. The Class A Series 1 Preferred Shares and common shares were issued to the selling shareholders pursuant to a Share Purchase Agreement, dated November 26, 2017, as amended, by and between Civeo Corporation and Noralta Lodge Ltd., Torgerson Family Trust, 2073357 Alberta Ltd., 2073358 Alberta Ltd., 1818939 Alberta Ltd., 2040618 Alberta Ltd., 2040624 Alberta Ltd., 989677 Alberta Ltd. and Lance Torgerson (collectively, the “sellers”). An aggregate of 13,491,100 common shares have been deposited into escrow with Alliance Trust Company under the terms of an escrow agreement to support the sellers’ indemnification obligations under the purchase agreement. We refer to these common shares as the “Escrow Shares.”</w:t>
      </w:r>
    </w:p>
    <w:p>
      <w:pPr>
        <w:spacing w:after="0" w:line="131" w:lineRule="exact"/>
        <w:rPr>
          <w:sz w:val="20"/>
          <w:szCs w:val="20"/>
          <w:color w:val="auto"/>
        </w:rPr>
      </w:pPr>
    </w:p>
    <w:p>
      <w:pPr>
        <w:ind w:left="6" w:right="20" w:firstLine="685"/>
        <w:spacing w:after="0" w:line="224" w:lineRule="auto"/>
        <w:rPr>
          <w:sz w:val="20"/>
          <w:szCs w:val="20"/>
          <w:color w:val="auto"/>
        </w:rPr>
      </w:pPr>
      <w:r>
        <w:rPr>
          <w:rFonts w:ascii="Arial" w:cs="Arial" w:eastAsia="Arial" w:hAnsi="Arial"/>
          <w:sz w:val="18"/>
          <w:szCs w:val="18"/>
          <w:color w:val="auto"/>
        </w:rPr>
        <w:t>The information contained in the table below in respect of the selling shareholders (including the number of common shares beneficially owned and the number of common shares offered) has been obtained from the selling shareholders and has not been independently verified by us. We may supplement this prospectus from time to time in the future to update or change this list of selling shareholders and the number of common shares that may be offered and sold by them. The registration for resale of the common shares does not necessarily mean that the selling shareholders will sell all or any of these common shares. In addition, the selling shareholders may have sold, transferred or otherwise disposed of, or may sell, transfer or otherwise dispose of, at any time and from time to time, common shares in transactions exempt from the registration requirements of the Securities Act of 1933, as amended (the “Securities Act”), after the date on which they provided the information set forth in the table below.</w:t>
      </w:r>
    </w:p>
    <w:p>
      <w:pPr>
        <w:spacing w:after="0" w:line="131" w:lineRule="exact"/>
        <w:rPr>
          <w:sz w:val="20"/>
          <w:szCs w:val="20"/>
          <w:color w:val="auto"/>
        </w:rPr>
      </w:pPr>
    </w:p>
    <w:p>
      <w:pPr>
        <w:ind w:left="6" w:right="60" w:firstLine="685"/>
        <w:spacing w:after="0" w:line="239" w:lineRule="auto"/>
        <w:rPr>
          <w:sz w:val="20"/>
          <w:szCs w:val="20"/>
          <w:color w:val="auto"/>
        </w:rPr>
      </w:pPr>
      <w:r>
        <w:rPr>
          <w:rFonts w:ascii="Arial" w:cs="Arial" w:eastAsia="Arial" w:hAnsi="Arial"/>
          <w:sz w:val="17"/>
          <w:szCs w:val="17"/>
          <w:color w:val="auto"/>
        </w:rPr>
        <w:t>The information set forth in the following table regarding the beneficial ownership after resale of the common shares is based upon the assumption that the selling shareholders will sell all of the common shares beneficially owned by them that are covered by this prospectus. The ownership percentage indicated in the following table is based on 169,531,595 outstanding common shares of as of July 22, 2019. Except as indicated in the footnotes to the table below, to our knowledge, the selling shareholders have the sole voting and investment power with respect to all securities beneficially owned by them. Unless otherwise described below or in the documents incorporated by reference, to our knowledge, none of the selling shareholders has held any position or office or had any material relationship with Civeo during the three years prior to the date of this prospectus.</w:t>
      </w:r>
    </w:p>
    <w:p>
      <w:pPr>
        <w:spacing w:after="0" w:line="309" w:lineRule="exact"/>
        <w:rPr>
          <w:sz w:val="20"/>
          <w:szCs w:val="20"/>
          <w:color w:val="auto"/>
        </w:rPr>
      </w:pPr>
    </w:p>
    <w:tbl>
      <w:tblPr>
        <w:tblLayout w:type="fixed"/>
        <w:tblInd w:w="6"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gridSpan w:val="3"/>
          </w:tcPr>
          <w:p>
            <w:pPr>
              <w:jc w:val="center"/>
              <w:spacing w:after="0"/>
              <w:rPr>
                <w:sz w:val="20"/>
                <w:szCs w:val="20"/>
                <w:color w:val="auto"/>
              </w:rPr>
            </w:pPr>
            <w:r>
              <w:rPr>
                <w:rFonts w:ascii="Arial" w:cs="Arial" w:eastAsia="Arial" w:hAnsi="Arial"/>
                <w:sz w:val="19"/>
                <w:szCs w:val="19"/>
                <w:b w:val="1"/>
                <w:bCs w:val="1"/>
                <w:color w:val="auto"/>
                <w:w w:val="89"/>
              </w:rPr>
              <w:t>Common shares beneficially owned</w:t>
            </w: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gridSpan w:val="3"/>
          </w:tcPr>
          <w:p>
            <w:pPr>
              <w:jc w:val="center"/>
              <w:spacing w:after="0"/>
              <w:rPr>
                <w:sz w:val="20"/>
                <w:szCs w:val="20"/>
                <w:color w:val="auto"/>
              </w:rPr>
            </w:pPr>
            <w:r>
              <w:rPr>
                <w:rFonts w:ascii="Arial" w:cs="Arial" w:eastAsia="Arial" w:hAnsi="Arial"/>
                <w:sz w:val="19"/>
                <w:szCs w:val="19"/>
                <w:b w:val="1"/>
                <w:bCs w:val="1"/>
                <w:color w:val="auto"/>
                <w:w w:val="88"/>
              </w:rPr>
              <w:t>Common shares beneficially owned</w:t>
            </w:r>
          </w:p>
        </w:tc>
        <w:tc>
          <w:tcPr>
            <w:tcW w:w="0" w:type="dxa"/>
            <w:vAlign w:val="bottom"/>
          </w:tcPr>
          <w:p>
            <w:pPr>
              <w:spacing w:after="0"/>
              <w:rPr>
                <w:sz w:val="1"/>
                <w:szCs w:val="1"/>
                <w:color w:val="auto"/>
              </w:rPr>
            </w:pPr>
          </w:p>
        </w:tc>
      </w:tr>
      <w:tr>
        <w:trPr>
          <w:trHeight w:val="247"/>
        </w:trPr>
        <w:tc>
          <w:tcPr>
            <w:tcW w:w="2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3"/>
          </w:tcPr>
          <w:p>
            <w:pPr>
              <w:jc w:val="center"/>
              <w:spacing w:after="0"/>
              <w:rPr>
                <w:sz w:val="20"/>
                <w:szCs w:val="20"/>
                <w:color w:val="auto"/>
              </w:rPr>
            </w:pPr>
            <w:r>
              <w:rPr>
                <w:rFonts w:ascii="Arial" w:cs="Arial" w:eastAsia="Arial" w:hAnsi="Arial"/>
                <w:sz w:val="19"/>
                <w:szCs w:val="19"/>
                <w:b w:val="1"/>
                <w:bCs w:val="1"/>
                <w:color w:val="auto"/>
                <w:w w:val="91"/>
              </w:rPr>
              <w:t>prior to the offering</w:t>
            </w:r>
          </w:p>
        </w:tc>
        <w:tc>
          <w:tcPr>
            <w:tcW w:w="360" w:type="dxa"/>
            <w:vAlign w:val="bottom"/>
          </w:tcPr>
          <w:p>
            <w:pPr>
              <w:spacing w:after="0"/>
              <w:rPr>
                <w:sz w:val="21"/>
                <w:szCs w:val="21"/>
                <w:color w:val="auto"/>
              </w:rPr>
            </w:pPr>
          </w:p>
        </w:tc>
        <w:tc>
          <w:tcPr>
            <w:tcW w:w="2160" w:type="dxa"/>
            <w:vAlign w:val="bottom"/>
            <w:gridSpan w:val="2"/>
            <w:vMerge w:val="restart"/>
          </w:tcPr>
          <w:p>
            <w:pPr>
              <w:jc w:val="center"/>
              <w:ind w:right="360"/>
              <w:spacing w:after="0"/>
              <w:rPr>
                <w:sz w:val="20"/>
                <w:szCs w:val="20"/>
                <w:color w:val="auto"/>
              </w:rPr>
            </w:pPr>
            <w:r>
              <w:rPr>
                <w:rFonts w:ascii="Arial" w:cs="Arial" w:eastAsia="Arial" w:hAnsi="Arial"/>
                <w:sz w:val="19"/>
                <w:szCs w:val="19"/>
                <w:b w:val="1"/>
                <w:bCs w:val="1"/>
                <w:color w:val="auto"/>
                <w:w w:val="88"/>
              </w:rPr>
              <w:t>Common shares to</w:t>
            </w:r>
          </w:p>
        </w:tc>
        <w:tc>
          <w:tcPr>
            <w:tcW w:w="3100" w:type="dxa"/>
            <w:vAlign w:val="bottom"/>
            <w:gridSpan w:val="3"/>
          </w:tcPr>
          <w:p>
            <w:pPr>
              <w:jc w:val="center"/>
              <w:spacing w:after="0"/>
              <w:rPr>
                <w:sz w:val="20"/>
                <w:szCs w:val="20"/>
                <w:color w:val="auto"/>
              </w:rPr>
            </w:pPr>
            <w:r>
              <w:rPr>
                <w:rFonts w:ascii="Arial" w:cs="Arial" w:eastAsia="Arial" w:hAnsi="Arial"/>
                <w:sz w:val="19"/>
                <w:szCs w:val="19"/>
                <w:b w:val="1"/>
                <w:bCs w:val="1"/>
                <w:color w:val="auto"/>
                <w:w w:val="91"/>
              </w:rPr>
              <w:t>after the offering</w:t>
            </w:r>
          </w:p>
        </w:tc>
        <w:tc>
          <w:tcPr>
            <w:tcW w:w="0" w:type="dxa"/>
            <w:vAlign w:val="bottom"/>
          </w:tcPr>
          <w:p>
            <w:pPr>
              <w:spacing w:after="0"/>
              <w:rPr>
                <w:sz w:val="1"/>
                <w:szCs w:val="1"/>
                <w:color w:val="auto"/>
              </w:rPr>
            </w:pPr>
          </w:p>
        </w:tc>
      </w:tr>
      <w:tr>
        <w:trPr>
          <w:trHeight w:val="30"/>
        </w:trPr>
        <w:tc>
          <w:tcPr>
            <w:tcW w:w="3020" w:type="dxa"/>
            <w:vAlign w:val="bottom"/>
            <w:gridSpan w:val="2"/>
            <w:vMerge w:val="restart"/>
          </w:tcPr>
          <w:p>
            <w:pPr>
              <w:ind w:left="20"/>
              <w:spacing w:after="0"/>
              <w:rPr>
                <w:sz w:val="20"/>
                <w:szCs w:val="20"/>
                <w:color w:val="auto"/>
              </w:rPr>
            </w:pPr>
            <w:r>
              <w:rPr>
                <w:rFonts w:ascii="Arial" w:cs="Arial" w:eastAsia="Arial" w:hAnsi="Arial"/>
                <w:sz w:val="19"/>
                <w:szCs w:val="19"/>
                <w:b w:val="1"/>
                <w:bCs w:val="1"/>
                <w:color w:val="auto"/>
              </w:rPr>
              <w:t>Name of selling shareholder</w:t>
            </w: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gridSpan w:val="2"/>
            <w:vMerge w:val="continue"/>
          </w:tcPr>
          <w:p>
            <w:pPr>
              <w:spacing w:after="0"/>
              <w:rPr>
                <w:sz w:val="21"/>
                <w:szCs w:val="21"/>
                <w:color w:val="auto"/>
              </w:rPr>
            </w:pPr>
          </w:p>
        </w:tc>
        <w:tc>
          <w:tcPr>
            <w:tcW w:w="1920" w:type="dxa"/>
            <w:vAlign w:val="bottom"/>
            <w:gridSpan w:val="2"/>
          </w:tcPr>
          <w:p>
            <w:pPr>
              <w:ind w:left="440"/>
              <w:spacing w:after="0"/>
              <w:rPr>
                <w:sz w:val="20"/>
                <w:szCs w:val="20"/>
                <w:color w:val="auto"/>
              </w:rPr>
            </w:pPr>
            <w:r>
              <w:rPr>
                <w:rFonts w:ascii="Arial" w:cs="Arial" w:eastAsia="Arial" w:hAnsi="Arial"/>
                <w:sz w:val="19"/>
                <w:szCs w:val="19"/>
                <w:b w:val="1"/>
                <w:bCs w:val="1"/>
                <w:color w:val="auto"/>
              </w:rPr>
              <w:t>Number</w:t>
            </w:r>
          </w:p>
        </w:tc>
        <w:tc>
          <w:tcPr>
            <w:tcW w:w="1440" w:type="dxa"/>
            <w:vAlign w:val="bottom"/>
          </w:tcPr>
          <w:p>
            <w:pPr>
              <w:ind w:left="280"/>
              <w:spacing w:after="0"/>
              <w:rPr>
                <w:sz w:val="20"/>
                <w:szCs w:val="20"/>
                <w:color w:val="auto"/>
              </w:rPr>
            </w:pPr>
            <w:r>
              <w:rPr>
                <w:rFonts w:ascii="Arial" w:cs="Arial" w:eastAsia="Arial" w:hAnsi="Arial"/>
                <w:sz w:val="19"/>
                <w:szCs w:val="19"/>
                <w:b w:val="1"/>
                <w:bCs w:val="1"/>
                <w:color w:val="auto"/>
              </w:rPr>
              <w:t>Percentage</w:t>
            </w:r>
          </w:p>
        </w:tc>
        <w:tc>
          <w:tcPr>
            <w:tcW w:w="360" w:type="dxa"/>
            <w:vAlign w:val="bottom"/>
          </w:tcPr>
          <w:p>
            <w:pPr>
              <w:spacing w:after="0"/>
              <w:rPr>
                <w:sz w:val="21"/>
                <w:szCs w:val="21"/>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9"/>
                <w:szCs w:val="19"/>
                <w:b w:val="1"/>
                <w:bCs w:val="1"/>
                <w:color w:val="auto"/>
                <w:w w:val="87"/>
              </w:rPr>
              <w:t>be offered</w:t>
            </w:r>
          </w:p>
        </w:tc>
        <w:tc>
          <w:tcPr>
            <w:tcW w:w="1660" w:type="dxa"/>
            <w:vAlign w:val="bottom"/>
            <w:gridSpan w:val="2"/>
          </w:tcPr>
          <w:p>
            <w:pPr>
              <w:jc w:val="center"/>
              <w:ind w:right="360"/>
              <w:spacing w:after="0"/>
              <w:rPr>
                <w:sz w:val="20"/>
                <w:szCs w:val="20"/>
                <w:color w:val="auto"/>
              </w:rPr>
            </w:pPr>
            <w:r>
              <w:rPr>
                <w:rFonts w:ascii="Arial" w:cs="Arial" w:eastAsia="Arial" w:hAnsi="Arial"/>
                <w:sz w:val="19"/>
                <w:szCs w:val="19"/>
                <w:b w:val="1"/>
                <w:bCs w:val="1"/>
                <w:color w:val="auto"/>
                <w:w w:val="91"/>
              </w:rPr>
              <w:t>Number</w:t>
            </w:r>
          </w:p>
        </w:tc>
        <w:tc>
          <w:tcPr>
            <w:tcW w:w="1440" w:type="dxa"/>
            <w:vAlign w:val="bottom"/>
          </w:tcPr>
          <w:p>
            <w:pPr>
              <w:jc w:val="center"/>
              <w:spacing w:after="0"/>
              <w:rPr>
                <w:sz w:val="20"/>
                <w:szCs w:val="20"/>
                <w:color w:val="auto"/>
              </w:rPr>
            </w:pPr>
            <w:r>
              <w:rPr>
                <w:rFonts w:ascii="Arial" w:cs="Arial" w:eastAsia="Arial" w:hAnsi="Arial"/>
                <w:sz w:val="19"/>
                <w:szCs w:val="19"/>
                <w:b w:val="1"/>
                <w:bCs w:val="1"/>
                <w:color w:val="auto"/>
                <w:w w:val="85"/>
              </w:rPr>
              <w:t>Percentage</w:t>
            </w:r>
          </w:p>
        </w:tc>
        <w:tc>
          <w:tcPr>
            <w:tcW w:w="0" w:type="dxa"/>
            <w:vAlign w:val="bottom"/>
          </w:tcPr>
          <w:p>
            <w:pPr>
              <w:spacing w:after="0"/>
              <w:rPr>
                <w:sz w:val="1"/>
                <w:szCs w:val="1"/>
                <w:color w:val="auto"/>
              </w:rPr>
            </w:pPr>
          </w:p>
        </w:tc>
      </w:tr>
      <w:tr>
        <w:trPr>
          <w:trHeight w:val="30"/>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9"/>
                <w:szCs w:val="19"/>
                <w:color w:val="auto"/>
              </w:rPr>
              <w:t>Torgerson Family Trust(1)</w:t>
            </w:r>
          </w:p>
        </w:tc>
        <w:tc>
          <w:tcPr>
            <w:tcW w:w="156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9"/>
                <w:szCs w:val="19"/>
                <w:color w:val="auto"/>
              </w:rPr>
              <w:t>54,808,162</w:t>
            </w:r>
          </w:p>
        </w:tc>
        <w:tc>
          <w:tcPr>
            <w:tcW w:w="3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rPr>
              <w:t>27.5%</w:t>
            </w:r>
          </w:p>
        </w:tc>
        <w:tc>
          <w:tcPr>
            <w:tcW w:w="2160" w:type="dxa"/>
            <w:vAlign w:val="bottom"/>
            <w:tcBorders>
              <w:bottom w:val="single" w:sz="8" w:color="CCEEFF"/>
            </w:tcBorders>
            <w:gridSpan w:val="2"/>
            <w:shd w:val="clear" w:color="auto" w:fill="CCEEFF"/>
          </w:tcPr>
          <w:p>
            <w:pPr>
              <w:jc w:val="right"/>
              <w:ind w:right="385"/>
              <w:spacing w:after="0"/>
              <w:rPr>
                <w:sz w:val="20"/>
                <w:szCs w:val="20"/>
                <w:color w:val="auto"/>
              </w:rPr>
            </w:pPr>
            <w:r>
              <w:rPr>
                <w:rFonts w:ascii="Arial" w:cs="Arial" w:eastAsia="Arial" w:hAnsi="Arial"/>
                <w:sz w:val="19"/>
                <w:szCs w:val="19"/>
                <w:color w:val="auto"/>
              </w:rPr>
              <w:t>54,808,162</w:t>
            </w:r>
          </w:p>
        </w:tc>
        <w:tc>
          <w:tcPr>
            <w:tcW w:w="3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9"/>
                <w:szCs w:val="19"/>
                <w:color w:val="auto"/>
                <w:w w:val="94"/>
              </w:rPr>
              <w:t>—</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6"/>
        </w:trPr>
        <w:tc>
          <w:tcPr>
            <w:tcW w:w="3020" w:type="dxa"/>
            <w:vAlign w:val="bottom"/>
            <w:gridSpan w:val="2"/>
          </w:tcPr>
          <w:p>
            <w:pPr>
              <w:ind w:left="20"/>
              <w:spacing w:after="0"/>
              <w:rPr>
                <w:sz w:val="20"/>
                <w:szCs w:val="20"/>
                <w:color w:val="auto"/>
              </w:rPr>
            </w:pPr>
            <w:r>
              <w:rPr>
                <w:rFonts w:ascii="Arial" w:cs="Arial" w:eastAsia="Arial" w:hAnsi="Arial"/>
                <w:sz w:val="19"/>
                <w:szCs w:val="19"/>
                <w:color w:val="auto"/>
              </w:rPr>
              <w:t>989677 Alberta Ltd.(2)</w:t>
            </w:r>
          </w:p>
        </w:tc>
        <w:tc>
          <w:tcPr>
            <w:tcW w:w="1560" w:type="dxa"/>
            <w:vAlign w:val="bottom"/>
          </w:tcPr>
          <w:p>
            <w:pPr>
              <w:jc w:val="right"/>
              <w:ind w:right="305"/>
              <w:spacing w:after="0"/>
              <w:rPr>
                <w:sz w:val="20"/>
                <w:szCs w:val="20"/>
                <w:color w:val="auto"/>
              </w:rPr>
            </w:pPr>
            <w:r>
              <w:rPr>
                <w:rFonts w:ascii="Arial" w:cs="Arial" w:eastAsia="Arial" w:hAnsi="Arial"/>
                <w:sz w:val="19"/>
                <w:szCs w:val="19"/>
                <w:color w:val="auto"/>
              </w:rPr>
              <w:t>5,948,213</w:t>
            </w:r>
          </w:p>
        </w:tc>
        <w:tc>
          <w:tcPr>
            <w:tcW w:w="360" w:type="dxa"/>
            <w:vAlign w:val="bottom"/>
          </w:tcPr>
          <w:p>
            <w:pPr>
              <w:spacing w:after="0"/>
              <w:rPr>
                <w:sz w:val="22"/>
                <w:szCs w:val="22"/>
                <w:color w:val="auto"/>
              </w:rPr>
            </w:pPr>
          </w:p>
        </w:tc>
        <w:tc>
          <w:tcPr>
            <w:tcW w:w="1440" w:type="dxa"/>
            <w:vAlign w:val="bottom"/>
          </w:tcPr>
          <w:p>
            <w:pPr>
              <w:jc w:val="right"/>
              <w:ind w:right="425"/>
              <w:spacing w:after="0"/>
              <w:rPr>
                <w:sz w:val="20"/>
                <w:szCs w:val="20"/>
                <w:color w:val="auto"/>
              </w:rPr>
            </w:pPr>
            <w:r>
              <w:rPr>
                <w:rFonts w:ascii="Arial" w:cs="Arial" w:eastAsia="Arial" w:hAnsi="Arial"/>
                <w:sz w:val="19"/>
                <w:szCs w:val="19"/>
                <w:color w:val="auto"/>
              </w:rPr>
              <w:t>3.5%</w:t>
            </w:r>
          </w:p>
        </w:tc>
        <w:tc>
          <w:tcPr>
            <w:tcW w:w="2160" w:type="dxa"/>
            <w:vAlign w:val="bottom"/>
            <w:gridSpan w:val="2"/>
          </w:tcPr>
          <w:p>
            <w:pPr>
              <w:jc w:val="right"/>
              <w:ind w:right="425"/>
              <w:spacing w:after="0"/>
              <w:rPr>
                <w:sz w:val="20"/>
                <w:szCs w:val="20"/>
                <w:color w:val="auto"/>
              </w:rPr>
            </w:pPr>
            <w:r>
              <w:rPr>
                <w:rFonts w:ascii="Arial" w:cs="Arial" w:eastAsia="Arial" w:hAnsi="Arial"/>
                <w:sz w:val="19"/>
                <w:szCs w:val="19"/>
                <w:color w:val="auto"/>
              </w:rPr>
              <w:t>5,948,213</w:t>
            </w:r>
          </w:p>
        </w:tc>
        <w:tc>
          <w:tcPr>
            <w:tcW w:w="360" w:type="dxa"/>
            <w:vAlign w:val="bottom"/>
          </w:tcPr>
          <w:p>
            <w:pPr>
              <w:spacing w:after="0"/>
              <w:rPr>
                <w:sz w:val="22"/>
                <w:szCs w:val="22"/>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9"/>
                <w:szCs w:val="19"/>
                <w:color w:val="auto"/>
                <w:w w:val="94"/>
              </w:rPr>
              <w:t>—</w:t>
            </w:r>
          </w:p>
        </w:tc>
        <w:tc>
          <w:tcPr>
            <w:tcW w:w="1440" w:type="dxa"/>
            <w:vAlign w:val="bottom"/>
          </w:tcPr>
          <w:p>
            <w:pPr>
              <w:jc w:val="cente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 w:right="120" w:hanging="6"/>
        <w:spacing w:after="0" w:line="221"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30,121,856 common shares issuable upon conversion of 9,042 shares of Class A Series 1 Preferred Shares and 7,727,362 Escrow Shares. Torgerson Family Trust may be deemed to have shared power to vote or to direct the vote and shared power to dispose or to direct the disposition of an aggregate of 24,686,306 shares held directly by Torgerson Family Trust. As one of three co-trustees of Torgerson Family Trust, Lance Torgerson may be deemed to have shared power to vote or to direct the vote and shared power to dispose or to direct the disposition of an aggregate of 24,686,306 shares held by Torgerson Family Trust. As one of three co-trustees of Torgerson Family Trust, Tammy Torgerson may be deemed to have shared power to vote or to direct the vote and shared power to dispose or to direct the disposition of an aggregate of 24,686,306 shares held directly by Torgerson Family Trust. As one of three co-trustees of Torgerson Family Trust, Richard Torgerson may be deemed to have shared power to vote or to direct the vote and shared power to dispose or to direct the disposition of an aggregate of 24,686,306 shares held directly by Torgerson Family Trust. Richard Torgerson disclaims beneficial ownership, voting power, and power to dispose of the 24,686,306 shares held directly by Torgerson Family Trust. Ownership percentage assumes the conversion of all Class A Series 1 Preferred Shares.</w:t>
      </w:r>
    </w:p>
    <w:p>
      <w:pPr>
        <w:spacing w:after="0" w:line="176" w:lineRule="exact"/>
        <w:rPr>
          <w:rFonts w:ascii="Arial" w:cs="Arial" w:eastAsia="Arial" w:hAnsi="Arial"/>
          <w:sz w:val="18"/>
          <w:szCs w:val="18"/>
          <w:color w:val="auto"/>
        </w:rPr>
      </w:pPr>
    </w:p>
    <w:p>
      <w:pPr>
        <w:ind w:left="6" w:right="60" w:hanging="6"/>
        <w:spacing w:after="0" w:line="231"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5,763,738 Escrow Shares. 989677 Alberta Ltd. may be deemed to have shared power to vote or to direct the vote and shared power to dispose or to direct the disposition of an aggregate of 5,948,213 shares held directly by 989677 Alberta Ltd. As direct owner of all of the voting shares of 989677 Alberta Ltd., Svenco Investments Ltd. may be deemed to have shared power to vote or to direct the vote and shared power to dispose or to direct the disposition of an aggregate of 5,948,213 shares held directly by 989677 Alberta Ltd. As sole director and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-1818640</wp:posOffset>
            </wp:positionV>
            <wp:extent cx="120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650" cy="8890"/>
                    </a:xfrm>
                    <a:prstGeom prst="rect">
                      <a:avLst/>
                    </a:prstGeom>
                    <a:noFill/>
                  </pic:spPr>
                </pic:pic>
              </a:graphicData>
            </a:graphic>
          </wp:anchor>
        </w:drawing>
      </w:r>
    </w:p>
    <w:p>
      <w:pPr>
        <w:spacing w:after="0" w:line="20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2006"/>
          </w:cols>
          <w:pgMar w:left="114" w:top="222" w:right="120" w:bottom="1440" w:gutter="0" w:footer="0" w:header="0"/>
        </w:sectPr>
      </w:pPr>
    </w:p>
    <w:bookmarkStart w:id="11" w:name="page12"/>
    <w:bookmarkEnd w:id="11"/>
    <w:p>
      <w:pPr>
        <w:ind w:right="20"/>
        <w:spacing w:after="0" w:line="213" w:lineRule="auto"/>
        <w:rPr>
          <w:sz w:val="20"/>
          <w:szCs w:val="20"/>
          <w:color w:val="auto"/>
        </w:rPr>
      </w:pPr>
      <w:r>
        <w:rPr>
          <w:rFonts w:ascii="Arial" w:cs="Arial" w:eastAsia="Arial" w:hAnsi="Arial"/>
          <w:sz w:val="19"/>
          <w:szCs w:val="19"/>
          <w:color w:val="auto"/>
        </w:rPr>
        <w:t>beneficial owner of all of the voting shares of 989677 Alberta Ltd., Lance Torgerson may be deemed to have shared power to vote or to direct the vote and shared power to dispose or to direct the disposition of an aggregate of 5,948,213 shares held directly by 989677 Alberta Ltd.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5,948,213 shares held directly by 989677 Alberta Ltd. Tammy Torgerson disclaims beneficial ownership, voting power, and power to dispose of the 5,948,213 shares held directly by 989677 Alberta Ltd. and indirectly by her spouse, Lance Torgerson.</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 Agreement</w:t>
      </w:r>
    </w:p>
    <w:p>
      <w:pPr>
        <w:spacing w:after="0" w:line="158" w:lineRule="exact"/>
        <w:rPr>
          <w:sz w:val="20"/>
          <w:szCs w:val="20"/>
          <w:color w:val="auto"/>
        </w:rPr>
      </w:pPr>
    </w:p>
    <w:p>
      <w:pPr>
        <w:ind w:right="20" w:firstLine="685"/>
        <w:spacing w:after="0" w:line="237" w:lineRule="auto"/>
        <w:rPr>
          <w:sz w:val="20"/>
          <w:szCs w:val="20"/>
          <w:color w:val="auto"/>
        </w:rPr>
      </w:pPr>
      <w:r>
        <w:rPr>
          <w:rFonts w:ascii="Arial" w:cs="Arial" w:eastAsia="Arial" w:hAnsi="Arial"/>
          <w:sz w:val="17"/>
          <w:szCs w:val="17"/>
          <w:color w:val="auto"/>
        </w:rPr>
        <w:t>On April 2, 2018, in connection with our acquisition of Noralta Lodge Ltd. (the “Acquisition”), we entered into a registration rights agreement (the “Registration Rights Agreement”) with the selling shareholders, pursuant to which we agreed that, as soon as practicable following the date that is 18 months after the date of the Registration Rights Agreement, but in no event more than 30 days thereafter, we will use commercially reasonable efforts to prepare and file a shelf registration statement to register the common shares held by the selling shareholders upon the closing of the Acquisition (including any common shares held in escrow) and any common shares issued upon conversion of the Class A Series 1 Preferred Shares held by the selling shareholders upon the closing of the Acquisition (including any Class A Series 1 Preferred Shares held in escrow). We are obligated to use commercially reasonable efforts to cause such shelf registration statement to be declared effective by the SEC within 150 days after filing.</w:t>
      </w:r>
    </w:p>
    <w:p>
      <w:pPr>
        <w:spacing w:after="0" w:line="132" w:lineRule="exact"/>
        <w:rPr>
          <w:sz w:val="20"/>
          <w:szCs w:val="20"/>
          <w:color w:val="auto"/>
        </w:rPr>
      </w:pPr>
    </w:p>
    <w:p>
      <w:pPr>
        <w:ind w:firstLine="685"/>
        <w:spacing w:after="0" w:line="220" w:lineRule="auto"/>
        <w:rPr>
          <w:sz w:val="20"/>
          <w:szCs w:val="20"/>
          <w:color w:val="auto"/>
        </w:rPr>
      </w:pPr>
      <w:r>
        <w:rPr>
          <w:rFonts w:ascii="Arial" w:cs="Arial" w:eastAsia="Arial" w:hAnsi="Arial"/>
          <w:sz w:val="18"/>
          <w:szCs w:val="18"/>
          <w:color w:val="auto"/>
        </w:rPr>
        <w:t>The selling shareholders are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selling shareholders). In addition, the selling shareholders have agreed not to, directly or indirectly, (i) solicit shareholders for the approval of any shareholder proposals, (ii) propose or seek to effect a change of control of Civeo, (iii) engage in a proxy solicitation involving Civeo, or (iv) form, join or otherwise participate in a group or voting trust with respect to common shares (other than a group comprised solely of selling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selling shareholders in the aggregate no longer constitute at least five percent of the common shares then outstanding (calculated assuming conversion of all of the outstanding Class A Series 1 Preferred Shares) or upon specified bankruptcy or change of control events.</w:t>
      </w:r>
    </w:p>
    <w:p>
      <w:pPr>
        <w:spacing w:after="0" w:line="133" w:lineRule="exact"/>
        <w:rPr>
          <w:sz w:val="20"/>
          <w:szCs w:val="20"/>
          <w:color w:val="auto"/>
        </w:rPr>
      </w:pPr>
    </w:p>
    <w:p>
      <w:pPr>
        <w:ind w:right="180" w:firstLine="685"/>
        <w:spacing w:after="0" w:line="246" w:lineRule="auto"/>
        <w:rPr>
          <w:sz w:val="20"/>
          <w:szCs w:val="20"/>
          <w:color w:val="auto"/>
        </w:rPr>
      </w:pPr>
      <w:r>
        <w:rPr>
          <w:rFonts w:ascii="Arial" w:cs="Arial" w:eastAsia="Arial" w:hAnsi="Arial"/>
          <w:sz w:val="17"/>
          <w:szCs w:val="17"/>
          <w:color w:val="auto"/>
        </w:rPr>
        <w:t>The selling shareholders’ registration rights are subject to certain customary limitations, including our right to delay or withdraw a registration statement under certain circumstances. We generally will be required to bear the registration expenses, other than underwriting discounts and commissions and transfer taxes or stamp or other duties attributable to a selling shareholder’s sale or other disposition of the common shares. In addition, we will pay the reasonable fees and expenses of one legal counsel selected by the majority-in-interest of the selling shareholders participating in any public offering.</w:t>
      </w:r>
    </w:p>
    <w:p>
      <w:pPr>
        <w:spacing w:after="0" w:line="126" w:lineRule="exact"/>
        <w:rPr>
          <w:sz w:val="20"/>
          <w:szCs w:val="20"/>
          <w:color w:val="auto"/>
        </w:rPr>
      </w:pPr>
    </w:p>
    <w:p>
      <w:pPr>
        <w:ind w:right="20" w:firstLine="685"/>
        <w:spacing w:after="0" w:line="221" w:lineRule="auto"/>
        <w:rPr>
          <w:sz w:val="20"/>
          <w:szCs w:val="20"/>
          <w:color w:val="auto"/>
        </w:rPr>
      </w:pPr>
      <w:r>
        <w:rPr>
          <w:rFonts w:ascii="Arial" w:cs="Arial" w:eastAsia="Arial" w:hAnsi="Arial"/>
          <w:sz w:val="18"/>
          <w:szCs w:val="18"/>
          <w:color w:val="auto"/>
        </w:rPr>
        <w:t>Each selling shareholder has agreed to not transfer any of its common shares or Class A Series 1 Preferred Shares for a period of 18 months after the date of the Registration Rights Agreement, subject to certain exceptions, including transfers to affiliates. After the 18-month restricted period, any selling shareholder will be permitted to transfer its common shares in any public offering or in a sale transaction pursuant to and in accordance with Rule 144 under the Securities Act so long as no such transfer, when taken together with any and all other transfers during the period of 90 consecutive days ending on the date of such transfer, involves a number of common shares in excess of 10 percent of the number of such selling shareholder’s common shares issued to such selling shareholder in connection with the Acquisition (calculated assuming conversion of such selling shareholder’s Class A Series 1 Preferred Shares, if any). The foregoing transfer restrictions will not apply to a transfer in a public offering pursuant to a piggyback registration statement. In addition, no selling shareholder may transfer any common shares or Class A Series 1 Preferred Shares to any competitor of Civeo or any person, whether individually or as part of a group, that would then have the right to vote more than ten percent of the common shares then outstanding, other than transfers in an underwritten public offering or in a market transaction pursuant to Rule 144.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2000"/>
          </w:cols>
          <w:pgMar w:left="120" w:top="228" w:right="120"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PLAN OF DISTRIBUTION</w:t>
      </w:r>
    </w:p>
    <w:p>
      <w:pPr>
        <w:spacing w:after="0" w:line="215" w:lineRule="exact"/>
        <w:rPr>
          <w:sz w:val="20"/>
          <w:szCs w:val="20"/>
          <w:color w:val="auto"/>
        </w:rPr>
      </w:pPr>
    </w:p>
    <w:p>
      <w:pPr>
        <w:jc w:val="both"/>
        <w:ind w:right="180" w:firstLine="685"/>
        <w:spacing w:after="0" w:line="263" w:lineRule="auto"/>
        <w:rPr>
          <w:sz w:val="20"/>
          <w:szCs w:val="20"/>
          <w:color w:val="auto"/>
        </w:rPr>
      </w:pPr>
      <w:r>
        <w:rPr>
          <w:rFonts w:ascii="Arial" w:cs="Arial" w:eastAsia="Arial" w:hAnsi="Arial"/>
          <w:sz w:val="19"/>
          <w:szCs w:val="19"/>
          <w:color w:val="auto"/>
        </w:rPr>
        <w:t>As of the date of this prospectus, we have not been advised by the selling shareholders as to any plan of distribution. The selling shareholders may choose to sell some, all or none of the common shares offered by this prospectus. To the extent required, this prospectus may be amended or supplemented from time to time to describe a particular plan of distribution.</w:t>
      </w:r>
    </w:p>
    <w:p>
      <w:pPr>
        <w:spacing w:after="0" w:line="194" w:lineRule="exact"/>
        <w:rPr>
          <w:sz w:val="20"/>
          <w:szCs w:val="20"/>
          <w:color w:val="auto"/>
        </w:rPr>
      </w:pPr>
    </w:p>
    <w:p>
      <w:pPr>
        <w:jc w:val="both"/>
        <w:ind w:right="80" w:firstLine="685"/>
        <w:spacing w:after="0" w:line="277" w:lineRule="auto"/>
        <w:rPr>
          <w:sz w:val="20"/>
          <w:szCs w:val="20"/>
          <w:color w:val="auto"/>
        </w:rPr>
      </w:pPr>
      <w:r>
        <w:rPr>
          <w:rFonts w:ascii="Arial" w:cs="Arial" w:eastAsia="Arial" w:hAnsi="Arial"/>
          <w:sz w:val="18"/>
          <w:szCs w:val="18"/>
          <w:color w:val="auto"/>
        </w:rPr>
        <w:t>The common shares held by the selling shareholders, or by their partners, pledgees, donees (including charitable organizations), transferees or other successors in interest, may from time to time be offered for sale either directly by the selling shareholders or other persons, or through underwriters, dealers or agents or on any exchange on which the common shares may from time to time be traded, in the over-the-counter markets or in independently negotiated transactions or otherwise. The methods by which the common shares may be sold include:</w:t>
      </w:r>
    </w:p>
    <w:p>
      <w:pPr>
        <w:spacing w:after="0" w:line="185" w:lineRule="exact"/>
        <w:rPr>
          <w:sz w:val="20"/>
          <w:szCs w:val="20"/>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ordinary brokerage transactions and transactions in which the broker-dealer solicits purchasers;</w:t>
      </w:r>
    </w:p>
    <w:p>
      <w:pPr>
        <w:spacing w:after="0" w:line="237" w:lineRule="exact"/>
        <w:rPr>
          <w:rFonts w:ascii="Arial" w:cs="Arial" w:eastAsia="Arial" w:hAnsi="Arial"/>
          <w:sz w:val="19"/>
          <w:szCs w:val="19"/>
          <w:color w:val="auto"/>
        </w:rPr>
      </w:pPr>
    </w:p>
    <w:p>
      <w:pPr>
        <w:ind w:left="1020" w:hanging="341"/>
        <w:spacing w:after="0" w:line="263"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block trade (which may involve crosses in which the same broker-dealer acts as agent on both sides) in which the broker or dealer so engaged will attempt to sell the common shares as agent or as riskless principal but may position and resell a portion of the block as principal to facilitate the transaction;</w:t>
      </w:r>
    </w:p>
    <w:p>
      <w:pPr>
        <w:spacing w:after="0" w:line="194"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purchases by a broker or dealer as principal and resales by such broker or dealer for its own account pursuant to this prospectus;</w:t>
      </w:r>
    </w:p>
    <w:p>
      <w:pPr>
        <w:spacing w:after="0" w:line="237" w:lineRule="exact"/>
        <w:rPr>
          <w:rFonts w:ascii="Arial" w:cs="Arial" w:eastAsia="Arial" w:hAnsi="Arial"/>
          <w:sz w:val="19"/>
          <w:szCs w:val="19"/>
          <w:color w:val="auto"/>
        </w:rPr>
      </w:pPr>
    </w:p>
    <w:p>
      <w:pPr>
        <w:ind w:left="1020" w:right="480" w:hanging="341"/>
        <w:spacing w:after="0" w:line="275"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exchange distributions and/or secondary distributions in accordance with the rules of the NYSE or any other applicable national securities exchange on which the common shares are listed;</w:t>
      </w:r>
    </w:p>
    <w:p>
      <w:pPr>
        <w:spacing w:after="0" w:line="183" w:lineRule="exact"/>
        <w:rPr>
          <w:rFonts w:ascii="Arial" w:cs="Arial" w:eastAsia="Arial" w:hAnsi="Arial"/>
          <w:sz w:val="19"/>
          <w:szCs w:val="19"/>
          <w:color w:val="auto"/>
        </w:rPr>
      </w:pPr>
    </w:p>
    <w:p>
      <w:pPr>
        <w:ind w:left="1020" w:right="480" w:hanging="341"/>
        <w:spacing w:after="0" w:line="263"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sales on any national securities exchange or quotation service on which the common shares may be listed or quoted at the time of the sale, including the NYSE, in the over-the-counter markets or through a market maker or into an existing trading market (on an exchange or otherwise) for the common shares;</w:t>
      </w:r>
    </w:p>
    <w:p>
      <w:pPr>
        <w:spacing w:after="0" w:line="194"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underwritten transactions;</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short sales, whether through a broker-dealer or otherwise;</w:t>
      </w:r>
    </w:p>
    <w:p>
      <w:pPr>
        <w:spacing w:after="0" w:line="237" w:lineRule="exact"/>
        <w:rPr>
          <w:rFonts w:ascii="Arial" w:cs="Arial" w:eastAsia="Arial" w:hAnsi="Arial"/>
          <w:sz w:val="19"/>
          <w:szCs w:val="19"/>
          <w:color w:val="auto"/>
        </w:rPr>
      </w:pPr>
    </w:p>
    <w:p>
      <w:pPr>
        <w:ind w:left="1020" w:right="20" w:hanging="341"/>
        <w:spacing w:after="0" w:line="275"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transactions in which broker-dealers may agree with the selling shareholders to sell a specified number of such common shares at a stipulated price per share;</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privately negotiated transactions;</w:t>
      </w:r>
    </w:p>
    <w:p>
      <w:pPr>
        <w:spacing w:after="0" w:line="237" w:lineRule="exact"/>
        <w:rPr>
          <w:rFonts w:ascii="Arial" w:cs="Arial" w:eastAsia="Arial" w:hAnsi="Arial"/>
          <w:sz w:val="19"/>
          <w:szCs w:val="19"/>
          <w:color w:val="auto"/>
        </w:rPr>
      </w:pPr>
    </w:p>
    <w:p>
      <w:pPr>
        <w:ind w:left="1020" w:right="180" w:hanging="341"/>
        <w:spacing w:after="0" w:line="275"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pledges of the common shares as security for any loan or obligation, including pledges to brokers or dealers who may from time to time effect sales or other distributions of the securities;</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a combination of any such methods of sale; and</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w:t>
      </w:r>
    </w:p>
    <w:p>
      <w:pPr>
        <w:spacing w:after="0" w:line="238" w:lineRule="exact"/>
        <w:rPr>
          <w:sz w:val="20"/>
          <w:szCs w:val="20"/>
          <w:color w:val="auto"/>
        </w:rPr>
      </w:pPr>
    </w:p>
    <w:p>
      <w:pPr>
        <w:ind w:right="180" w:firstLine="685"/>
        <w:spacing w:after="0" w:line="255" w:lineRule="auto"/>
        <w:rPr>
          <w:sz w:val="20"/>
          <w:szCs w:val="20"/>
          <w:color w:val="auto"/>
        </w:rPr>
      </w:pPr>
      <w:r>
        <w:rPr>
          <w:rFonts w:ascii="Arial" w:cs="Arial" w:eastAsia="Arial" w:hAnsi="Arial"/>
          <w:sz w:val="19"/>
          <w:szCs w:val="19"/>
          <w:color w:val="auto"/>
        </w:rPr>
        <w:t>The selling shareholders may effect such transactions by selling the common shares to underwriters or to or through broker-dealers, and such underwriters or broker-dealers may receive compensation in the form of discounts or commissions from the selling shareholders and may receive commissions from the purchasers of the common shares for whom they may act as agents. Such transactions may be effected by the selling shareholders at fixed prices, which may be changed, market prices prevailing at the time of sale, varying prices determined at the time of sale or at negotiated prices. These prices will be determined by the selling shareholders or by agreement between the selling shareholders and any underwriters or broker-dealers who may receive fees or commissions in connection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2000"/>
          </w:cols>
          <w:pgMar w:left="120" w:top="222" w:right="120" w:bottom="1440" w:gutter="0" w:footer="0" w:header="0"/>
        </w:sectPr>
      </w:pPr>
    </w:p>
    <w:bookmarkStart w:id="13" w:name="page14"/>
    <w:bookmarkEnd w:id="13"/>
    <w:p>
      <w:pPr>
        <w:ind w:right="680"/>
        <w:spacing w:after="0" w:line="275" w:lineRule="auto"/>
        <w:rPr>
          <w:sz w:val="20"/>
          <w:szCs w:val="20"/>
          <w:color w:val="auto"/>
        </w:rPr>
      </w:pPr>
      <w:r>
        <w:rPr>
          <w:rFonts w:ascii="Arial" w:cs="Arial" w:eastAsia="Arial" w:hAnsi="Arial"/>
          <w:sz w:val="19"/>
          <w:szCs w:val="19"/>
          <w:color w:val="auto"/>
        </w:rPr>
        <w:t>with the sale. The aggregate proceeds to the selling shareholders from the sale of the common shares offered hereby will be the purchase price of the common shares less discounts and commissions, if any.</w:t>
      </w:r>
    </w:p>
    <w:p>
      <w:pPr>
        <w:spacing w:after="0" w:line="184" w:lineRule="exact"/>
        <w:rPr>
          <w:sz w:val="20"/>
          <w:szCs w:val="20"/>
          <w:color w:val="auto"/>
        </w:rPr>
      </w:pPr>
    </w:p>
    <w:p>
      <w:pPr>
        <w:ind w:right="20" w:firstLine="685"/>
        <w:spacing w:after="0" w:line="259" w:lineRule="auto"/>
        <w:rPr>
          <w:sz w:val="20"/>
          <w:szCs w:val="20"/>
          <w:color w:val="auto"/>
        </w:rPr>
      </w:pPr>
      <w:r>
        <w:rPr>
          <w:rFonts w:ascii="Arial" w:cs="Arial" w:eastAsia="Arial" w:hAnsi="Arial"/>
          <w:sz w:val="19"/>
          <w:szCs w:val="19"/>
          <w:color w:val="auto"/>
        </w:rPr>
        <w:t>If the selling shareholders utilize a dealer in the sale of the common shares, the selling shareholders will sell those common shares to the dealer, as principal. The dealer may then resell those common shares to the public at varying prices to be determined by the dealer at the time of resale. The dealers may also be the selling shareholders’ customers or may engage in transactions with, or perform services for, the selling shareholders in the ordinary course of business.</w:t>
      </w:r>
    </w:p>
    <w:p>
      <w:pPr>
        <w:spacing w:after="0" w:line="198" w:lineRule="exact"/>
        <w:rPr>
          <w:sz w:val="20"/>
          <w:szCs w:val="20"/>
          <w:color w:val="auto"/>
        </w:rPr>
      </w:pPr>
    </w:p>
    <w:p>
      <w:pPr>
        <w:ind w:firstLine="685"/>
        <w:spacing w:after="0" w:line="259" w:lineRule="auto"/>
        <w:rPr>
          <w:sz w:val="20"/>
          <w:szCs w:val="20"/>
          <w:color w:val="auto"/>
        </w:rPr>
      </w:pPr>
      <w:r>
        <w:rPr>
          <w:rFonts w:ascii="Arial" w:cs="Arial" w:eastAsia="Arial" w:hAnsi="Arial"/>
          <w:sz w:val="19"/>
          <w:szCs w:val="19"/>
          <w:color w:val="auto"/>
        </w:rPr>
        <w:t>In addition, the selling shareholders may from time to time sell securities in compliance with Rule 144 under the Securities Act, if available, or pursuant to other available exemptions from the registration requirements under the Securities Act, rather than pursuant to this prospectus. In such event, the selling shareholders may be required by the securities laws of certain states to offer and sell the common shares only through registered or licensed brokers or dealers.</w:t>
      </w:r>
    </w:p>
    <w:p>
      <w:pPr>
        <w:spacing w:after="0" w:line="198" w:lineRule="exact"/>
        <w:rPr>
          <w:sz w:val="20"/>
          <w:szCs w:val="20"/>
          <w:color w:val="auto"/>
        </w:rPr>
      </w:pPr>
    </w:p>
    <w:p>
      <w:pPr>
        <w:ind w:right="60" w:firstLine="685"/>
        <w:spacing w:after="0" w:line="254" w:lineRule="auto"/>
        <w:rPr>
          <w:sz w:val="20"/>
          <w:szCs w:val="20"/>
          <w:color w:val="auto"/>
        </w:rPr>
      </w:pPr>
      <w:r>
        <w:rPr>
          <w:rFonts w:ascii="Arial" w:cs="Arial" w:eastAsia="Arial" w:hAnsi="Arial"/>
          <w:sz w:val="19"/>
          <w:szCs w:val="19"/>
          <w:color w:val="auto"/>
        </w:rPr>
        <w:t>Under the Registration Rights Agreement, we have agreed to indemnify the selling shareholders against any losses, claims, damages or liabilities resulting from any untrue statement or omission of a material fact in any registration statement or prospectus pursuant to which they sell common shares, unless such liability arose from their misstatement or omission, and each of the selling shareholders, severally and individually, has agreed to indemnify us against any losses, claims, damages or liabilities caused by such selling shareholder’s misstatements or omissions in those documents. We and the selling shareholders may agree to indemnify underwriters, brokers, dealers and agents who participate in the distribution of the common shares included in this prospectus against certain liabilities to which they may become subject in connection with the sale of such common shares, including liabilities arising under the Securities Act.</w:t>
      </w:r>
    </w:p>
    <w:p>
      <w:pPr>
        <w:spacing w:after="0" w:line="207" w:lineRule="exact"/>
        <w:rPr>
          <w:sz w:val="20"/>
          <w:szCs w:val="20"/>
          <w:color w:val="auto"/>
        </w:rPr>
      </w:pPr>
    </w:p>
    <w:p>
      <w:pPr>
        <w:ind w:firstLine="685"/>
        <w:spacing w:after="0" w:line="289" w:lineRule="auto"/>
        <w:rPr>
          <w:sz w:val="20"/>
          <w:szCs w:val="20"/>
          <w:color w:val="auto"/>
        </w:rPr>
      </w:pPr>
      <w:r>
        <w:rPr>
          <w:rFonts w:ascii="Arial" w:cs="Arial" w:eastAsia="Arial" w:hAnsi="Arial"/>
          <w:sz w:val="17"/>
          <w:szCs w:val="17"/>
          <w:color w:val="auto"/>
        </w:rPr>
        <w:t>The selling shareholders and other persons participating in the sale or distribution of the common shares will be subject to applicable provisions of the Securities Exchange Act of 1934 (the “Exchange Act”), and the rules and regulations thereunder, including Regulation M. This regulation may limit the timing of purchases and sales of any of the common shares by the selling shareholders and any other person. The anti-manipulation rules under the Exchange Act may apply to sales of securities in the market and to the activities of the selling shareholders and their affiliates. Furthermore, Regulation M may restrict the ability of any person engaged in the distribution of the common shares to engage in market-making activities with respect to the particular securities being distributed for a period of up to five business days before the distribution. These restrictions may affect the marketability of the common shares and the ability of any person or entity to engage in market-making activities with respect to the common shares.</w:t>
      </w:r>
    </w:p>
    <w:p>
      <w:pPr>
        <w:spacing w:after="0" w:line="178" w:lineRule="exact"/>
        <w:rPr>
          <w:sz w:val="20"/>
          <w:szCs w:val="20"/>
          <w:color w:val="auto"/>
        </w:rPr>
      </w:pPr>
    </w:p>
    <w:p>
      <w:pPr>
        <w:ind w:right="140" w:firstLine="685"/>
        <w:spacing w:after="0" w:line="308" w:lineRule="auto"/>
        <w:rPr>
          <w:sz w:val="20"/>
          <w:szCs w:val="20"/>
          <w:color w:val="auto"/>
        </w:rPr>
      </w:pPr>
      <w:r>
        <w:rPr>
          <w:rFonts w:ascii="Arial" w:cs="Arial" w:eastAsia="Arial" w:hAnsi="Arial"/>
          <w:sz w:val="17"/>
          <w:szCs w:val="17"/>
          <w:color w:val="auto"/>
        </w:rPr>
        <w:t>In connection with sales of the common shares under this prospectus, the selling shareholders may enter into hedging transactions with broker-dealers, who may in turn engage in short sales of the common shares in the course of hedging the positions they assume. The selling shareholders also may sell common shares short and deliver them to close out the short positions or loan or pledge the common shares to broker-dealers that in turn may sell them.</w:t>
      </w:r>
    </w:p>
    <w:p>
      <w:pPr>
        <w:spacing w:after="0" w:line="160" w:lineRule="exact"/>
        <w:rPr>
          <w:sz w:val="20"/>
          <w:szCs w:val="20"/>
          <w:color w:val="auto"/>
        </w:rPr>
      </w:pPr>
    </w:p>
    <w:p>
      <w:pPr>
        <w:jc w:val="both"/>
        <w:ind w:right="60" w:firstLine="685"/>
        <w:spacing w:after="0" w:line="272" w:lineRule="auto"/>
        <w:rPr>
          <w:sz w:val="20"/>
          <w:szCs w:val="20"/>
          <w:color w:val="auto"/>
        </w:rPr>
      </w:pPr>
      <w:r>
        <w:rPr>
          <w:rFonts w:ascii="Arial" w:cs="Arial" w:eastAsia="Arial" w:hAnsi="Arial"/>
          <w:sz w:val="18"/>
          <w:szCs w:val="18"/>
          <w:color w:val="auto"/>
        </w:rPr>
        <w:t>From time to time, one or more of the selling shareholders may pledge, hypothecate or grant a security interest in some or all of the common shares owned by them. The pledgees, secured parties or persons to whom the common shares have been hypothecated will, upon foreclosure in the event of default, be deemed to be selling shareholders. The number of a selling shareholder’s common shares offered under this prospectus will decrease as and when it takes such actions. The plan of distribution for that selling shareholder’s common shares will otherwise remain unchanged. In addition, a selling shareholder may, from time to time, sell the common shares short, and, in those instances, this prospectus may be delivered in connection with the short sales and the common shares offered under this prospectus may be used to cover short sales.</w:t>
      </w:r>
    </w:p>
    <w:p>
      <w:pPr>
        <w:spacing w:after="0" w:line="190" w:lineRule="exact"/>
        <w:rPr>
          <w:sz w:val="20"/>
          <w:szCs w:val="20"/>
          <w:color w:val="auto"/>
        </w:rPr>
      </w:pPr>
    </w:p>
    <w:p>
      <w:pPr>
        <w:jc w:val="both"/>
        <w:ind w:right="160" w:firstLine="685"/>
        <w:spacing w:after="0" w:line="263" w:lineRule="auto"/>
        <w:rPr>
          <w:sz w:val="20"/>
          <w:szCs w:val="20"/>
          <w:color w:val="auto"/>
        </w:rPr>
      </w:pPr>
      <w:r>
        <w:rPr>
          <w:rFonts w:ascii="Arial" w:cs="Arial" w:eastAsia="Arial" w:hAnsi="Arial"/>
          <w:sz w:val="19"/>
          <w:szCs w:val="19"/>
          <w:color w:val="auto"/>
        </w:rPr>
        <w:t>The selling shareholders may sell the common shares they hold using a public auction process in which the public offering price and the allocation of the common shares will be determined through an auction conducted by an auction agent. The auction process may involve a modified “Dutch auction” mechanic in which the auction agent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1980"/>
          </w:cols>
          <w:pgMar w:left="120" w:top="242" w:right="140"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8"/>
          <w:szCs w:val="18"/>
          <w:color w:val="auto"/>
        </w:rPr>
        <w:t>(and potentially other brokers) will receive and accept bids from bidders at either a minimum bid price or at price increments in excess of the minimum bid price. The auction agent and any such other brokers may be the underwriters of the offering or their affiliates. After the auction closes and those bids become irrevocable, the auction agent will determine the clearing price for the sale of the common shares offered in the auction, and subject to agreement between the selling shareholders and the underwriter or underwriters to proceed with the offering, the common shares will be allocated to winning bidders by the underwriter or underwriters. If the selling shareholders use a public auction process to sell the common shares, a more detailed description of the procedures to be used in connection with any such auction will be set forth in a pricing supplement to this prospectus.</w:t>
      </w:r>
    </w:p>
    <w:p>
      <w:pPr>
        <w:spacing w:after="0" w:line="190" w:lineRule="exact"/>
        <w:rPr>
          <w:sz w:val="20"/>
          <w:szCs w:val="20"/>
          <w:color w:val="auto"/>
        </w:rPr>
      </w:pPr>
    </w:p>
    <w:p>
      <w:pPr>
        <w:ind w:right="180" w:firstLine="685"/>
        <w:spacing w:after="0" w:line="263" w:lineRule="auto"/>
        <w:rPr>
          <w:sz w:val="20"/>
          <w:szCs w:val="20"/>
          <w:color w:val="auto"/>
        </w:rPr>
      </w:pPr>
      <w:r>
        <w:rPr>
          <w:rFonts w:ascii="Arial" w:cs="Arial" w:eastAsia="Arial" w:hAnsi="Arial"/>
          <w:sz w:val="19"/>
          <w:szCs w:val="19"/>
          <w:color w:val="auto"/>
        </w:rPr>
        <w:t>The selling shareholders or their respective underwriters, broker-dealers, or agents may make sales of the common shares that are deemed to be an at-the-market offering as defined in Securities Act Rule 415, which includes sales of such selling shareholders made directly on or through the NYSE, the existing trading market for the common shares, or in the over-the-counter market or otherwise.</w:t>
      </w:r>
    </w:p>
    <w:p>
      <w:pPr>
        <w:spacing w:after="0" w:line="194" w:lineRule="exact"/>
        <w:rPr>
          <w:sz w:val="20"/>
          <w:szCs w:val="20"/>
          <w:color w:val="auto"/>
        </w:rPr>
      </w:pPr>
    </w:p>
    <w:p>
      <w:pPr>
        <w:ind w:right="80" w:firstLine="685"/>
        <w:spacing w:after="0" w:line="256" w:lineRule="auto"/>
        <w:rPr>
          <w:sz w:val="20"/>
          <w:szCs w:val="20"/>
          <w:color w:val="auto"/>
        </w:rPr>
      </w:pPr>
      <w:r>
        <w:rPr>
          <w:rFonts w:ascii="Arial" w:cs="Arial" w:eastAsia="Arial" w:hAnsi="Arial"/>
          <w:sz w:val="19"/>
          <w:szCs w:val="19"/>
          <w:color w:val="auto"/>
        </w:rPr>
        <w:t>The selling shareholders and any underwriters, broker-dealers or agents who participate in the distribution of the common shares may be deemed to be “underwriters” within the meaning of the Securities Act. To the extent any of the selling shareholders are broker-dealers, they are, according to SEC interpretation, “underwriters” within the meaning of the Securities Act. Underwriters are subject to the prospectus delivery requirements under the Securities Act. If the selling shareholders are deemed to be underwriters, the selling shareholders may be subject to certain statutory liabilities under the Securities Act and the Exchange Act.</w:t>
      </w:r>
    </w:p>
    <w:p>
      <w:pPr>
        <w:spacing w:after="0" w:line="204" w:lineRule="exact"/>
        <w:rPr>
          <w:sz w:val="20"/>
          <w:szCs w:val="20"/>
          <w:color w:val="auto"/>
        </w:rPr>
      </w:pPr>
    </w:p>
    <w:p>
      <w:pPr>
        <w:ind w:right="240" w:firstLine="685"/>
        <w:spacing w:after="0" w:line="274" w:lineRule="auto"/>
        <w:rPr>
          <w:sz w:val="20"/>
          <w:szCs w:val="20"/>
          <w:color w:val="auto"/>
        </w:rPr>
      </w:pPr>
      <w:r>
        <w:rPr>
          <w:rFonts w:ascii="Arial" w:cs="Arial" w:eastAsia="Arial" w:hAnsi="Arial"/>
          <w:sz w:val="18"/>
          <w:szCs w:val="18"/>
          <w:color w:val="auto"/>
        </w:rPr>
        <w:t>To the extent required, the names of the specific managing underwriter or underwriters, if any, as well as other important information, will be set forth in one or more prospectus supplements. In that event, the discounts and commissions the selling shareholders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common shares may also engage in transactions with, or perform services for, us or our affiliates in the ordinary course of their businesses.</w:t>
      </w:r>
    </w:p>
    <w:p>
      <w:pPr>
        <w:spacing w:after="0" w:line="188" w:lineRule="exact"/>
        <w:rPr>
          <w:sz w:val="20"/>
          <w:szCs w:val="20"/>
          <w:color w:val="auto"/>
        </w:rPr>
      </w:pPr>
    </w:p>
    <w:p>
      <w:pPr>
        <w:ind w:right="80" w:firstLine="685"/>
        <w:spacing w:after="0" w:line="336"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The place and time of delivery for the common shares in respect of which this prospectus is delivered will be set forth in the accompanying prospectus supplement.</w:t>
      </w:r>
    </w:p>
    <w:p>
      <w:pPr>
        <w:spacing w:after="0" w:line="137" w:lineRule="exact"/>
        <w:rPr>
          <w:sz w:val="20"/>
          <w:szCs w:val="20"/>
          <w:color w:val="auto"/>
        </w:rPr>
      </w:pPr>
    </w:p>
    <w:p>
      <w:pPr>
        <w:ind w:firstLine="685"/>
        <w:spacing w:after="0" w:line="269" w:lineRule="auto"/>
        <w:rPr>
          <w:sz w:val="20"/>
          <w:szCs w:val="20"/>
          <w:color w:val="auto"/>
        </w:rPr>
      </w:pPr>
      <w:r>
        <w:rPr>
          <w:rFonts w:ascii="Arial" w:cs="Arial" w:eastAsia="Arial" w:hAnsi="Arial"/>
          <w:sz w:val="18"/>
          <w:szCs w:val="18"/>
          <w:color w:val="auto"/>
        </w:rPr>
        <w:t>In connection with offerings under this shelf registration statement and in compliance with applicable law, underwriters, brokers or dealers may engage in transactions that stabilize or maintain the market price of the common shares at levels above those that might otherwise prevail in the open market. Specifically, underwriters, brokers or dealers may overallot in connection with offerings, creating a short position in the common shares for their own accounts. For the purpose of covering a syndicate short position or stabilizing the price of the common shares, the underwriters, brokers or dealers may place bids for the common shares or effect purchases of the common shares in the open market. Finally, the underwriters may impose a penalty whereby selling concessions allowed to syndicate members or other brokers or dealers for distribution of the common shares in offerings may be reclaimed by the syndicate if the syndicate repurchases the previously distributed common shares in transactions to cover short positions, in stabilization transactions or otherwise. These activities may stabilize, maintain or otherwise affect the market price of the common shares, which may be higher than the price that might otherwise prevail in the open market, and, if commenced, may be discontinued at any time.</w:t>
      </w:r>
    </w:p>
    <w:p>
      <w:pPr>
        <w:spacing w:after="0" w:line="194"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These transactions may be effected on or through the NYSE, the existing trading market for the common shares, or in the over-the-counter market or otherwise.</w:t>
      </w:r>
    </w:p>
    <w:p>
      <w:pPr>
        <w:spacing w:after="0" w:line="184" w:lineRule="exact"/>
        <w:rPr>
          <w:sz w:val="20"/>
          <w:szCs w:val="20"/>
          <w:color w:val="auto"/>
        </w:rPr>
      </w:pPr>
    </w:p>
    <w:p>
      <w:pPr>
        <w:ind w:right="200" w:firstLine="685"/>
        <w:spacing w:after="0" w:line="259" w:lineRule="auto"/>
        <w:rPr>
          <w:sz w:val="20"/>
          <w:szCs w:val="20"/>
          <w:color w:val="auto"/>
        </w:rPr>
      </w:pPr>
      <w:r>
        <w:rPr>
          <w:rFonts w:ascii="Arial" w:cs="Arial" w:eastAsia="Arial" w:hAnsi="Arial"/>
          <w:sz w:val="19"/>
          <w:szCs w:val="19"/>
          <w:color w:val="auto"/>
        </w:rPr>
        <w:t>If required, we may add transferees, successors and donees by prospectus supplement in instances where the transferee, successor or donee has acquired its shares from holders named in this prospectus after the effective date of this prospectus. Transferees, successors and donees of identified selling shareholders may not be able to use this prospectus for resales until they are named in the selling shareholders table by prospectus supplement or post-effective amendment. See “Selling Shareholders.”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2000"/>
          </w:cols>
          <w:pgMar w:left="120" w:top="242" w:right="120"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9"/>
          <w:szCs w:val="19"/>
          <w:b w:val="1"/>
          <w:bCs w:val="1"/>
          <w:color w:val="auto"/>
        </w:rPr>
        <w:t>LEGAL MATTERS</w:t>
      </w:r>
    </w:p>
    <w:p>
      <w:pPr>
        <w:spacing w:after="0" w:line="201" w:lineRule="exact"/>
        <w:rPr>
          <w:sz w:val="20"/>
          <w:szCs w:val="20"/>
          <w:color w:val="auto"/>
        </w:rPr>
      </w:pPr>
    </w:p>
    <w:p>
      <w:pPr>
        <w:ind w:right="80" w:firstLine="685"/>
        <w:spacing w:after="0" w:line="255" w:lineRule="auto"/>
        <w:rPr>
          <w:sz w:val="20"/>
          <w:szCs w:val="20"/>
          <w:color w:val="auto"/>
        </w:rPr>
      </w:pPr>
      <w:r>
        <w:rPr>
          <w:rFonts w:ascii="Arial" w:cs="Arial" w:eastAsia="Arial" w:hAnsi="Arial"/>
          <w:sz w:val="17"/>
          <w:szCs w:val="17"/>
          <w:color w:val="auto"/>
        </w:rPr>
        <w:t>Certain legal matters in connection with this offering will be passed upon for us by Gibson, Dunn &amp; Crutcher LLP, Houston, Texas, with respect to U.S. law. Certain legal matters in connection with this offering will be passed upon for us by Dentons Canada LLP, Vancouver, British Columbia, Canada, with respect to Canadian law. Any underwriters will be advised about other issues relating to any offering by their own legal counsel.</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EXPERTS</w:t>
      </w:r>
    </w:p>
    <w:p>
      <w:pPr>
        <w:spacing w:after="0" w:line="201" w:lineRule="exact"/>
        <w:rPr>
          <w:sz w:val="20"/>
          <w:szCs w:val="20"/>
          <w:color w:val="auto"/>
        </w:rPr>
      </w:pPr>
    </w:p>
    <w:p>
      <w:pPr>
        <w:ind w:right="240" w:firstLine="685"/>
        <w:spacing w:after="0" w:line="215" w:lineRule="auto"/>
        <w:rPr>
          <w:sz w:val="20"/>
          <w:szCs w:val="20"/>
          <w:color w:val="auto"/>
        </w:rPr>
      </w:pPr>
      <w:r>
        <w:rPr>
          <w:rFonts w:ascii="Arial" w:cs="Arial" w:eastAsia="Arial" w:hAnsi="Arial"/>
          <w:sz w:val="19"/>
          <w:szCs w:val="19"/>
          <w:color w:val="auto"/>
        </w:rPr>
        <w:t>The consolidated financial statements of Civeo Corporation appearing in Civeo Corporation’s Annual Report on Form 10-K for the year ended December 31, 2018, and the effectiveness of Civeo Corporation’s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WHERE YOU CAN FIND MORE INFORMATION</w:t>
      </w:r>
    </w:p>
    <w:p>
      <w:pPr>
        <w:spacing w:after="0" w:line="201" w:lineRule="exact"/>
        <w:rPr>
          <w:sz w:val="20"/>
          <w:szCs w:val="20"/>
          <w:color w:val="auto"/>
        </w:rPr>
      </w:pPr>
    </w:p>
    <w:p>
      <w:pPr>
        <w:jc w:val="both"/>
        <w:ind w:right="260" w:firstLine="685"/>
        <w:spacing w:after="0" w:line="224" w:lineRule="auto"/>
        <w:rPr>
          <w:sz w:val="20"/>
          <w:szCs w:val="20"/>
          <w:color w:val="auto"/>
        </w:rPr>
      </w:pPr>
      <w:r>
        <w:rPr>
          <w:rFonts w:ascii="Arial" w:cs="Arial" w:eastAsia="Arial" w:hAnsi="Arial"/>
          <w:sz w:val="19"/>
          <w:szCs w:val="19"/>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73" w:lineRule="exact"/>
        <w:rPr>
          <w:sz w:val="20"/>
          <w:szCs w:val="20"/>
          <w:color w:val="auto"/>
        </w:rPr>
      </w:pPr>
    </w:p>
    <w:p>
      <w:pPr>
        <w:ind w:firstLine="685"/>
        <w:spacing w:after="0" w:line="239" w:lineRule="auto"/>
        <w:rPr>
          <w:sz w:val="20"/>
          <w:szCs w:val="20"/>
          <w:color w:val="auto"/>
        </w:rPr>
      </w:pPr>
      <w:r>
        <w:rPr>
          <w:rFonts w:ascii="Arial" w:cs="Arial" w:eastAsia="Arial" w:hAnsi="Arial"/>
          <w:sz w:val="17"/>
          <w:szCs w:val="17"/>
          <w:color w:val="auto"/>
        </w:rPr>
        <w:t>In addition, we file annual, quarterly and other reports, proxy statements and other information with the SEC. The SEC maintains an Internet site that contains reports, proxy statements and other information about registrants, like us, that have been filed electronically with the SEC. You can access the SEC’s Internet site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73" w:lineRule="exact"/>
        <w:rPr>
          <w:sz w:val="20"/>
          <w:szCs w:val="20"/>
          <w:color w:val="auto"/>
        </w:rPr>
      </w:pPr>
    </w:p>
    <w:p>
      <w:pPr>
        <w:ind w:right="120" w:firstLine="685"/>
        <w:spacing w:after="0" w:line="215" w:lineRule="auto"/>
        <w:rPr>
          <w:sz w:val="20"/>
          <w:szCs w:val="20"/>
          <w:color w:val="auto"/>
        </w:rPr>
      </w:pPr>
      <w:r>
        <w:rPr>
          <w:rFonts w:ascii="Arial" w:cs="Arial" w:eastAsia="Arial" w:hAnsi="Arial"/>
          <w:sz w:val="19"/>
          <w:szCs w:val="19"/>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77" w:lineRule="exact"/>
        <w:rPr>
          <w:sz w:val="20"/>
          <w:szCs w:val="20"/>
          <w:color w:val="auto"/>
        </w:rPr>
      </w:pPr>
    </w:p>
    <w:p>
      <w:pPr>
        <w:jc w:val="both"/>
        <w:ind w:right="120" w:firstLine="685"/>
        <w:spacing w:after="0" w:line="224" w:lineRule="auto"/>
        <w:rPr>
          <w:sz w:val="20"/>
          <w:szCs w:val="20"/>
          <w:color w:val="auto"/>
        </w:rPr>
      </w:pPr>
      <w:r>
        <w:rPr>
          <w:rFonts w:ascii="Arial" w:cs="Arial" w:eastAsia="Arial" w:hAnsi="Arial"/>
          <w:sz w:val="19"/>
          <w:szCs w:val="19"/>
          <w:color w:val="auto"/>
        </w:rPr>
        <w:t>We incorporate by reference in this prospectus the documents listed below, and any subsequent filings we make with the SEC under Section 13(a), 13(c), 14 or 15(d) of the Exchange Act (excluding information deemed to be furnished and not filed with the SEC) until all offerings under this registration statement are completed or terminated:</w:t>
      </w:r>
    </w:p>
    <w:p>
      <w:pPr>
        <w:spacing w:after="0" w:line="187" w:lineRule="exact"/>
        <w:rPr>
          <w:sz w:val="20"/>
          <w:szCs w:val="20"/>
          <w:color w:val="auto"/>
        </w:rPr>
      </w:pPr>
    </w:p>
    <w:p>
      <w:pPr>
        <w:ind w:left="1020" w:hanging="341"/>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annual report on Form 10-K for the year ended December 31, 2018 (the “Form 10-K”);</w:t>
      </w:r>
    </w:p>
    <w:p>
      <w:pPr>
        <w:spacing w:after="0" w:line="237" w:lineRule="exact"/>
        <w:rPr>
          <w:rFonts w:ascii="Arial" w:cs="Arial" w:eastAsia="Arial" w:hAnsi="Arial"/>
          <w:sz w:val="19"/>
          <w:szCs w:val="19"/>
          <w:color w:val="auto"/>
        </w:rPr>
      </w:pPr>
    </w:p>
    <w:p>
      <w:pPr>
        <w:ind w:left="1020" w:right="40" w:hanging="341"/>
        <w:spacing w:after="0" w:line="275"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information contained in our definitive proxy statement on Schedule 14A for our 2019 annual general meeting of shareholders to the extent incorporated by reference in Part III of the Form 10-K;</w:t>
      </w:r>
    </w:p>
    <w:p>
      <w:pPr>
        <w:spacing w:after="0" w:line="183" w:lineRule="exact"/>
        <w:rPr>
          <w:rFonts w:ascii="Arial" w:cs="Arial" w:eastAsia="Arial" w:hAnsi="Arial"/>
          <w:sz w:val="19"/>
          <w:szCs w:val="19"/>
          <w:color w:val="auto"/>
        </w:rPr>
      </w:pPr>
    </w:p>
    <w:p>
      <w:pPr>
        <w:ind w:left="1020" w:hanging="341"/>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quarterly reports on Form 10-Q filed on April 26, 2019 and July 29, 2019;</w:t>
      </w:r>
    </w:p>
    <w:p>
      <w:pPr>
        <w:spacing w:after="0" w:line="237" w:lineRule="exact"/>
        <w:rPr>
          <w:rFonts w:ascii="Arial" w:cs="Arial" w:eastAsia="Arial" w:hAnsi="Arial"/>
          <w:sz w:val="19"/>
          <w:szCs w:val="19"/>
          <w:color w:val="auto"/>
        </w:rPr>
      </w:pPr>
    </w:p>
    <w:p>
      <w:pPr>
        <w:ind w:left="1020" w:hanging="341"/>
        <w:spacing w:after="0"/>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our current reports on Form 8-K filed on April 1, 2019, May 21, 2019 and June 28, 2019; and</w:t>
      </w:r>
    </w:p>
    <w:p>
      <w:pPr>
        <w:spacing w:after="0" w:line="237" w:lineRule="exact"/>
        <w:rPr>
          <w:rFonts w:ascii="Arial" w:cs="Arial" w:eastAsia="Arial" w:hAnsi="Arial"/>
          <w:sz w:val="19"/>
          <w:szCs w:val="19"/>
          <w:color w:val="auto"/>
        </w:rPr>
      </w:pPr>
    </w:p>
    <w:p>
      <w:pPr>
        <w:ind w:left="1020" w:right="380" w:hanging="341"/>
        <w:spacing w:after="0" w:line="275" w:lineRule="auto"/>
        <w:tabs>
          <w:tab w:leader="none" w:pos="10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description of our common shares contained in our Current Report on Form 8-K12B, filed on July 17, 2015, as that description may be updated from time to time.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1940"/>
          </w:cols>
          <w:pgMar w:left="120" w:top="222" w:right="180" w:bottom="1440" w:gutter="0" w:footer="0" w:header="0"/>
        </w:sectPr>
      </w:pPr>
    </w:p>
    <w:bookmarkStart w:id="16" w:name="page17"/>
    <w:bookmarkEnd w:id="16"/>
    <w:p>
      <w:pPr>
        <w:ind w:firstLine="685"/>
        <w:spacing w:after="0" w:line="234" w:lineRule="auto"/>
        <w:rPr>
          <w:sz w:val="20"/>
          <w:szCs w:val="20"/>
          <w:color w:val="auto"/>
        </w:rPr>
      </w:pPr>
      <w:r>
        <w:rPr>
          <w:rFonts w:ascii="Arial" w:cs="Arial" w:eastAsia="Arial" w:hAnsi="Arial"/>
          <w:sz w:val="19"/>
          <w:szCs w:val="19"/>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113"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Civeo Corporation</w:t>
      </w:r>
    </w:p>
    <w:p>
      <w:pPr>
        <w:ind w:left="1360"/>
        <w:spacing w:after="0" w:line="203" w:lineRule="auto"/>
        <w:rPr>
          <w:sz w:val="20"/>
          <w:szCs w:val="20"/>
          <w:color w:val="auto"/>
        </w:rPr>
      </w:pPr>
      <w:r>
        <w:rPr>
          <w:rFonts w:ascii="Arial" w:cs="Arial" w:eastAsia="Arial" w:hAnsi="Arial"/>
          <w:sz w:val="19"/>
          <w:szCs w:val="19"/>
          <w:color w:val="auto"/>
        </w:rPr>
        <w:t>Attn: Corporate Secretary</w:t>
      </w:r>
    </w:p>
    <w:p>
      <w:pPr>
        <w:ind w:left="1360"/>
        <w:spacing w:after="0" w:line="204" w:lineRule="auto"/>
        <w:rPr>
          <w:sz w:val="20"/>
          <w:szCs w:val="20"/>
          <w:color w:val="auto"/>
        </w:rPr>
      </w:pPr>
      <w:r>
        <w:rPr>
          <w:rFonts w:ascii="Arial" w:cs="Arial" w:eastAsia="Arial" w:hAnsi="Arial"/>
          <w:sz w:val="19"/>
          <w:szCs w:val="19"/>
          <w:color w:val="auto"/>
        </w:rPr>
        <w:t>333 Clay Street</w:t>
      </w:r>
    </w:p>
    <w:p>
      <w:pPr>
        <w:ind w:left="1360"/>
        <w:spacing w:after="0" w:line="203" w:lineRule="auto"/>
        <w:rPr>
          <w:sz w:val="20"/>
          <w:szCs w:val="20"/>
          <w:color w:val="auto"/>
        </w:rPr>
      </w:pPr>
      <w:r>
        <w:rPr>
          <w:rFonts w:ascii="Arial" w:cs="Arial" w:eastAsia="Arial" w:hAnsi="Arial"/>
          <w:sz w:val="19"/>
          <w:szCs w:val="19"/>
          <w:color w:val="auto"/>
        </w:rPr>
        <w:t>Suite 4980</w:t>
      </w:r>
    </w:p>
    <w:p>
      <w:pPr>
        <w:ind w:left="1360"/>
        <w:spacing w:after="0" w:line="204" w:lineRule="auto"/>
        <w:rPr>
          <w:sz w:val="20"/>
          <w:szCs w:val="20"/>
          <w:color w:val="auto"/>
        </w:rPr>
      </w:pPr>
      <w:r>
        <w:rPr>
          <w:rFonts w:ascii="Arial" w:cs="Arial" w:eastAsia="Arial" w:hAnsi="Arial"/>
          <w:sz w:val="19"/>
          <w:szCs w:val="19"/>
          <w:color w:val="auto"/>
        </w:rPr>
        <w:t>Houston, Texas 77002</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(713) 510-2400</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sectPr>
      <w:pgSz w:w="12240" w:h="15840" w:orient="portrait"/>
      <w:cols w:equalWidth="0" w:num="1">
        <w:col w:w="11880"/>
      </w:cols>
      <w:pgMar w:left="120" w:top="228" w:right="2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2019-12-15T15:16:25Z</dcterms:created>
  <dcterms:modified xsi:type="dcterms:W3CDTF">2019-12-15T15:16:25Z</dcterms:modified>
</cp:coreProperties>
</file>