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NAVARRE RICHARD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05/19/2021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7,627</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35,415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share award under the Amended and Restated 2014 Equity Participation Plan of Civeo Corporation that vests on the earlier of one year from May 19, 2021 or the next annual shareholders' meeting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Bradley Dodson, Attorney-In- </w:t>
      </w:r>
      <w:r>
        <w:rPr>
          <w:rFonts w:ascii="Arial" w:cs="Arial" w:eastAsia="Arial" w:hAnsi="Arial"/>
          <w:sz w:val="34"/>
          <w:szCs w:val="34"/>
          <w:color w:val="0000FF"/>
          <w:vertAlign w:val="subscript"/>
        </w:rPr>
        <w:t>05/21/2021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2021-05-21T15:22:47Z</dcterms:created>
  <dcterms:modified xsi:type="dcterms:W3CDTF">2021-05-21T15:22:47Z</dcterms:modified>
</cp:coreProperties>
</file>