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0" w:lineRule="exact"/>
        <w:rPr>
          <w:sz w:val="24"/>
          <w:szCs w:val="24"/>
          <w:color w:val="auto"/>
        </w:rPr>
      </w:pPr>
    </w:p>
    <w:p>
      <w:pPr>
        <w:spacing w:after="0" w:line="22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8" w:lineRule="exact"/>
        <w:rPr>
          <w:rFonts w:ascii="MS PGothic" w:cs="MS PGothic" w:eastAsia="MS PGothic" w:hAnsi="MS PGothic"/>
          <w:sz w:val="18"/>
          <w:szCs w:val="18"/>
          <w:color w:val="auto"/>
        </w:rPr>
      </w:pPr>
    </w:p>
    <w:p>
      <w:pPr>
        <w:ind w:left="560" w:hanging="534"/>
        <w:spacing w:after="0"/>
        <w:tabs>
          <w:tab w:leader="none" w:pos="5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Soliciting Material Pursuant to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240.14a-12</w:t>
      </w:r>
    </w:p>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00" w:lineRule="exact"/>
        <w:rPr>
          <w:sz w:val="24"/>
          <w:szCs w:val="24"/>
          <w:color w:val="auto"/>
        </w:rPr>
      </w:pPr>
    </w:p>
    <w:p>
      <w:pPr>
        <w:spacing w:after="0" w:line="316" w:lineRule="exact"/>
        <w:rPr>
          <w:sz w:val="24"/>
          <w:szCs w:val="24"/>
          <w:color w:val="auto"/>
        </w:rPr>
      </w:pPr>
    </w:p>
    <w:p>
      <w:pPr>
        <w:ind w:left="540" w:hanging="51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Fee paid previously with preliminary materials</w:t>
      </w:r>
    </w:p>
    <w:p>
      <w:pPr>
        <w:spacing w:after="0" w:line="67" w:lineRule="exact"/>
        <w:rPr>
          <w:rFonts w:ascii="MS PGothic" w:cs="MS PGothic" w:eastAsia="MS PGothic" w:hAnsi="MS PGothic"/>
          <w:sz w:val="18"/>
          <w:szCs w:val="18"/>
          <w:color w:val="auto"/>
        </w:rPr>
      </w:pPr>
    </w:p>
    <w:p>
      <w:pPr>
        <w:ind w:left="540" w:hanging="51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995680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5"/>
          <w:szCs w:val="45"/>
          <w:b w:val="1"/>
          <w:bCs w:val="1"/>
          <w:color w:val="006DB6"/>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53340</wp:posOffset>
            </wp:positionV>
            <wp:extent cx="5374640" cy="1174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4640" cy="117411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713"/>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b w:val="1"/>
                <w:bCs w:val="1"/>
                <w:color w:val="006DB6"/>
              </w:rPr>
              <w:t>DATE AND TIME</w:t>
            </w:r>
          </w:p>
        </w:tc>
        <w:tc>
          <w:tcPr>
            <w:tcW w:w="4960" w:type="dxa"/>
            <w:vAlign w:val="bottom"/>
          </w:tcPr>
          <w:p>
            <w:pPr>
              <w:ind w:left="140"/>
              <w:spacing w:after="0"/>
              <w:rPr>
                <w:sz w:val="20"/>
                <w:szCs w:val="20"/>
                <w:color w:val="auto"/>
              </w:rPr>
            </w:pPr>
            <w:r>
              <w:rPr>
                <w:rFonts w:ascii="Arial" w:cs="Arial" w:eastAsia="Arial" w:hAnsi="Arial"/>
                <w:sz w:val="14"/>
                <w:szCs w:val="14"/>
                <w:b w:val="1"/>
                <w:bCs w:val="1"/>
                <w:color w:val="006DB6"/>
              </w:rPr>
              <w:t>LOCATION</w:t>
            </w:r>
          </w:p>
        </w:tc>
      </w:tr>
      <w:tr>
        <w:trPr>
          <w:trHeight w:val="175"/>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May 15, 2024 (Wednesday)</w:t>
            </w:r>
          </w:p>
        </w:tc>
        <w:tc>
          <w:tcPr>
            <w:tcW w:w="4960" w:type="dxa"/>
            <w:vAlign w:val="bottom"/>
          </w:tcPr>
          <w:p>
            <w:pPr>
              <w:ind w:left="140"/>
              <w:spacing w:after="0"/>
              <w:rPr>
                <w:sz w:val="20"/>
                <w:szCs w:val="20"/>
                <w:color w:val="auto"/>
              </w:rPr>
            </w:pPr>
            <w:r>
              <w:rPr>
                <w:rFonts w:ascii="Arial" w:cs="Arial" w:eastAsia="Arial" w:hAnsi="Arial"/>
                <w:sz w:val="14"/>
                <w:szCs w:val="14"/>
                <w:color w:val="auto"/>
              </w:rPr>
              <w:t>Virtually www.virtualshareholdermeeting.com/CVEO2024, where you will be</w:t>
            </w:r>
          </w:p>
        </w:tc>
      </w:tr>
      <w:tr>
        <w:trPr>
          <w:trHeight w:val="190"/>
        </w:trPr>
        <w:tc>
          <w:tcPr>
            <w:tcW w:w="2560" w:type="dxa"/>
            <w:vAlign w:val="bottom"/>
            <w:tcBorders>
              <w:right w:val="single" w:sz="8" w:color="FFC03C"/>
            </w:tcBorders>
          </w:tcPr>
          <w:p>
            <w:pPr>
              <w:spacing w:after="0"/>
              <w:rPr>
                <w:sz w:val="20"/>
                <w:szCs w:val="20"/>
                <w:color w:val="auto"/>
              </w:rPr>
            </w:pPr>
            <w:r>
              <w:rPr>
                <w:rFonts w:ascii="Arial" w:cs="Arial" w:eastAsia="Arial" w:hAnsi="Arial"/>
                <w:sz w:val="14"/>
                <w:szCs w:val="14"/>
                <w:color w:val="auto"/>
              </w:rPr>
              <w:t>9:00 a.m., Houston, Texas time</w:t>
            </w:r>
          </w:p>
        </w:tc>
        <w:tc>
          <w:tcPr>
            <w:tcW w:w="4960" w:type="dxa"/>
            <w:vAlign w:val="bottom"/>
          </w:tcPr>
          <w:p>
            <w:pPr>
              <w:ind w:left="140"/>
              <w:spacing w:after="0"/>
              <w:rPr>
                <w:sz w:val="20"/>
                <w:szCs w:val="20"/>
                <w:color w:val="auto"/>
              </w:rPr>
            </w:pPr>
            <w:r>
              <w:rPr>
                <w:rFonts w:ascii="Arial" w:cs="Arial" w:eastAsia="Arial" w:hAnsi="Arial"/>
                <w:sz w:val="14"/>
                <w:szCs w:val="14"/>
                <w:color w:val="auto"/>
              </w:rPr>
              <w:t>able to listen to the meeting live, submit questions, and vote.</w:t>
            </w:r>
          </w:p>
        </w:tc>
      </w:tr>
      <w:tr>
        <w:trPr>
          <w:trHeight w:val="750"/>
        </w:trPr>
        <w:tc>
          <w:tcPr>
            <w:tcW w:w="2560" w:type="dxa"/>
            <w:vAlign w:val="bottom"/>
            <w:tcBorders>
              <w:right w:val="single" w:sz="8" w:color="FFC03C"/>
            </w:tcBorders>
          </w:tcPr>
          <w:p>
            <w:pPr>
              <w:spacing w:after="0"/>
              <w:rPr>
                <w:sz w:val="24"/>
                <w:szCs w:val="24"/>
                <w:color w:val="auto"/>
              </w:rPr>
            </w:pPr>
          </w:p>
        </w:tc>
        <w:tc>
          <w:tcPr>
            <w:tcW w:w="4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RECORD DATE</w:t>
      </w:r>
    </w:p>
    <w:p>
      <w:pPr>
        <w:spacing w:after="0" w:line="2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Only shareholders of record at the close of business on March 18, 2024 are entitled to notice of and to vote during the annual general meeting or at any adjournment or postponement thereof that may take place.</w:t>
      </w:r>
    </w:p>
    <w:p>
      <w:pPr>
        <w:spacing w:after="0" w:line="185" w:lineRule="exact"/>
        <w:rPr>
          <w:sz w:val="20"/>
          <w:szCs w:val="20"/>
          <w:color w:val="auto"/>
        </w:rPr>
      </w:pPr>
    </w:p>
    <w:p>
      <w:pPr>
        <w:sectPr>
          <w:pgSz w:w="11900" w:h="16838" w:orient="portrait"/>
          <w:cols w:equalWidth="0" w:num="2">
            <w:col w:w="7540" w:space="520"/>
            <w:col w:w="3180"/>
          </w:cols>
          <w:pgMar w:left="320" w:top="1225" w:right="339" w:bottom="1440" w:gutter="0" w:footer="0" w:header="0"/>
          <w:type w:val="continuous"/>
        </w:sectPr>
      </w:pPr>
    </w:p>
    <w:p>
      <w:pPr>
        <w:spacing w:after="0"/>
        <w:rPr>
          <w:sz w:val="20"/>
          <w:szCs w:val="20"/>
          <w:color w:val="auto"/>
        </w:rPr>
      </w:pPr>
      <w:r>
        <w:rPr>
          <w:rFonts w:ascii="Arial" w:cs="Arial" w:eastAsia="Arial" w:hAnsi="Arial"/>
          <w:sz w:val="25"/>
          <w:szCs w:val="25"/>
          <w:b w:val="1"/>
          <w:bCs w:val="1"/>
          <w:color w:val="006DB6"/>
        </w:rPr>
        <w:t>Voting Items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80" w:type="dxa"/>
            <w:vAlign w:val="bottom"/>
            <w:gridSpan w:val="2"/>
          </w:tcPr>
          <w:p>
            <w:pPr>
              <w:ind w:left="20"/>
              <w:spacing w:after="0"/>
              <w:rPr>
                <w:sz w:val="20"/>
                <w:szCs w:val="20"/>
                <w:color w:val="auto"/>
              </w:rPr>
            </w:pPr>
            <w:r>
              <w:rPr>
                <w:rFonts w:ascii="Arial" w:cs="Arial" w:eastAsia="Arial" w:hAnsi="Arial"/>
                <w:sz w:val="13"/>
                <w:szCs w:val="13"/>
                <w:b w:val="1"/>
                <w:bCs w:val="1"/>
                <w:color w:val="706F6F"/>
              </w:rPr>
              <w:t>Proposals</w:t>
            </w:r>
          </w:p>
        </w:tc>
        <w:tc>
          <w:tcPr>
            <w:tcW w:w="1960" w:type="dxa"/>
            <w:vAlign w:val="bottom"/>
          </w:tcPr>
          <w:p>
            <w:pPr>
              <w:ind w:left="40"/>
              <w:spacing w:after="0"/>
              <w:rPr>
                <w:sz w:val="20"/>
                <w:szCs w:val="20"/>
                <w:color w:val="auto"/>
              </w:rPr>
            </w:pPr>
            <w:r>
              <w:rPr>
                <w:rFonts w:ascii="Arial" w:cs="Arial" w:eastAsia="Arial" w:hAnsi="Arial"/>
                <w:sz w:val="13"/>
                <w:szCs w:val="13"/>
                <w:b w:val="1"/>
                <w:bCs w:val="1"/>
                <w:color w:val="706F6F"/>
              </w:rPr>
              <w:t>Board Vote Recommendation</w:t>
            </w:r>
          </w:p>
        </w:tc>
        <w:tc>
          <w:tcPr>
            <w:tcW w:w="1600" w:type="dxa"/>
            <w:vAlign w:val="bottom"/>
            <w:gridSpan w:val="4"/>
          </w:tcPr>
          <w:p>
            <w:pPr>
              <w:ind w:left="60"/>
              <w:spacing w:after="0"/>
              <w:rPr>
                <w:sz w:val="20"/>
                <w:szCs w:val="20"/>
                <w:color w:val="auto"/>
              </w:rPr>
            </w:pPr>
            <w:r>
              <w:rPr>
                <w:rFonts w:ascii="Arial" w:cs="Arial" w:eastAsia="Arial" w:hAnsi="Arial"/>
                <w:sz w:val="13"/>
                <w:szCs w:val="13"/>
                <w:b w:val="1"/>
                <w:bCs w:val="1"/>
                <w:color w:val="706F6F"/>
              </w:rPr>
              <w:t>For Further Details</w:t>
            </w:r>
          </w:p>
        </w:tc>
        <w:tc>
          <w:tcPr>
            <w:tcW w:w="0" w:type="dxa"/>
            <w:vAlign w:val="bottom"/>
          </w:tcPr>
          <w:p>
            <w:pPr>
              <w:spacing w:after="0"/>
              <w:rPr>
                <w:sz w:val="1"/>
                <w:szCs w:val="1"/>
                <w:color w:val="auto"/>
              </w:rPr>
            </w:pPr>
          </w:p>
        </w:tc>
      </w:tr>
      <w:tr>
        <w:trPr>
          <w:trHeight w:val="22"/>
        </w:trPr>
        <w:tc>
          <w:tcPr>
            <w:tcW w:w="220" w:type="dxa"/>
            <w:vAlign w:val="bottom"/>
            <w:tcBorders>
              <w:bottom w:val="single" w:sz="8" w:color="006DB6"/>
            </w:tcBorders>
          </w:tcPr>
          <w:p>
            <w:pPr>
              <w:spacing w:after="0" w:line="20" w:lineRule="exact"/>
              <w:rPr>
                <w:sz w:val="1"/>
                <w:szCs w:val="1"/>
                <w:color w:val="auto"/>
              </w:rPr>
            </w:pPr>
          </w:p>
        </w:tc>
        <w:tc>
          <w:tcPr>
            <w:tcW w:w="7460" w:type="dxa"/>
            <w:vAlign w:val="bottom"/>
            <w:tcBorders>
              <w:bottom w:val="single" w:sz="8" w:color="006DB6"/>
            </w:tcBorders>
          </w:tcPr>
          <w:p>
            <w:pPr>
              <w:spacing w:after="0" w:line="20" w:lineRule="exact"/>
              <w:rPr>
                <w:sz w:val="1"/>
                <w:szCs w:val="1"/>
                <w:color w:val="auto"/>
              </w:rPr>
            </w:pPr>
          </w:p>
        </w:tc>
        <w:tc>
          <w:tcPr>
            <w:tcW w:w="1960" w:type="dxa"/>
            <w:vAlign w:val="bottom"/>
            <w:tcBorders>
              <w:bottom w:val="single" w:sz="8" w:color="006DB6"/>
            </w:tcBorders>
          </w:tcPr>
          <w:p>
            <w:pPr>
              <w:spacing w:after="0" w:line="20" w:lineRule="exact"/>
              <w:rPr>
                <w:sz w:val="1"/>
                <w:szCs w:val="1"/>
                <w:color w:val="auto"/>
              </w:rPr>
            </w:pPr>
          </w:p>
        </w:tc>
        <w:tc>
          <w:tcPr>
            <w:tcW w:w="440" w:type="dxa"/>
            <w:vAlign w:val="bottom"/>
            <w:tcBorders>
              <w:bottom w:val="single" w:sz="8" w:color="006DB6"/>
            </w:tcBorders>
          </w:tcPr>
          <w:p>
            <w:pPr>
              <w:spacing w:after="0" w:line="20" w:lineRule="exact"/>
              <w:rPr>
                <w:sz w:val="1"/>
                <w:szCs w:val="1"/>
                <w:color w:val="auto"/>
              </w:rPr>
            </w:pPr>
          </w:p>
        </w:tc>
        <w:tc>
          <w:tcPr>
            <w:tcW w:w="80" w:type="dxa"/>
            <w:vAlign w:val="bottom"/>
            <w:tcBorders>
              <w:bottom w:val="single" w:sz="8" w:color="006DB6"/>
            </w:tcBorders>
          </w:tcPr>
          <w:p>
            <w:pPr>
              <w:spacing w:after="0" w:line="20" w:lineRule="exact"/>
              <w:rPr>
                <w:sz w:val="1"/>
                <w:szCs w:val="1"/>
                <w:color w:val="auto"/>
              </w:rPr>
            </w:pPr>
          </w:p>
        </w:tc>
        <w:tc>
          <w:tcPr>
            <w:tcW w:w="80" w:type="dxa"/>
            <w:vAlign w:val="bottom"/>
            <w:tcBorders>
              <w:bottom w:val="single" w:sz="8" w:color="006DB6"/>
            </w:tcBorders>
          </w:tcPr>
          <w:p>
            <w:pPr>
              <w:spacing w:after="0" w:line="20" w:lineRule="exact"/>
              <w:rPr>
                <w:sz w:val="1"/>
                <w:szCs w:val="1"/>
                <w:color w:val="auto"/>
              </w:rPr>
            </w:pPr>
          </w:p>
        </w:tc>
        <w:tc>
          <w:tcPr>
            <w:tcW w:w="1000" w:type="dxa"/>
            <w:vAlign w:val="bottom"/>
            <w:tcBorders>
              <w:bottom w:val="single" w:sz="8" w:color="006D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220" w:type="dxa"/>
            <w:vAlign w:val="bottom"/>
          </w:tcPr>
          <w:p>
            <w:pPr>
              <w:ind w:left="20"/>
              <w:spacing w:after="0"/>
              <w:rPr>
                <w:sz w:val="20"/>
                <w:szCs w:val="20"/>
                <w:color w:val="auto"/>
              </w:rPr>
            </w:pPr>
            <w:r>
              <w:rPr>
                <w:rFonts w:ascii="Arial" w:cs="Arial" w:eastAsia="Arial" w:hAnsi="Arial"/>
                <w:sz w:val="14"/>
                <w:szCs w:val="14"/>
                <w:color w:val="auto"/>
              </w:rPr>
              <w:t>1.</w:t>
            </w:r>
          </w:p>
        </w:tc>
        <w:tc>
          <w:tcPr>
            <w:tcW w:w="7460" w:type="dxa"/>
            <w:vAlign w:val="bottom"/>
          </w:tcPr>
          <w:p>
            <w:pPr>
              <w:ind w:left="80"/>
              <w:spacing w:after="0"/>
              <w:rPr>
                <w:sz w:val="20"/>
                <w:szCs w:val="20"/>
                <w:color w:val="auto"/>
              </w:rPr>
            </w:pPr>
            <w:r>
              <w:rPr>
                <w:rFonts w:ascii="Arial" w:cs="Arial" w:eastAsia="Arial" w:hAnsi="Arial"/>
                <w:sz w:val="14"/>
                <w:szCs w:val="14"/>
                <w:color w:val="auto"/>
              </w:rPr>
              <w:t>To elect the three persons named in this proxy statement as Class I members of Civeo’s board of directors, each for</w:t>
            </w:r>
          </w:p>
        </w:tc>
        <w:tc>
          <w:tcPr>
            <w:tcW w:w="1960" w:type="dxa"/>
            <w:vAlign w:val="bottom"/>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 each director nominee</w:t>
            </w:r>
          </w:p>
        </w:tc>
        <w:tc>
          <w:tcPr>
            <w:tcW w:w="1600" w:type="dxa"/>
            <w:vAlign w:val="bottom"/>
            <w:gridSpan w:val="4"/>
          </w:tcPr>
          <w:p>
            <w:pPr>
              <w:ind w:left="60"/>
              <w:spacing w:after="0"/>
              <w:rPr>
                <w:sz w:val="20"/>
                <w:szCs w:val="20"/>
                <w:color w:val="auto"/>
              </w:rPr>
            </w:pPr>
            <w:r>
              <w:rPr>
                <w:rFonts w:ascii="Arial" w:cs="Arial" w:eastAsia="Arial" w:hAnsi="Arial"/>
                <w:sz w:val="14"/>
                <w:szCs w:val="14"/>
                <w:color w:val="auto"/>
              </w:rPr>
              <w:t>Page 9</w:t>
            </w:r>
          </w:p>
        </w:tc>
        <w:tc>
          <w:tcPr>
            <w:tcW w:w="0" w:type="dxa"/>
            <w:vAlign w:val="bottom"/>
          </w:tcPr>
          <w:p>
            <w:pPr>
              <w:spacing w:after="0"/>
              <w:rPr>
                <w:sz w:val="1"/>
                <w:szCs w:val="1"/>
                <w:color w:val="auto"/>
              </w:rPr>
            </w:pPr>
          </w:p>
        </w:tc>
      </w:tr>
      <w:tr>
        <w:trPr>
          <w:trHeight w:val="148"/>
        </w:trPr>
        <w:tc>
          <w:tcPr>
            <w:tcW w:w="220" w:type="dxa"/>
            <w:vAlign w:val="bottom"/>
            <w:tcBorders>
              <w:bottom w:val="single" w:sz="8" w:color="auto"/>
            </w:tcBorders>
          </w:tcPr>
          <w:p>
            <w:pPr>
              <w:spacing w:after="0"/>
              <w:rPr>
                <w:sz w:val="12"/>
                <w:szCs w:val="12"/>
                <w:color w:val="auto"/>
              </w:rPr>
            </w:pPr>
          </w:p>
        </w:tc>
        <w:tc>
          <w:tcPr>
            <w:tcW w:w="746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a term of three years ending at the 2027 annual general meeting of shareholders</w:t>
            </w:r>
          </w:p>
        </w:tc>
        <w:tc>
          <w:tcPr>
            <w:tcW w:w="1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 w:type="dxa"/>
            <w:vAlign w:val="bottom"/>
          </w:tcPr>
          <w:p>
            <w:pPr>
              <w:ind w:left="20"/>
              <w:spacing w:after="0"/>
              <w:rPr>
                <w:sz w:val="20"/>
                <w:szCs w:val="20"/>
                <w:color w:val="auto"/>
              </w:rPr>
            </w:pPr>
            <w:r>
              <w:rPr>
                <w:rFonts w:ascii="Arial" w:cs="Arial" w:eastAsia="Arial" w:hAnsi="Arial"/>
                <w:sz w:val="14"/>
                <w:szCs w:val="14"/>
                <w:color w:val="auto"/>
              </w:rPr>
              <w:t>2</w:t>
            </w:r>
          </w:p>
        </w:tc>
        <w:tc>
          <w:tcPr>
            <w:tcW w:w="7460" w:type="dxa"/>
            <w:vAlign w:val="bottom"/>
          </w:tcPr>
          <w:p>
            <w:pPr>
              <w:ind w:left="80"/>
              <w:spacing w:after="0"/>
              <w:rPr>
                <w:sz w:val="20"/>
                <w:szCs w:val="20"/>
                <w:color w:val="auto"/>
              </w:rPr>
            </w:pPr>
            <w:r>
              <w:rPr>
                <w:rFonts w:ascii="Arial" w:cs="Arial" w:eastAsia="Arial" w:hAnsi="Arial"/>
                <w:sz w:val="14"/>
                <w:szCs w:val="14"/>
                <w:color w:val="auto"/>
              </w:rPr>
              <w:t>To approve, on an advisory basis, the compensation of Civeo’s named executive officers</w:t>
            </w:r>
          </w:p>
        </w:tc>
        <w:tc>
          <w:tcPr>
            <w:tcW w:w="1960" w:type="dxa"/>
            <w:vAlign w:val="bottom"/>
            <w:vMerge w:val="restart"/>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31</w:t>
            </w:r>
          </w:p>
        </w:tc>
        <w:tc>
          <w:tcPr>
            <w:tcW w:w="0" w:type="dxa"/>
            <w:vAlign w:val="bottom"/>
          </w:tcPr>
          <w:p>
            <w:pPr>
              <w:spacing w:after="0"/>
              <w:rPr>
                <w:sz w:val="1"/>
                <w:szCs w:val="1"/>
                <w:color w:val="auto"/>
              </w:rPr>
            </w:pPr>
          </w:p>
        </w:tc>
      </w:tr>
      <w:tr>
        <w:trPr>
          <w:trHeight w:val="76"/>
        </w:trPr>
        <w:tc>
          <w:tcPr>
            <w:tcW w:w="220" w:type="dxa"/>
            <w:vAlign w:val="bottom"/>
          </w:tcPr>
          <w:p>
            <w:pPr>
              <w:spacing w:after="0"/>
              <w:rPr>
                <w:sz w:val="6"/>
                <w:szCs w:val="6"/>
                <w:color w:val="auto"/>
              </w:rPr>
            </w:pPr>
          </w:p>
        </w:tc>
        <w:tc>
          <w:tcPr>
            <w:tcW w:w="746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20" w:type="dxa"/>
            <w:vAlign w:val="bottom"/>
            <w:tcBorders>
              <w:bottom w:val="single" w:sz="8" w:color="auto"/>
            </w:tcBorders>
          </w:tcPr>
          <w:p>
            <w:pPr>
              <w:spacing w:after="0"/>
              <w:rPr>
                <w:sz w:val="12"/>
                <w:szCs w:val="12"/>
                <w:color w:val="auto"/>
              </w:rPr>
            </w:pPr>
          </w:p>
        </w:tc>
        <w:tc>
          <w:tcPr>
            <w:tcW w:w="74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20" w:type="dxa"/>
            <w:vAlign w:val="bottom"/>
          </w:tcPr>
          <w:p>
            <w:pPr>
              <w:ind w:left="20"/>
              <w:spacing w:after="0"/>
              <w:rPr>
                <w:sz w:val="20"/>
                <w:szCs w:val="20"/>
                <w:color w:val="auto"/>
              </w:rPr>
            </w:pPr>
            <w:r>
              <w:rPr>
                <w:rFonts w:ascii="Arial" w:cs="Arial" w:eastAsia="Arial" w:hAnsi="Arial"/>
                <w:sz w:val="14"/>
                <w:szCs w:val="14"/>
                <w:color w:val="auto"/>
              </w:rPr>
              <w:t>3.</w:t>
            </w:r>
          </w:p>
        </w:tc>
        <w:tc>
          <w:tcPr>
            <w:tcW w:w="7460" w:type="dxa"/>
            <w:vAlign w:val="bottom"/>
          </w:tcPr>
          <w:p>
            <w:pPr>
              <w:ind w:left="80"/>
              <w:spacing w:after="0"/>
              <w:rPr>
                <w:sz w:val="20"/>
                <w:szCs w:val="20"/>
                <w:color w:val="auto"/>
              </w:rPr>
            </w:pPr>
            <w:r>
              <w:rPr>
                <w:rFonts w:ascii="Arial" w:cs="Arial" w:eastAsia="Arial" w:hAnsi="Arial"/>
                <w:sz w:val="14"/>
                <w:szCs w:val="14"/>
                <w:color w:val="auto"/>
              </w:rPr>
              <w:t>To ratify the appointment of Ernst &amp; Young LLP as Civeo’s independent registered public accounting firm for the</w:t>
            </w:r>
          </w:p>
        </w:tc>
        <w:tc>
          <w:tcPr>
            <w:tcW w:w="1960" w:type="dxa"/>
            <w:vAlign w:val="bottom"/>
            <w:vMerge w:val="restart"/>
          </w:tcPr>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006DB6"/>
              </w:rPr>
              <w:t>FOR</w:t>
            </w:r>
            <w:r>
              <w:rPr>
                <w:rFonts w:ascii="Arial" w:cs="Arial" w:eastAsia="Arial" w:hAnsi="Arial"/>
                <w:sz w:val="14"/>
                <w:szCs w:val="14"/>
                <w:color w:val="auto"/>
              </w:rPr>
              <w:t>”</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59</w:t>
            </w: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7460" w:type="dxa"/>
            <w:vAlign w:val="bottom"/>
            <w:vMerge w:val="restart"/>
          </w:tcPr>
          <w:p>
            <w:pPr>
              <w:ind w:left="80"/>
              <w:spacing w:after="0"/>
              <w:rPr>
                <w:sz w:val="20"/>
                <w:szCs w:val="20"/>
                <w:color w:val="auto"/>
              </w:rPr>
            </w:pPr>
            <w:r>
              <w:rPr>
                <w:rFonts w:ascii="Arial" w:cs="Arial" w:eastAsia="Arial" w:hAnsi="Arial"/>
                <w:sz w:val="14"/>
                <w:szCs w:val="14"/>
                <w:color w:val="auto"/>
              </w:rPr>
              <w:t>year ending December 31, 2024 and until the next annual general meeting of shareholders and to authorize the</w:t>
            </w:r>
          </w:p>
        </w:tc>
        <w:tc>
          <w:tcPr>
            <w:tcW w:w="196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20" w:type="dxa"/>
            <w:vAlign w:val="bottom"/>
          </w:tcPr>
          <w:p>
            <w:pPr>
              <w:spacing w:after="0"/>
              <w:rPr>
                <w:sz w:val="5"/>
                <w:szCs w:val="5"/>
                <w:color w:val="auto"/>
              </w:rPr>
            </w:pPr>
          </w:p>
        </w:tc>
        <w:tc>
          <w:tcPr>
            <w:tcW w:w="746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7460" w:type="dxa"/>
            <w:vAlign w:val="bottom"/>
          </w:tcPr>
          <w:p>
            <w:pPr>
              <w:ind w:left="80"/>
              <w:spacing w:after="0"/>
              <w:rPr>
                <w:sz w:val="20"/>
                <w:szCs w:val="20"/>
                <w:color w:val="auto"/>
              </w:rPr>
            </w:pPr>
            <w:r>
              <w:rPr>
                <w:rFonts w:ascii="Arial" w:cs="Arial" w:eastAsia="Arial" w:hAnsi="Arial"/>
                <w:sz w:val="14"/>
                <w:szCs w:val="14"/>
                <w:color w:val="auto"/>
              </w:rPr>
              <w:t>directors of Civeo, acting through the Audit Committee, to determine the remuneration to be paid to Ernst &amp; Young</w:t>
            </w: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auto"/>
            </w:tcBorders>
          </w:tcPr>
          <w:p>
            <w:pPr>
              <w:spacing w:after="0"/>
              <w:rPr>
                <w:sz w:val="16"/>
                <w:szCs w:val="16"/>
                <w:color w:val="auto"/>
              </w:rPr>
            </w:pPr>
          </w:p>
        </w:tc>
        <w:tc>
          <w:tcPr>
            <w:tcW w:w="74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LLP for 2024</w:t>
            </w:r>
          </w:p>
        </w:tc>
        <w:tc>
          <w:tcPr>
            <w:tcW w:w="1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0" w:type="dxa"/>
            <w:vAlign w:val="bottom"/>
          </w:tcPr>
          <w:p>
            <w:pPr>
              <w:ind w:left="20"/>
              <w:spacing w:after="0"/>
              <w:rPr>
                <w:sz w:val="20"/>
                <w:szCs w:val="20"/>
                <w:color w:val="auto"/>
              </w:rPr>
            </w:pPr>
            <w:r>
              <w:rPr>
                <w:rFonts w:ascii="Arial" w:cs="Arial" w:eastAsia="Arial" w:hAnsi="Arial"/>
                <w:sz w:val="14"/>
                <w:szCs w:val="14"/>
                <w:color w:val="auto"/>
              </w:rPr>
              <w:t>4.</w:t>
            </w:r>
          </w:p>
        </w:tc>
        <w:tc>
          <w:tcPr>
            <w:tcW w:w="7460" w:type="dxa"/>
            <w:vAlign w:val="bottom"/>
          </w:tcPr>
          <w:p>
            <w:pPr>
              <w:ind w:left="80"/>
              <w:spacing w:after="0"/>
              <w:rPr>
                <w:sz w:val="20"/>
                <w:szCs w:val="20"/>
                <w:color w:val="auto"/>
              </w:rPr>
            </w:pPr>
            <w:r>
              <w:rPr>
                <w:rFonts w:ascii="Arial" w:cs="Arial" w:eastAsia="Arial" w:hAnsi="Arial"/>
                <w:sz w:val="14"/>
                <w:szCs w:val="14"/>
                <w:color w:val="auto"/>
              </w:rPr>
              <w:t>To approve an amendment to Civeo's Articles to declassify Civeo's board of directors and phase-in annual director</w:t>
            </w:r>
          </w:p>
        </w:tc>
        <w:tc>
          <w:tcPr>
            <w:tcW w:w="1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006DB6"/>
              </w:rPr>
              <w:t>FOR</w:t>
            </w:r>
            <w:r>
              <w:rPr>
                <w:rFonts w:ascii="Arial" w:cs="Arial" w:eastAsia="Arial" w:hAnsi="Arial"/>
                <w:sz w:val="14"/>
                <w:szCs w:val="14"/>
                <w:b w:val="1"/>
                <w:bCs w:val="1"/>
                <w:color w:val="auto"/>
              </w:rPr>
              <w:t>”</w:t>
            </w: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color w:val="auto"/>
              </w:rPr>
              <w:t>Page 62</w:t>
            </w:r>
          </w:p>
        </w:tc>
        <w:tc>
          <w:tcPr>
            <w:tcW w:w="0" w:type="dxa"/>
            <w:vAlign w:val="bottom"/>
          </w:tcPr>
          <w:p>
            <w:pPr>
              <w:spacing w:after="0"/>
              <w:rPr>
                <w:sz w:val="1"/>
                <w:szCs w:val="1"/>
                <w:color w:val="auto"/>
              </w:rPr>
            </w:pPr>
          </w:p>
        </w:tc>
      </w:tr>
      <w:tr>
        <w:trPr>
          <w:trHeight w:val="90"/>
        </w:trPr>
        <w:tc>
          <w:tcPr>
            <w:tcW w:w="220" w:type="dxa"/>
            <w:vAlign w:val="bottom"/>
          </w:tcPr>
          <w:p>
            <w:pPr>
              <w:spacing w:after="0"/>
              <w:rPr>
                <w:sz w:val="7"/>
                <w:szCs w:val="7"/>
                <w:color w:val="auto"/>
              </w:rPr>
            </w:pPr>
          </w:p>
        </w:tc>
        <w:tc>
          <w:tcPr>
            <w:tcW w:w="7460" w:type="dxa"/>
            <w:vAlign w:val="bottom"/>
            <w:vMerge w:val="restart"/>
          </w:tcPr>
          <w:p>
            <w:pPr>
              <w:ind w:left="80"/>
              <w:spacing w:after="0"/>
              <w:rPr>
                <w:sz w:val="20"/>
                <w:szCs w:val="20"/>
                <w:color w:val="auto"/>
              </w:rPr>
            </w:pPr>
            <w:r>
              <w:rPr>
                <w:rFonts w:ascii="Arial" w:cs="Arial" w:eastAsia="Arial" w:hAnsi="Arial"/>
                <w:sz w:val="14"/>
                <w:szCs w:val="14"/>
                <w:color w:val="auto"/>
              </w:rPr>
              <w:t>elections (the "Declassification Amendment")</w:t>
            </w:r>
          </w:p>
        </w:tc>
        <w:tc>
          <w:tcPr>
            <w:tcW w:w="196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20" w:type="dxa"/>
            <w:vAlign w:val="bottom"/>
          </w:tcPr>
          <w:p>
            <w:pPr>
              <w:spacing w:after="0"/>
              <w:rPr>
                <w:sz w:val="6"/>
                <w:szCs w:val="6"/>
                <w:color w:val="auto"/>
              </w:rPr>
            </w:pPr>
          </w:p>
        </w:tc>
        <w:tc>
          <w:tcPr>
            <w:tcW w:w="7460" w:type="dxa"/>
            <w:vAlign w:val="bottom"/>
            <w:vMerge w:val="continue"/>
          </w:tcPr>
          <w:p>
            <w:pPr>
              <w:spacing w:after="0"/>
              <w:rPr>
                <w:sz w:val="6"/>
                <w:szCs w:val="6"/>
                <w:color w:val="auto"/>
              </w:rPr>
            </w:pPr>
          </w:p>
        </w:tc>
        <w:tc>
          <w:tcPr>
            <w:tcW w:w="1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20" w:type="dxa"/>
            <w:vAlign w:val="bottom"/>
            <w:tcBorders>
              <w:bottom w:val="single" w:sz="8" w:color="auto"/>
            </w:tcBorders>
          </w:tcPr>
          <w:p>
            <w:pPr>
              <w:spacing w:after="0"/>
              <w:rPr>
                <w:sz w:val="5"/>
                <w:szCs w:val="5"/>
                <w:color w:val="auto"/>
              </w:rPr>
            </w:pPr>
          </w:p>
        </w:tc>
        <w:tc>
          <w:tcPr>
            <w:tcW w:w="74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20" w:type="dxa"/>
            <w:vAlign w:val="bottom"/>
          </w:tcPr>
          <w:p>
            <w:pPr>
              <w:ind w:left="20"/>
              <w:spacing w:after="0"/>
              <w:rPr>
                <w:sz w:val="20"/>
                <w:szCs w:val="20"/>
                <w:color w:val="auto"/>
              </w:rPr>
            </w:pPr>
            <w:r>
              <w:rPr>
                <w:rFonts w:ascii="Arial" w:cs="Arial" w:eastAsia="Arial" w:hAnsi="Arial"/>
                <w:sz w:val="14"/>
                <w:szCs w:val="14"/>
                <w:color w:val="auto"/>
              </w:rPr>
              <w:t>5.</w:t>
            </w:r>
          </w:p>
        </w:tc>
        <w:tc>
          <w:tcPr>
            <w:tcW w:w="7460" w:type="dxa"/>
            <w:vAlign w:val="bottom"/>
          </w:tcPr>
          <w:p>
            <w:pPr>
              <w:ind w:left="80"/>
              <w:spacing w:after="0"/>
              <w:rPr>
                <w:sz w:val="20"/>
                <w:szCs w:val="20"/>
                <w:color w:val="auto"/>
              </w:rPr>
            </w:pPr>
            <w:r>
              <w:rPr>
                <w:rFonts w:ascii="Arial" w:cs="Arial" w:eastAsia="Arial" w:hAnsi="Arial"/>
                <w:sz w:val="14"/>
                <w:szCs w:val="14"/>
                <w:color w:val="auto"/>
              </w:rPr>
              <w:t>To approve an amendment to Civeo's Articles to remove the existing special rights and restrictions attaching to the</w:t>
            </w:r>
          </w:p>
        </w:tc>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006DB6"/>
              </w:rPr>
              <w:t>FOR</w:t>
            </w:r>
            <w:r>
              <w:rPr>
                <w:rFonts w:ascii="Arial" w:cs="Arial" w:eastAsia="Arial" w:hAnsi="Arial"/>
                <w:sz w:val="14"/>
                <w:szCs w:val="14"/>
                <w:b w:val="1"/>
                <w:bCs w:val="1"/>
                <w:color w:val="auto"/>
              </w:rPr>
              <w:t>”</w:t>
            </w:r>
          </w:p>
        </w:tc>
        <w:tc>
          <w:tcPr>
            <w:tcW w:w="1600" w:type="dxa"/>
            <w:vAlign w:val="bottom"/>
            <w:gridSpan w:val="4"/>
          </w:tcPr>
          <w:p>
            <w:pPr>
              <w:ind w:left="60"/>
              <w:spacing w:after="0"/>
              <w:rPr>
                <w:sz w:val="20"/>
                <w:szCs w:val="20"/>
                <w:color w:val="auto"/>
              </w:rPr>
            </w:pPr>
            <w:r>
              <w:rPr>
                <w:rFonts w:ascii="Arial" w:cs="Arial" w:eastAsia="Arial" w:hAnsi="Arial"/>
                <w:sz w:val="14"/>
                <w:szCs w:val="14"/>
                <w:color w:val="auto"/>
              </w:rPr>
              <w:t>Page 64</w:t>
            </w: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7460" w:type="dxa"/>
            <w:vAlign w:val="bottom"/>
          </w:tcPr>
          <w:p>
            <w:pPr>
              <w:ind w:left="80"/>
              <w:spacing w:after="0"/>
              <w:rPr>
                <w:sz w:val="20"/>
                <w:szCs w:val="20"/>
                <w:color w:val="auto"/>
              </w:rPr>
            </w:pPr>
            <w:r>
              <w:rPr>
                <w:rFonts w:ascii="Arial" w:cs="Arial" w:eastAsia="Arial" w:hAnsi="Arial"/>
                <w:sz w:val="14"/>
                <w:szCs w:val="14"/>
                <w:color w:val="auto"/>
              </w:rPr>
              <w:t>Class A Series 1 Preferred Shares and return the shares constituting such series to the general pool of preferred</w:t>
            </w:r>
          </w:p>
        </w:tc>
        <w:tc>
          <w:tcPr>
            <w:tcW w:w="1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0" w:type="dxa"/>
            <w:vAlign w:val="bottom"/>
            <w:tcBorders>
              <w:bottom w:val="single" w:sz="8" w:color="auto"/>
            </w:tcBorders>
          </w:tcPr>
          <w:p>
            <w:pPr>
              <w:spacing w:after="0"/>
              <w:rPr>
                <w:sz w:val="16"/>
                <w:szCs w:val="16"/>
                <w:color w:val="auto"/>
              </w:rPr>
            </w:pPr>
          </w:p>
        </w:tc>
        <w:tc>
          <w:tcPr>
            <w:tcW w:w="74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shares of such series (the "Preferred Share Amendment")</w:t>
            </w:r>
          </w:p>
        </w:tc>
        <w:tc>
          <w:tcPr>
            <w:tcW w:w="1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Shareholders will also conduct any other business as may properly come before the annual general meeting or any adjournment or postponement thereof. The proposals are more fully described in the proxy statement accompanying this notice. Please give your attention to all of the information in the accompanying proxy statement.</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 xml:space="preserve">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during the annual general meeting. For specific information regarding the voting of your shares, please refer to the section entitled “General Information About the Annual General Meeting,” beginning on page </w:t>
      </w:r>
      <w:r>
        <w:rPr>
          <w:rFonts w:ascii="Arial" w:cs="Arial" w:eastAsia="Arial" w:hAnsi="Arial"/>
          <w:sz w:val="14"/>
          <w:szCs w:val="14"/>
          <w:u w:val="single" w:color="auto"/>
          <w:color w:val="0000FF"/>
        </w:rPr>
        <w:t>68</w:t>
      </w:r>
      <w:r>
        <w:rPr>
          <w:rFonts w:ascii="Arial" w:cs="Arial" w:eastAsia="Arial" w:hAnsi="Arial"/>
          <w:sz w:val="14"/>
          <w:szCs w:val="14"/>
          <w:color w:val="auto"/>
        </w:rPr>
        <w:t xml:space="preserve"> of the accompanying proxy statement.</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89979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979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006DB6"/>
        </w:rPr>
        <w:t>LaTosha N. Fraley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Corporate Secretary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Houston, Texas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April 12, 2024</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158750</wp:posOffset>
            </wp:positionV>
            <wp:extent cx="25717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INTERNET</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You may vote your shares through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134620</wp:posOffset>
            </wp:positionV>
            <wp:extent cx="257175"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TELEPHONE</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If you are located within the U.S., you may vote your shares by calling 1-800-690-6903 and following 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006DB6"/>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-95885</wp:posOffset>
            </wp:positionV>
            <wp:extent cx="25717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9" w:lineRule="exact"/>
        <w:rPr>
          <w:sz w:val="20"/>
          <w:szCs w:val="20"/>
          <w:color w:val="auto"/>
        </w:rPr>
      </w:pPr>
    </w:p>
    <w:p>
      <w:pPr>
        <w:ind w:left="880" w:right="280"/>
        <w:spacing w:after="0" w:line="264" w:lineRule="auto"/>
        <w:rPr>
          <w:sz w:val="20"/>
          <w:szCs w:val="20"/>
          <w:color w:val="auto"/>
        </w:rPr>
      </w:pPr>
      <w:r>
        <w:rPr>
          <w:rFonts w:ascii="Arial" w:cs="Arial" w:eastAsia="Arial" w:hAnsi="Arial"/>
          <w:sz w:val="14"/>
          <w:szCs w:val="14"/>
          <w:color w:val="auto"/>
        </w:rPr>
        <w:t>If you received printed copies of the proxy materials by mail, you may vote by mail. You would need to mark, sign, date and mail the enclosed proxy card in the postage-paid envelope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25" w:lineRule="exact"/>
        <w:rPr>
          <w:sz w:val="20"/>
          <w:szCs w:val="20"/>
          <w:color w:val="auto"/>
        </w:rPr>
      </w:pPr>
    </w:p>
    <w:p>
      <w:pPr>
        <w:ind w:left="20" w:right="160"/>
        <w:spacing w:after="0" w:line="314" w:lineRule="auto"/>
        <w:rPr>
          <w:sz w:val="20"/>
          <w:szCs w:val="20"/>
          <w:color w:val="auto"/>
        </w:rPr>
      </w:pPr>
      <w:r>
        <w:rPr>
          <w:rFonts w:ascii="Arial" w:cs="Arial" w:eastAsia="Arial" w:hAnsi="Arial"/>
          <w:sz w:val="14"/>
          <w:szCs w:val="14"/>
          <w:b w:val="1"/>
          <w:bCs w:val="1"/>
          <w:color w:val="auto"/>
        </w:rPr>
        <w:t>IMPORTANT NOTICE REGARDING THE AVAILABILITY OF PROXY MATERIALS FOR THE ANNUAL GENERAL MEETING TO BE HELD ON May 15, 2024: A COPY OF THIS PROXY STATEMENT, PROXY VOTING CARD AND THE CIVEO 2023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45"/>
          <w:szCs w:val="45"/>
          <w:b w:val="1"/>
          <w:bCs w:val="1"/>
          <w:color w:val="006DB6"/>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Proxy Statement Summary</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00FF"/>
              </w:rPr>
              <w:t>1</w:t>
            </w: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Company Overview</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2</w:t>
            </w: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2023 Performance Highlights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3</w:t>
            </w: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Voting Matters and Recommendations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Corporate Governance Highlights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Independent Registered Public Accounting Firm’s Fees</w:t>
            </w:r>
          </w:p>
        </w:tc>
        <w:tc>
          <w:tcPr>
            <w:tcW w:w="180" w:type="dxa"/>
            <w:vAlign w:val="bottom"/>
            <w:gridSpan w:val="2"/>
          </w:tcPr>
          <w:p>
            <w:pPr>
              <w:jc w:val="right"/>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Corporate Governance</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0000FF"/>
              </w:rPr>
              <w:t>9</w:t>
            </w:r>
          </w:p>
        </w:tc>
        <w:tc>
          <w:tcPr>
            <w:tcW w:w="0" w:type="dxa"/>
            <w:vAlign w:val="bottom"/>
          </w:tcPr>
          <w:p>
            <w:pPr>
              <w:spacing w:after="0"/>
              <w:rPr>
                <w:sz w:val="1"/>
                <w:szCs w:val="1"/>
                <w:color w:val="auto"/>
              </w:rPr>
            </w:pPr>
          </w:p>
        </w:tc>
      </w:tr>
      <w:tr>
        <w:trPr>
          <w:trHeight w:val="34"/>
        </w:trPr>
        <w:tc>
          <w:tcPr>
            <w:tcW w:w="1400" w:type="dxa"/>
            <w:vAlign w:val="bottom"/>
          </w:tcPr>
          <w:p>
            <w:pPr>
              <w:spacing w:after="0"/>
              <w:rPr>
                <w:sz w:val="2"/>
                <w:szCs w:val="2"/>
                <w:color w:val="auto"/>
              </w:rPr>
            </w:pPr>
          </w:p>
        </w:tc>
        <w:tc>
          <w:tcPr>
            <w:tcW w:w="964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Election of Directors</w:t>
            </w: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1400" w:type="dxa"/>
            <w:vAlign w:val="bottom"/>
            <w:vMerge w:val="restart"/>
            <w:shd w:val="clear" w:color="auto" w:fill="006DB6"/>
          </w:tcPr>
          <w:p>
            <w:pPr>
              <w:ind w:left="20"/>
              <w:spacing w:after="0"/>
              <w:rPr>
                <w:sz w:val="20"/>
                <w:szCs w:val="20"/>
                <w:color w:val="auto"/>
              </w:rPr>
            </w:pPr>
            <w:r>
              <w:rPr>
                <w:rFonts w:ascii="Arial" w:cs="Arial" w:eastAsia="Arial" w:hAnsi="Arial"/>
                <w:sz w:val="16"/>
                <w:szCs w:val="16"/>
                <w:b w:val="1"/>
                <w:bCs w:val="1"/>
                <w:color w:val="FFFFFF"/>
              </w:rPr>
              <w:t>PROPOSAL 1</w:t>
            </w:r>
          </w:p>
        </w:tc>
        <w:tc>
          <w:tcPr>
            <w:tcW w:w="9640" w:type="dxa"/>
            <w:vAlign w:val="bottom"/>
            <w:vMerge w:val="continue"/>
          </w:tcPr>
          <w:p>
            <w:pPr>
              <w:spacing w:after="0"/>
              <w:rPr>
                <w:sz w:val="24"/>
                <w:szCs w:val="2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rPr>
              <w:t>9</w:t>
            </w:r>
          </w:p>
        </w:tc>
        <w:tc>
          <w:tcPr>
            <w:tcW w:w="0" w:type="dxa"/>
            <w:vAlign w:val="bottom"/>
          </w:tcPr>
          <w:p>
            <w:pPr>
              <w:spacing w:after="0"/>
              <w:rPr>
                <w:sz w:val="1"/>
                <w:szCs w:val="1"/>
                <w:color w:val="auto"/>
              </w:rPr>
            </w:pPr>
          </w:p>
        </w:tc>
      </w:tr>
      <w:tr>
        <w:trPr>
          <w:trHeight w:val="62"/>
        </w:trPr>
        <w:tc>
          <w:tcPr>
            <w:tcW w:w="1400" w:type="dxa"/>
            <w:vAlign w:val="bottom"/>
            <w:vMerge w:val="continue"/>
            <w:shd w:val="clear" w:color="auto" w:fill="006DB6"/>
          </w:tcPr>
          <w:p>
            <w:pPr>
              <w:spacing w:after="0"/>
              <w:rPr>
                <w:sz w:val="5"/>
                <w:szCs w:val="5"/>
                <w:color w:val="auto"/>
              </w:rPr>
            </w:pPr>
          </w:p>
        </w:tc>
        <w:tc>
          <w:tcPr>
            <w:tcW w:w="96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400" w:type="dxa"/>
            <w:vAlign w:val="bottom"/>
            <w:tcBorders>
              <w:top w:val="single" w:sz="8" w:color="006DB6"/>
            </w:tcBorders>
            <w:shd w:val="clear" w:color="auto" w:fill="006DB6"/>
          </w:tcPr>
          <w:p>
            <w:pPr>
              <w:spacing w:after="0"/>
              <w:rPr>
                <w:sz w:val="2"/>
                <w:szCs w:val="2"/>
                <w:color w:val="auto"/>
              </w:rPr>
            </w:pPr>
          </w:p>
        </w:tc>
        <w:tc>
          <w:tcPr>
            <w:tcW w:w="9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Directors—Skills and Experience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10</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Directors—Role and Responsibilities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17</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Directors—Structure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21</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Board of Directors—Practices, Policies and Processes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24</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Director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27</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Executive Officers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29</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0"/>
              <w:spacing w:after="0"/>
              <w:rPr>
                <w:sz w:val="20"/>
                <w:szCs w:val="20"/>
                <w:color w:val="auto"/>
              </w:rPr>
            </w:pPr>
            <w:r>
              <w:rPr>
                <w:rFonts w:ascii="Arial" w:cs="Arial" w:eastAsia="Arial" w:hAnsi="Arial"/>
                <w:sz w:val="16"/>
                <w:szCs w:val="16"/>
                <w:b w:val="1"/>
                <w:bCs w:val="1"/>
                <w:color w:val="006DB6"/>
              </w:rPr>
              <w:t>Executive Compensation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31</w:t>
            </w:r>
          </w:p>
        </w:tc>
        <w:tc>
          <w:tcPr>
            <w:tcW w:w="0" w:type="dxa"/>
            <w:vAlign w:val="bottom"/>
          </w:tcPr>
          <w:p>
            <w:pPr>
              <w:spacing w:after="0"/>
              <w:rPr>
                <w:sz w:val="1"/>
                <w:szCs w:val="1"/>
                <w:color w:val="auto"/>
              </w:rPr>
            </w:pPr>
          </w:p>
        </w:tc>
      </w:tr>
      <w:tr>
        <w:trPr>
          <w:trHeight w:val="34"/>
        </w:trPr>
        <w:tc>
          <w:tcPr>
            <w:tcW w:w="1400" w:type="dxa"/>
            <w:vAlign w:val="bottom"/>
          </w:tcPr>
          <w:p>
            <w:pPr>
              <w:spacing w:after="0"/>
              <w:rPr>
                <w:sz w:val="2"/>
                <w:szCs w:val="2"/>
                <w:color w:val="auto"/>
              </w:rPr>
            </w:pPr>
          </w:p>
        </w:tc>
        <w:tc>
          <w:tcPr>
            <w:tcW w:w="964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Advisory Vote to Approve Executive Compensation</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vMerge w:val="restart"/>
            <w:shd w:val="clear" w:color="auto" w:fill="006DB6"/>
          </w:tcPr>
          <w:p>
            <w:pPr>
              <w:ind w:left="20"/>
              <w:spacing w:after="0"/>
              <w:rPr>
                <w:sz w:val="20"/>
                <w:szCs w:val="20"/>
                <w:color w:val="auto"/>
              </w:rPr>
            </w:pPr>
            <w:r>
              <w:rPr>
                <w:rFonts w:ascii="Arial" w:cs="Arial" w:eastAsia="Arial" w:hAnsi="Arial"/>
                <w:sz w:val="16"/>
                <w:szCs w:val="16"/>
                <w:b w:val="1"/>
                <w:bCs w:val="1"/>
                <w:color w:val="FFFFFF"/>
              </w:rPr>
              <w:t>PROPOSAL 2</w:t>
            </w:r>
          </w:p>
        </w:tc>
        <w:tc>
          <w:tcPr>
            <w:tcW w:w="9640" w:type="dxa"/>
            <w:vAlign w:val="bottom"/>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31</w:t>
            </w:r>
          </w:p>
        </w:tc>
        <w:tc>
          <w:tcPr>
            <w:tcW w:w="0" w:type="dxa"/>
            <w:vAlign w:val="bottom"/>
          </w:tcPr>
          <w:p>
            <w:pPr>
              <w:spacing w:after="0"/>
              <w:rPr>
                <w:sz w:val="1"/>
                <w:szCs w:val="1"/>
                <w:color w:val="auto"/>
              </w:rPr>
            </w:pPr>
          </w:p>
        </w:tc>
      </w:tr>
      <w:tr>
        <w:trPr>
          <w:trHeight w:val="100"/>
        </w:trPr>
        <w:tc>
          <w:tcPr>
            <w:tcW w:w="1400" w:type="dxa"/>
            <w:vAlign w:val="bottom"/>
            <w:tcBorders>
              <w:bottom w:val="single" w:sz="8" w:color="006DB6"/>
            </w:tcBorders>
            <w:vMerge w:val="continue"/>
            <w:shd w:val="clear" w:color="auto" w:fill="006DB6"/>
          </w:tcPr>
          <w:p>
            <w:pPr>
              <w:spacing w:after="0"/>
              <w:rPr>
                <w:sz w:val="8"/>
                <w:szCs w:val="8"/>
                <w:color w:val="auto"/>
              </w:rPr>
            </w:pPr>
          </w:p>
        </w:tc>
        <w:tc>
          <w:tcPr>
            <w:tcW w:w="964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Compensation Discussion and Analysis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32</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Compensation Committee Report</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47</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Executive Compensation Tables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48</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Pay Ratio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55</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Pay Versus Performance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56</w:t>
            </w:r>
          </w:p>
        </w:tc>
        <w:tc>
          <w:tcPr>
            <w:tcW w:w="0" w:type="dxa"/>
            <w:vAlign w:val="bottom"/>
          </w:tcPr>
          <w:p>
            <w:pPr>
              <w:spacing w:after="0"/>
              <w:rPr>
                <w:sz w:val="1"/>
                <w:szCs w:val="1"/>
                <w:color w:val="auto"/>
              </w:rPr>
            </w:pPr>
          </w:p>
        </w:tc>
      </w:tr>
      <w:tr>
        <w:trPr>
          <w:trHeight w:val="223"/>
        </w:trPr>
        <w:tc>
          <w:tcPr>
            <w:tcW w:w="1400" w:type="dxa"/>
            <w:vAlign w:val="bottom"/>
          </w:tcPr>
          <w:p>
            <w:pPr>
              <w:ind w:left="20"/>
              <w:spacing w:after="0"/>
              <w:rPr>
                <w:sz w:val="20"/>
                <w:szCs w:val="20"/>
                <w:color w:val="auto"/>
              </w:rPr>
            </w:pPr>
            <w:r>
              <w:rPr>
                <w:rFonts w:ascii="Arial" w:cs="Arial" w:eastAsia="Arial" w:hAnsi="Arial"/>
                <w:sz w:val="16"/>
                <w:szCs w:val="16"/>
                <w:b w:val="1"/>
                <w:bCs w:val="1"/>
                <w:color w:val="006DB6"/>
              </w:rPr>
              <w:t>Audit Matters</w:t>
            </w:r>
          </w:p>
        </w:tc>
        <w:tc>
          <w:tcPr>
            <w:tcW w:w="964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w w:val="89"/>
              </w:rPr>
              <w:t>59</w:t>
            </w:r>
          </w:p>
        </w:tc>
        <w:tc>
          <w:tcPr>
            <w:tcW w:w="0" w:type="dxa"/>
            <w:vAlign w:val="bottom"/>
          </w:tcPr>
          <w:p>
            <w:pPr>
              <w:spacing w:after="0"/>
              <w:rPr>
                <w:sz w:val="1"/>
                <w:szCs w:val="1"/>
                <w:color w:val="auto"/>
              </w:rPr>
            </w:pPr>
          </w:p>
        </w:tc>
      </w:tr>
      <w:tr>
        <w:trPr>
          <w:trHeight w:val="34"/>
        </w:trPr>
        <w:tc>
          <w:tcPr>
            <w:tcW w:w="1400" w:type="dxa"/>
            <w:vAlign w:val="bottom"/>
          </w:tcPr>
          <w:p>
            <w:pPr>
              <w:spacing w:after="0"/>
              <w:rPr>
                <w:sz w:val="2"/>
                <w:szCs w:val="2"/>
                <w:color w:val="auto"/>
              </w:rPr>
            </w:pPr>
          </w:p>
        </w:tc>
        <w:tc>
          <w:tcPr>
            <w:tcW w:w="964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Ratification of Auditors</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400" w:type="dxa"/>
            <w:vAlign w:val="bottom"/>
            <w:vMerge w:val="restart"/>
            <w:shd w:val="clear" w:color="auto" w:fill="006DB6"/>
          </w:tcPr>
          <w:p>
            <w:pPr>
              <w:ind w:left="20"/>
              <w:spacing w:after="0"/>
              <w:rPr>
                <w:sz w:val="20"/>
                <w:szCs w:val="20"/>
                <w:color w:val="auto"/>
              </w:rPr>
            </w:pPr>
            <w:r>
              <w:rPr>
                <w:rFonts w:ascii="Arial" w:cs="Arial" w:eastAsia="Arial" w:hAnsi="Arial"/>
                <w:sz w:val="16"/>
                <w:szCs w:val="16"/>
                <w:b w:val="1"/>
                <w:bCs w:val="1"/>
                <w:color w:val="FFFFFF"/>
              </w:rPr>
              <w:t>PROPOSAL 3</w:t>
            </w:r>
          </w:p>
        </w:tc>
        <w:tc>
          <w:tcPr>
            <w:tcW w:w="9640" w:type="dxa"/>
            <w:vAlign w:val="bottom"/>
            <w:vMerge w:val="continue"/>
          </w:tcPr>
          <w:p>
            <w:pPr>
              <w:spacing w:after="0"/>
              <w:rPr>
                <w:sz w:val="22"/>
                <w:szCs w:val="22"/>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00FF"/>
                <w:w w:val="89"/>
              </w:rPr>
              <w:t>59</w:t>
            </w:r>
          </w:p>
        </w:tc>
        <w:tc>
          <w:tcPr>
            <w:tcW w:w="0" w:type="dxa"/>
            <w:vAlign w:val="bottom"/>
          </w:tcPr>
          <w:p>
            <w:pPr>
              <w:spacing w:after="0"/>
              <w:rPr>
                <w:sz w:val="1"/>
                <w:szCs w:val="1"/>
                <w:color w:val="auto"/>
              </w:rPr>
            </w:pPr>
          </w:p>
        </w:tc>
      </w:tr>
      <w:tr>
        <w:trPr>
          <w:trHeight w:val="100"/>
        </w:trPr>
        <w:tc>
          <w:tcPr>
            <w:tcW w:w="1400" w:type="dxa"/>
            <w:vAlign w:val="bottom"/>
            <w:tcBorders>
              <w:bottom w:val="single" w:sz="8" w:color="006DB6"/>
            </w:tcBorders>
            <w:vMerge w:val="continue"/>
            <w:shd w:val="clear" w:color="auto" w:fill="006DB6"/>
          </w:tcPr>
          <w:p>
            <w:pPr>
              <w:spacing w:after="0"/>
              <w:rPr>
                <w:sz w:val="8"/>
                <w:szCs w:val="8"/>
                <w:color w:val="auto"/>
              </w:rPr>
            </w:pPr>
          </w:p>
        </w:tc>
        <w:tc>
          <w:tcPr>
            <w:tcW w:w="9640" w:type="dxa"/>
            <w:vAlign w:val="bottom"/>
          </w:tcPr>
          <w:p>
            <w:pPr>
              <w:spacing w:after="0"/>
              <w:rPr>
                <w:sz w:val="8"/>
                <w:szCs w:val="8"/>
                <w:color w:val="auto"/>
              </w:rPr>
            </w:pPr>
          </w:p>
        </w:tc>
        <w:tc>
          <w:tcPr>
            <w:tcW w:w="180" w:type="dxa"/>
            <w:vAlign w:val="bottom"/>
            <w:tcBorders>
              <w:bottom w:val="single" w:sz="8" w:color="0000FF"/>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Audit Fee Disclosure</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59</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Pre-Approval Policy</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60</w:t>
            </w:r>
          </w:p>
        </w:tc>
        <w:tc>
          <w:tcPr>
            <w:tcW w:w="0" w:type="dxa"/>
            <w:vAlign w:val="bottom"/>
          </w:tcPr>
          <w:p>
            <w:pPr>
              <w:spacing w:after="0"/>
              <w:rPr>
                <w:sz w:val="1"/>
                <w:szCs w:val="1"/>
                <w:color w:val="auto"/>
              </w:rPr>
            </w:pPr>
          </w:p>
        </w:tc>
      </w:tr>
      <w:tr>
        <w:trPr>
          <w:trHeight w:val="223"/>
        </w:trPr>
        <w:tc>
          <w:tcPr>
            <w:tcW w:w="11040" w:type="dxa"/>
            <w:vAlign w:val="bottom"/>
            <w:gridSpan w:val="2"/>
          </w:tcPr>
          <w:p>
            <w:pPr>
              <w:ind w:left="260"/>
              <w:spacing w:after="0"/>
              <w:rPr>
                <w:sz w:val="20"/>
                <w:szCs w:val="20"/>
                <w:color w:val="auto"/>
              </w:rPr>
            </w:pPr>
            <w:r>
              <w:rPr>
                <w:rFonts w:ascii="Arial" w:cs="Arial" w:eastAsia="Arial" w:hAnsi="Arial"/>
                <w:sz w:val="16"/>
                <w:szCs w:val="16"/>
                <w:color w:val="auto"/>
              </w:rPr>
              <w:t>Audit Committee Report</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6"/>
                <w:szCs w:val="16"/>
                <w:color w:val="0000FF"/>
                <w:w w:val="89"/>
              </w:rPr>
              <w:t>60</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20"/>
          </w:cols>
          <w:pgMar w:left="320" w:top="969" w:right="359" w:bottom="1440" w:gutter="0" w:footer="0" w:header="0"/>
        </w:sectPr>
      </w:pPr>
    </w:p>
    <w:tbl>
      <w:tblPr>
        <w:tblLayout w:type="fixed"/>
        <w:tblInd w:w="0" w:type="dxa"/>
        <w:tblCellMar>
          <w:top w:w="0" w:type="dxa"/>
          <w:left w:w="0" w:type="dxa"/>
          <w:bottom w:w="0" w:type="dxa"/>
          <w:right w:w="0" w:type="dxa"/>
        </w:tblCellMar>
      </w:tblPr>
      <w:tr>
        <w:trPr>
          <w:trHeight w:val="276"/>
        </w:trPr>
        <w:tc>
          <w:tcPr>
            <w:tcW w:w="1400" w:type="dxa"/>
            <w:vAlign w:val="bottom"/>
            <w:vMerge w:val="restart"/>
            <w:shd w:val="clear" w:color="auto" w:fill="006DB6"/>
          </w:tcPr>
          <w:p>
            <w:pPr>
              <w:ind w:left="20"/>
              <w:spacing w:after="0"/>
              <w:rPr>
                <w:sz w:val="20"/>
                <w:szCs w:val="20"/>
                <w:color w:val="auto"/>
              </w:rPr>
            </w:pPr>
            <w:r>
              <w:rPr>
                <w:rFonts w:ascii="Arial" w:cs="Arial" w:eastAsia="Arial" w:hAnsi="Arial"/>
                <w:sz w:val="16"/>
                <w:szCs w:val="16"/>
                <w:b w:val="1"/>
                <w:bCs w:val="1"/>
                <w:color w:val="FFFFFF"/>
              </w:rPr>
              <w:t>PROPOSAL 4</w:t>
            </w:r>
          </w:p>
        </w:tc>
        <w:tc>
          <w:tcPr>
            <w:tcW w:w="8160" w:type="dxa"/>
            <w:vAlign w:val="bottom"/>
          </w:tcPr>
          <w:p>
            <w:pPr>
              <w:ind w:left="20"/>
              <w:spacing w:after="0"/>
              <w:rPr>
                <w:sz w:val="20"/>
                <w:szCs w:val="20"/>
                <w:color w:val="auto"/>
              </w:rPr>
            </w:pPr>
            <w:r>
              <w:rPr>
                <w:rFonts w:ascii="Arial" w:cs="Arial" w:eastAsia="Arial" w:hAnsi="Arial"/>
                <w:sz w:val="16"/>
                <w:szCs w:val="16"/>
                <w:b w:val="1"/>
                <w:bCs w:val="1"/>
                <w:color w:val="006DB6"/>
              </w:rPr>
              <w:t>Approval of an Amendment to the Articles to Declassify the Board and Phase-In Annual Elections</w:t>
            </w:r>
          </w:p>
        </w:tc>
        <w:tc>
          <w:tcPr>
            <w:tcW w:w="0" w:type="dxa"/>
            <w:vAlign w:val="bottom"/>
          </w:tcPr>
          <w:p>
            <w:pPr>
              <w:spacing w:after="0"/>
              <w:rPr>
                <w:sz w:val="1"/>
                <w:szCs w:val="1"/>
                <w:color w:val="auto"/>
              </w:rPr>
            </w:pPr>
          </w:p>
        </w:tc>
      </w:tr>
      <w:tr>
        <w:trPr>
          <w:trHeight w:val="100"/>
        </w:trPr>
        <w:tc>
          <w:tcPr>
            <w:tcW w:w="1400" w:type="dxa"/>
            <w:vAlign w:val="bottom"/>
            <w:tcBorders>
              <w:bottom w:val="single" w:sz="8" w:color="006DB6"/>
            </w:tcBorders>
            <w:vMerge w:val="continue"/>
            <w:shd w:val="clear" w:color="auto" w:fill="006DB6"/>
          </w:tcPr>
          <w:p>
            <w:pPr>
              <w:spacing w:after="0"/>
              <w:rPr>
                <w:sz w:val="8"/>
                <w:szCs w:val="8"/>
                <w:color w:val="auto"/>
              </w:rPr>
            </w:pPr>
          </w:p>
        </w:tc>
        <w:tc>
          <w:tcPr>
            <w:tcW w:w="8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400" w:type="dxa"/>
            <w:vAlign w:val="bottom"/>
          </w:tcPr>
          <w:p>
            <w:pPr>
              <w:spacing w:after="0"/>
              <w:rPr>
                <w:sz w:val="8"/>
                <w:szCs w:val="8"/>
                <w:color w:val="auto"/>
              </w:rPr>
            </w:pPr>
          </w:p>
        </w:tc>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Approval of an Amendment to the Articles to Eliminate the Terms of the Class A Series 1 Preferred Shares</w:t>
            </w:r>
          </w:p>
        </w:tc>
        <w:tc>
          <w:tcPr>
            <w:tcW w:w="0" w:type="dxa"/>
            <w:vAlign w:val="bottom"/>
          </w:tcPr>
          <w:p>
            <w:pPr>
              <w:spacing w:after="0"/>
              <w:rPr>
                <w:sz w:val="1"/>
                <w:szCs w:val="1"/>
                <w:color w:val="auto"/>
              </w:rPr>
            </w:pPr>
          </w:p>
        </w:tc>
      </w:tr>
      <w:tr>
        <w:trPr>
          <w:trHeight w:val="303"/>
        </w:trPr>
        <w:tc>
          <w:tcPr>
            <w:tcW w:w="1400" w:type="dxa"/>
            <w:vAlign w:val="bottom"/>
            <w:shd w:val="clear" w:color="auto" w:fill="006DB6"/>
          </w:tcPr>
          <w:p>
            <w:pPr>
              <w:ind w:left="20"/>
              <w:spacing w:after="0"/>
              <w:rPr>
                <w:sz w:val="20"/>
                <w:szCs w:val="20"/>
                <w:color w:val="auto"/>
              </w:rPr>
            </w:pPr>
            <w:r>
              <w:rPr>
                <w:rFonts w:ascii="Arial" w:cs="Arial" w:eastAsia="Arial" w:hAnsi="Arial"/>
                <w:sz w:val="16"/>
                <w:szCs w:val="16"/>
                <w:b w:val="1"/>
                <w:bCs w:val="1"/>
                <w:color w:val="FFFFFF"/>
              </w:rPr>
              <w:t>PROPOSAL 5</w:t>
            </w:r>
          </w:p>
        </w:tc>
        <w:tc>
          <w:tcPr>
            <w:tcW w:w="8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400" w:type="dxa"/>
            <w:vAlign w:val="bottom"/>
            <w:shd w:val="clear" w:color="auto" w:fill="006DB6"/>
          </w:tcPr>
          <w:p>
            <w:pPr>
              <w:spacing w:after="0"/>
              <w:rPr>
                <w:sz w:val="6"/>
                <w:szCs w:val="6"/>
                <w:color w:val="auto"/>
              </w:rPr>
            </w:pPr>
          </w:p>
        </w:tc>
        <w:tc>
          <w:tcPr>
            <w:tcW w:w="8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Security Ownership of Management and Certain Beneficial Owners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Additional Information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62</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64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66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68</w:t>
      </w:r>
    </w:p>
    <w:p>
      <w:pPr>
        <w:spacing w:after="0" w:line="51" w:lineRule="exact"/>
        <w:rPr>
          <w:sz w:val="20"/>
          <w:szCs w:val="20"/>
          <w:color w:val="auto"/>
        </w:rPr>
      </w:pPr>
    </w:p>
    <w:p>
      <w:pPr>
        <w:sectPr>
          <w:pgSz w:w="11900" w:h="16838" w:orient="portrait"/>
          <w:cols w:equalWidth="0" w:num="2">
            <w:col w:w="10320" w:space="720"/>
            <w:col w:w="180"/>
          </w:cols>
          <w:pgMar w:left="320" w:top="969" w:right="359" w:bottom="1440" w:gutter="0" w:footer="0" w:header="0"/>
          <w:type w:val="continuous"/>
        </w:sectPr>
      </w:pPr>
    </w:p>
    <w:tbl>
      <w:tblPr>
        <w:tblLayout w:type="fixed"/>
        <w:tblInd w:w="260" w:type="dxa"/>
        <w:tblCellMar>
          <w:top w:w="0" w:type="dxa"/>
          <w:left w:w="0" w:type="dxa"/>
          <w:bottom w:w="0" w:type="dxa"/>
          <w:right w:w="0" w:type="dxa"/>
        </w:tblCellMar>
      </w:tblPr>
      <w:tr>
        <w:trPr>
          <w:trHeight w:val="184"/>
        </w:trPr>
        <w:tc>
          <w:tcPr>
            <w:tcW w:w="10780" w:type="dxa"/>
            <w:vAlign w:val="bottom"/>
          </w:tcPr>
          <w:p>
            <w:pPr>
              <w:spacing w:after="0"/>
              <w:rPr>
                <w:sz w:val="20"/>
                <w:szCs w:val="20"/>
                <w:color w:val="auto"/>
              </w:rPr>
            </w:pPr>
            <w:r>
              <w:rPr>
                <w:rFonts w:ascii="Arial" w:cs="Arial" w:eastAsia="Arial" w:hAnsi="Arial"/>
                <w:sz w:val="16"/>
                <w:szCs w:val="16"/>
                <w:color w:val="auto"/>
              </w:rPr>
              <w:t>General Information about the Annual General Meeting</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68</w:t>
            </w:r>
          </w:p>
        </w:tc>
      </w:tr>
      <w:tr>
        <w:trPr>
          <w:trHeight w:val="223"/>
        </w:trPr>
        <w:tc>
          <w:tcPr>
            <w:tcW w:w="10780" w:type="dxa"/>
            <w:vAlign w:val="bottom"/>
          </w:tcPr>
          <w:p>
            <w:pPr>
              <w:spacing w:after="0"/>
              <w:rPr>
                <w:sz w:val="20"/>
                <w:szCs w:val="20"/>
                <w:color w:val="auto"/>
              </w:rPr>
            </w:pPr>
            <w:r>
              <w:rPr>
                <w:rFonts w:ascii="Arial" w:cs="Arial" w:eastAsia="Arial" w:hAnsi="Arial"/>
                <w:sz w:val="16"/>
                <w:szCs w:val="16"/>
                <w:color w:val="auto"/>
              </w:rPr>
              <w:t>Future Shareholder Proposals</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71</w:t>
            </w:r>
          </w:p>
        </w:tc>
      </w:tr>
      <w:tr>
        <w:trPr>
          <w:trHeight w:val="223"/>
        </w:trPr>
        <w:tc>
          <w:tcPr>
            <w:tcW w:w="10780" w:type="dxa"/>
            <w:vAlign w:val="bottom"/>
          </w:tcPr>
          <w:p>
            <w:pPr>
              <w:spacing w:after="0"/>
              <w:rPr>
                <w:sz w:val="20"/>
                <w:szCs w:val="20"/>
                <w:color w:val="auto"/>
              </w:rPr>
            </w:pPr>
            <w:r>
              <w:rPr>
                <w:rFonts w:ascii="Arial" w:cs="Arial" w:eastAsia="Arial" w:hAnsi="Arial"/>
                <w:sz w:val="16"/>
                <w:szCs w:val="16"/>
                <w:color w:val="auto"/>
              </w:rPr>
              <w:t>Householding</w:t>
            </w: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89"/>
              </w:rPr>
              <w:t>72</w:t>
            </w:r>
          </w:p>
        </w:tc>
      </w:tr>
    </w:tbl>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0000FF"/>
        </w:rPr>
        <w:t>Appendix A - Amended and Restated Articles of the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0000FF"/>
        </w:rPr>
        <w:t>Appendix B - Non-GAAP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5"/>
          <w:szCs w:val="45"/>
          <w:b w:val="1"/>
          <w:bCs w:val="1"/>
          <w:color w:val="006DB6"/>
        </w:rPr>
        <w:t>Proxy Statement Summary</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This proxy statement is being furnished to shareholders of Civeo Corporation (“Civeo”) in connection with the solicitation of proxies by its board of directors for use at the 2024 annual general meeting of shareholders (the “annual general meeting”), which will be held online at www.virtualshareholdermeeting.com/CVEO2024 on May 15, 2024 at 9:00 a.m., local time. The annual general meeting will be held by virtual means only, and shareholders will not be able to attend the meeting in person. During the annual general meeting, shareholders will have the opportunity to vote on the proposals to elect the following three persons as Class I members of Civeo’s board of directors: C. Ronald Blankenship, Michael Montelongo and Charles Szalkowski, each for a term of three years ending at the 2027 annual general meeting of shareholders or until their successors are duly elected and qualified (the “Director Proposal”); to approve, on an advisory basis, the compensation of Civeo's named executive officers (the "Say-on-Pay Proposal"); to ratify the appointment of Ernst &amp; Young LLP as Civeo’s independent registered public accounting firm for the year ending December 31, 2024 and until the next annual general meeting of shareholders and to authorize the directors, acting through the Audit Committee, to determine the remuneration to be paid to Ernst &amp; Young LLP for 2024 (the “Auditor Proposal”); to approve an amendment to Civeo's Articles to declassify Civeo's board of directors and phase-in annual director elections (the "Declassification Amendment"); to approve an amendment to Civeo's Articles to remove the existing special rights and restrictions attaching to the Class A Series 1 Preferred Shares and return the shares constituting such series to the general pool of preferred shares of such series (the "Preferred Share Amendment") and to conduct any other business as may properly come before the annual general meeting or any adjournment or postponement thereof. The approximate date of first mailing of this proxy statement, the accompanying proxy and Civeo’s 2023 annual report is expected to be April 12, 2024.</w:t>
      </w:r>
    </w:p>
    <w:p>
      <w:pPr>
        <w:spacing w:after="0" w:line="7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Only shareholders of record at the close of business on March 18, 2024 are entitled to notice of and to vote during the annual general meeting or at any adjournment or postponement thereof that may take place. On March 18, 2024, we had 14,658,743 common shares outstanding and entitled to vote. Each common share is entitled to one vote for each Class I director nominee and one vote for each other item to be voted on at the annual general meeting. The presence of shareholders, by voting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spacing w:after="0" w:line="8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this proxy statement, we sometimes refer to Civeo and its subsidiaries as “we,” “us,” “our,” or “Civeo.” Unless otherwise indicated, all references in this proxy statement to “dollars” or “$” are to U.S. dollars. Our principal executive offices are located at Three Allen Center, 333 Clay Street, Suite 4980, Houston, Texas 77002.</w:t>
      </w:r>
    </w:p>
    <w:p>
      <w:pPr>
        <w:spacing w:after="0" w:line="7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To assist you in reviewing the proposals to be considered at the annual general meeting, we call your attention to the following summary, which includes information about our fiscal 2023 financial performance. For more information, please review our 2023 Annual Report on Form 10-K and the other sections of this proxy statement.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Company Overview</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6DB6"/>
        </w:rPr>
        <w:t>Who We Are</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BUSINESS</w:t>
      </w:r>
    </w:p>
    <w:p>
      <w:pPr>
        <w:spacing w:after="0" w:line="113" w:lineRule="exact"/>
        <w:rPr>
          <w:sz w:val="20"/>
          <w:szCs w:val="20"/>
          <w:color w:val="auto"/>
        </w:rPr>
      </w:pPr>
    </w:p>
    <w:p>
      <w:pPr>
        <w:ind w:left="20" w:right="120"/>
        <w:spacing w:after="0" w:line="267" w:lineRule="auto"/>
        <w:rPr>
          <w:sz w:val="20"/>
          <w:szCs w:val="20"/>
          <w:color w:val="auto"/>
        </w:rPr>
      </w:pPr>
      <w:r>
        <w:rPr>
          <w:rFonts w:ascii="Arial" w:cs="Arial" w:eastAsia="Arial" w:hAnsi="Arial"/>
          <w:sz w:val="16"/>
          <w:szCs w:val="16"/>
          <w:b w:val="1"/>
          <w:bCs w:val="1"/>
          <w:color w:val="auto"/>
        </w:rPr>
        <w:t>We are a leading provider of a full suite of hospitality services, including lodging, catering and food service, housekeeping and maintenance of accommodations facilities that we or our customers own.</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MARKETS</w:t>
      </w:r>
    </w:p>
    <w:p>
      <w:pPr>
        <w:spacing w:after="0" w:line="127" w:lineRule="exact"/>
        <w:rPr>
          <w:sz w:val="20"/>
          <w:szCs w:val="20"/>
          <w:color w:val="auto"/>
        </w:rPr>
      </w:pPr>
    </w:p>
    <w:p>
      <w:pPr>
        <w:ind w:left="20" w:right="120"/>
        <w:spacing w:after="0" w:line="269" w:lineRule="auto"/>
        <w:rPr>
          <w:sz w:val="20"/>
          <w:szCs w:val="20"/>
          <w:color w:val="auto"/>
        </w:rPr>
      </w:pPr>
      <w:r>
        <w:rPr>
          <w:rFonts w:ascii="Arial" w:cs="Arial" w:eastAsia="Arial" w:hAnsi="Arial"/>
          <w:sz w:val="16"/>
          <w:szCs w:val="16"/>
          <w:b w:val="1"/>
          <w:bCs w:val="1"/>
          <w:color w:val="auto"/>
        </w:rPr>
        <w:t>We serve natural resource producers in some of the world’s most active oil, met coal, LNG and iron ore producing regions in Canada and Australia.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GROSS PROFIT BY ACTIVITY DRIVER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80645</wp:posOffset>
            </wp:positionV>
            <wp:extent cx="1705610" cy="1114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561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auto"/>
        </w:rPr>
        <w:t>Global steel demand drives demand for met coal and iron ore, which are the primary commodities we serve in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603250</wp:posOffset>
            </wp:positionV>
            <wp:extent cx="39433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-206375</wp:posOffset>
            </wp:positionV>
            <wp:extent cx="8890" cy="4251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425196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CANADA – 52% OF 2023 REVENUE</w:t>
      </w:r>
    </w:p>
    <w:p>
      <w:pPr>
        <w:spacing w:after="0" w:line="113" w:lineRule="exact"/>
        <w:rPr>
          <w:sz w:val="20"/>
          <w:szCs w:val="20"/>
          <w:color w:val="auto"/>
        </w:rPr>
      </w:pPr>
    </w:p>
    <w:p>
      <w:pPr>
        <w:ind w:left="4220" w:right="36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15 lodges with approximately 17,000</w:t>
      </w:r>
      <w:r>
        <w:rPr>
          <w:rFonts w:ascii="Arial" w:cs="Arial" w:eastAsia="Arial" w:hAnsi="Arial"/>
          <w:sz w:val="16"/>
          <w:szCs w:val="16"/>
          <w:color w:val="006DB6"/>
        </w:rPr>
        <w:t xml:space="preserve"> </w:t>
      </w:r>
      <w:r>
        <w:rPr>
          <w:rFonts w:ascii="Arial" w:cs="Arial" w:eastAsia="Arial" w:hAnsi="Arial"/>
          <w:sz w:val="16"/>
          <w:szCs w:val="16"/>
          <w:color w:val="000000"/>
        </w:rPr>
        <w:t>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-268605</wp:posOffset>
            </wp:positionV>
            <wp:extent cx="2091690" cy="1028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1028700"/>
                    </a:xfrm>
                    <a:prstGeom prst="rect">
                      <a:avLst/>
                    </a:prstGeom>
                    <a:noFill/>
                  </pic:spPr>
                </pic:pic>
              </a:graphicData>
            </a:graphic>
          </wp:anchor>
        </w:drawing>
      </w:r>
    </w:p>
    <w:p>
      <w:pPr>
        <w:spacing w:after="0" w:line="1" w:lineRule="exact"/>
        <w:rPr>
          <w:sz w:val="20"/>
          <w:szCs w:val="20"/>
          <w:color w:val="auto"/>
        </w:rPr>
      </w:pPr>
    </w:p>
    <w:p>
      <w:pPr>
        <w:ind w:left="4220" w:right="2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 is oil sands production and</w:t>
      </w:r>
      <w:r>
        <w:rPr>
          <w:rFonts w:ascii="Arial" w:cs="Arial" w:eastAsia="Arial" w:hAnsi="Arial"/>
          <w:sz w:val="16"/>
          <w:szCs w:val="16"/>
          <w:color w:val="006DB6"/>
        </w:rPr>
        <w:t xml:space="preserve"> </w:t>
      </w:r>
      <w:r>
        <w:rPr>
          <w:rFonts w:ascii="Arial" w:cs="Arial" w:eastAsia="Arial" w:hAnsi="Arial"/>
          <w:sz w:val="16"/>
          <w:szCs w:val="16"/>
          <w:color w:val="000000"/>
        </w:rPr>
        <w:t>activity</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Growth from Canadian LNG development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AUSTRALIA – 48% OF 2023 REVENUE</w:t>
      </w:r>
    </w:p>
    <w:p>
      <w:pPr>
        <w:spacing w:after="0" w:line="113" w:lineRule="exact"/>
        <w:rPr>
          <w:sz w:val="20"/>
          <w:szCs w:val="20"/>
          <w:color w:val="auto"/>
        </w:rPr>
      </w:pPr>
    </w:p>
    <w:p>
      <w:pPr>
        <w:ind w:left="4220" w:right="40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8 owned villages with approximately</w:t>
      </w:r>
      <w:r>
        <w:rPr>
          <w:rFonts w:ascii="Arial" w:cs="Arial" w:eastAsia="Arial" w:hAnsi="Arial"/>
          <w:sz w:val="16"/>
          <w:szCs w:val="16"/>
          <w:color w:val="006DB6"/>
        </w:rPr>
        <w:t xml:space="preserve"> </w:t>
      </w:r>
      <w:r>
        <w:rPr>
          <w:rFonts w:ascii="Arial" w:cs="Arial" w:eastAsia="Arial" w:hAnsi="Arial"/>
          <w:sz w:val="16"/>
          <w:szCs w:val="16"/>
          <w:color w:val="000000"/>
        </w:rPr>
        <w:t>9,000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1697355" cy="916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97355" cy="916940"/>
                    </a:xfrm>
                    <a:prstGeom prst="rect">
                      <a:avLst/>
                    </a:prstGeom>
                    <a:noFill/>
                  </pic:spPr>
                </pic:pic>
              </a:graphicData>
            </a:graphic>
          </wp:anchor>
        </w:drawing>
      </w:r>
    </w:p>
    <w:p>
      <w:pPr>
        <w:spacing w:after="0" w:line="1" w:lineRule="exact"/>
        <w:rPr>
          <w:sz w:val="20"/>
          <w:szCs w:val="20"/>
          <w:color w:val="auto"/>
        </w:rPr>
      </w:pPr>
    </w:p>
    <w:p>
      <w:pPr>
        <w:ind w:left="4220" w:right="4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Primary drivers are met coal and iron ore</w:t>
      </w:r>
      <w:r>
        <w:rPr>
          <w:rFonts w:ascii="Arial" w:cs="Arial" w:eastAsia="Arial" w:hAnsi="Arial"/>
          <w:sz w:val="16"/>
          <w:szCs w:val="16"/>
          <w:color w:val="006DB6"/>
        </w:rPr>
        <w:t xml:space="preserve"> </w:t>
      </w:r>
      <w:r>
        <w:rPr>
          <w:rFonts w:ascii="Arial" w:cs="Arial" w:eastAsia="Arial" w:hAnsi="Arial"/>
          <w:sz w:val="16"/>
          <w:szCs w:val="16"/>
          <w:color w:val="000000"/>
        </w:rPr>
        <w:t>production and activity</w:t>
      </w:r>
    </w:p>
    <w:p>
      <w:pPr>
        <w:spacing w:after="0" w:line="21" w:lineRule="exact"/>
        <w:rPr>
          <w:sz w:val="20"/>
          <w:szCs w:val="20"/>
          <w:color w:val="auto"/>
        </w:rPr>
      </w:pPr>
    </w:p>
    <w:p>
      <w:pPr>
        <w:ind w:left="4220" w:right="60" w:hanging="193"/>
        <w:spacing w:after="0" w:line="286"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Growing presence in Western and South</w:t>
      </w:r>
      <w:r>
        <w:rPr>
          <w:rFonts w:ascii="Arial" w:cs="Arial" w:eastAsia="Arial" w:hAnsi="Arial"/>
          <w:sz w:val="16"/>
          <w:szCs w:val="16"/>
          <w:color w:val="006DB6"/>
        </w:rPr>
        <w:t xml:space="preserve"> </w:t>
      </w:r>
      <w:r>
        <w:rPr>
          <w:rFonts w:ascii="Arial" w:cs="Arial" w:eastAsia="Arial" w:hAnsi="Arial"/>
          <w:sz w:val="16"/>
          <w:szCs w:val="16"/>
          <w:color w:val="000000"/>
        </w:rPr>
        <w:t>Australia managing customer assets</w:t>
      </w:r>
    </w:p>
    <w:p>
      <w:pPr>
        <w:spacing w:after="0" w:line="21" w:lineRule="exact"/>
        <w:rPr>
          <w:sz w:val="20"/>
          <w:szCs w:val="20"/>
          <w:color w:val="auto"/>
        </w:rPr>
      </w:pPr>
    </w:p>
    <w:p>
      <w:pPr>
        <w:ind w:left="4220" w:right="40" w:hanging="193"/>
        <w:spacing w:after="0" w:line="304" w:lineRule="auto"/>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Also serve gold, lithium, copper and LNG</w:t>
      </w:r>
      <w:r>
        <w:rPr>
          <w:rFonts w:ascii="Arial" w:cs="Arial" w:eastAsia="Arial" w:hAnsi="Arial"/>
          <w:sz w:val="16"/>
          <w:szCs w:val="16"/>
          <w:color w:val="006DB6"/>
        </w:rPr>
        <w:t xml:space="preserve"> </w:t>
      </w:r>
      <w:r>
        <w:rPr>
          <w:rFonts w:ascii="Arial" w:cs="Arial" w:eastAsia="Arial" w:hAnsi="Arial"/>
          <w:sz w:val="16"/>
          <w:szCs w:val="16"/>
          <w:color w:val="000000"/>
        </w:rPr>
        <w:t>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1689100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60" w:space="640"/>
            <w:col w:w="7180"/>
          </w:cols>
          <w:pgMar w:left="320" w:top="233" w:right="39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2023 Performance Highlights</w:t>
      </w:r>
    </w:p>
    <w:p>
      <w:pPr>
        <w:spacing w:after="0" w:line="107" w:lineRule="exact"/>
        <w:rPr>
          <w:sz w:val="20"/>
          <w:szCs w:val="20"/>
          <w:color w:val="auto"/>
        </w:rPr>
      </w:pPr>
    </w:p>
    <w:p>
      <w:pPr>
        <w:ind w:right="420"/>
        <w:spacing w:after="0" w:line="257" w:lineRule="auto"/>
        <w:rPr>
          <w:sz w:val="20"/>
          <w:szCs w:val="20"/>
          <w:color w:val="auto"/>
        </w:rPr>
      </w:pPr>
      <w:r>
        <w:rPr>
          <w:rFonts w:ascii="Arial" w:cs="Arial" w:eastAsia="Arial" w:hAnsi="Arial"/>
          <w:sz w:val="16"/>
          <w:szCs w:val="16"/>
          <w:color w:val="auto"/>
        </w:rPr>
        <w:t>Despite continuing headwinds faced by the energy sector throughout 2023, we successfully completed a number of significant financial and operational objectives. We continued to strengthen our balance sheet, reduce our leverage, and return capital to shareholders through share repurchases and the initiation of a quarterly dividend while navigating a challenging economic landscape. In particular, during 2023 we achieved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ind w:left="20"/>
        <w:spacing w:after="0" w:line="286" w:lineRule="auto"/>
        <w:rPr>
          <w:sz w:val="20"/>
          <w:szCs w:val="20"/>
          <w:color w:val="auto"/>
        </w:rPr>
      </w:pPr>
      <w:r>
        <w:rPr>
          <w:rFonts w:ascii="Arial" w:cs="Arial" w:eastAsia="Arial" w:hAnsi="Arial"/>
          <w:sz w:val="16"/>
          <w:szCs w:val="16"/>
          <w:color w:val="auto"/>
        </w:rPr>
        <w:t>Reduced total debt by $66 million from December 31, 2022 to December 31, 2023</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Decreased our net leverage ratio to 0.6 times at December 31, 2023, from 1.1 times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40640</wp:posOffset>
            </wp:positionV>
            <wp:extent cx="711517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Generated $97 million of Operating Cash Flow during the year</w:t>
      </w:r>
    </w:p>
    <w:p>
      <w:pPr>
        <w:spacing w:after="0" w:line="358" w:lineRule="exact"/>
        <w:rPr>
          <w:sz w:val="20"/>
          <w:szCs w:val="20"/>
          <w:color w:val="auto"/>
        </w:rPr>
      </w:pPr>
    </w:p>
    <w:p>
      <w:pPr>
        <w:sectPr>
          <w:pgSz w:w="11900" w:h="16838" w:orient="portrait"/>
          <w:cols w:equalWidth="0" w:num="3">
            <w:col w:w="3100" w:space="680"/>
            <w:col w:w="3420" w:space="460"/>
            <w:col w:w="3580"/>
          </w:cols>
          <w:pgMar w:left="320" w:top="125" w:right="339" w:bottom="1440" w:gutter="0" w:footer="0" w:header="0"/>
          <w:type w:val="continuous"/>
        </w:sectPr>
      </w:pPr>
    </w:p>
    <w:p>
      <w:pPr>
        <w:ind w:left="20"/>
        <w:spacing w:after="0" w:line="286" w:lineRule="auto"/>
        <w:rPr>
          <w:sz w:val="20"/>
          <w:szCs w:val="20"/>
          <w:color w:val="auto"/>
        </w:rPr>
      </w:pPr>
      <w:r>
        <w:rPr>
          <w:rFonts w:ascii="Arial" w:cs="Arial" w:eastAsia="Arial" w:hAnsi="Arial"/>
          <w:sz w:val="16"/>
          <w:szCs w:val="16"/>
          <w:color w:val="auto"/>
        </w:rPr>
        <w:t>Returned 23% of the Company's 2023 free cash flow to shareholders through share repurchases and dividends</w:t>
      </w:r>
    </w:p>
    <w:p>
      <w:pPr>
        <w:spacing w:after="0" w:line="20" w:lineRule="exact"/>
        <w:rPr>
          <w:sz w:val="20"/>
          <w:szCs w:val="20"/>
          <w:color w:val="auto"/>
        </w:rPr>
      </w:pPr>
      <w:r>
        <w:rPr>
          <w:sz w:val="20"/>
          <w:szCs w:val="20"/>
          <w:color w:val="auto"/>
        </w:rPr>
        <w:br w:type="column"/>
      </w:r>
    </w:p>
    <w:p>
      <w:pPr>
        <w:ind w:right="780"/>
        <w:spacing w:after="0" w:line="286" w:lineRule="auto"/>
        <w:rPr>
          <w:sz w:val="20"/>
          <w:szCs w:val="20"/>
          <w:color w:val="auto"/>
        </w:rPr>
      </w:pPr>
      <w:r>
        <w:rPr>
          <w:rFonts w:ascii="Arial" w:cs="Arial" w:eastAsia="Arial" w:hAnsi="Arial"/>
          <w:sz w:val="16"/>
          <w:szCs w:val="16"/>
          <w:color w:val="auto"/>
        </w:rPr>
        <w:t>Initiated a regular quarterly dividend of $0.25 per share as part the Company's updated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-3175</wp:posOffset>
            </wp:positionV>
            <wp:extent cx="711517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540"/>
          </w:cols>
          <w:pgMar w:left="320" w:top="125"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1517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Successfully sold McClelland Lake Lodge assets for $36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48869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886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348869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
        <w:spacing w:after="0" w:line="266" w:lineRule="auto"/>
        <w:rPr>
          <w:sz w:val="20"/>
          <w:szCs w:val="20"/>
          <w:color w:val="auto"/>
        </w:rPr>
      </w:pPr>
      <w:r>
        <w:rPr>
          <w:rFonts w:ascii="Arial" w:cs="Arial" w:eastAsia="Arial" w:hAnsi="Arial"/>
          <w:sz w:val="16"/>
          <w:szCs w:val="16"/>
          <w:color w:val="auto"/>
        </w:rPr>
        <w:t>Continued strong safety performance across all regions, resulting in a 2023 Global TRIR of 0.45, considerably better than the U.S. accommodation industry average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886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Secured a 5-year contract award in our Australia owned-villages valued at approximately A$337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349758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97580" cy="342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90805</wp:posOffset>
            </wp:positionV>
            <wp:extent cx="349758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Overall revenues increased 21% in Australia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278130</wp:posOffset>
            </wp:positionV>
            <wp:extent cx="349758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5420" w:space="300"/>
            <w:col w:w="5520"/>
          </w:cols>
          <w:pgMar w:left="320" w:top="125" w:right="339" w:bottom="1440" w:gutter="0" w:footer="0" w:header="0"/>
          <w:type w:val="continuous"/>
        </w:sectPr>
      </w:pPr>
    </w:p>
    <w:p>
      <w:pPr>
        <w:spacing w:after="0" w:line="336" w:lineRule="exact"/>
        <w:rPr>
          <w:sz w:val="20"/>
          <w:szCs w:val="20"/>
          <w:color w:val="auto"/>
        </w:rPr>
      </w:pPr>
    </w:p>
    <w:p>
      <w:pPr>
        <w:ind w:left="1680"/>
        <w:spacing w:after="0"/>
        <w:tabs>
          <w:tab w:leader="none" w:pos="4740" w:val="left"/>
          <w:tab w:leader="none" w:pos="8180" w:val="left"/>
        </w:tabs>
        <w:rPr>
          <w:sz w:val="20"/>
          <w:szCs w:val="20"/>
          <w:color w:val="auto"/>
        </w:rPr>
      </w:pPr>
      <w:r>
        <w:rPr>
          <w:rFonts w:ascii="Arial" w:cs="Arial" w:eastAsia="Arial" w:hAnsi="Arial"/>
          <w:sz w:val="16"/>
          <w:szCs w:val="16"/>
          <w:b w:val="1"/>
          <w:bCs w:val="1"/>
          <w:color w:val="auto"/>
        </w:rPr>
        <w:t>AICP EBITDA</w:t>
      </w:r>
      <w:r>
        <w:rPr>
          <w:sz w:val="20"/>
          <w:szCs w:val="20"/>
          <w:color w:val="auto"/>
        </w:rPr>
        <w:tab/>
      </w:r>
      <w:r>
        <w:rPr>
          <w:rFonts w:ascii="Arial" w:cs="Arial" w:eastAsia="Arial" w:hAnsi="Arial"/>
          <w:sz w:val="16"/>
          <w:szCs w:val="16"/>
          <w:b w:val="1"/>
          <w:bCs w:val="1"/>
          <w:color w:val="auto"/>
        </w:rPr>
        <w:t>TOTAL RECORDABLE</w:t>
      </w:r>
      <w:r>
        <w:rPr>
          <w:sz w:val="20"/>
          <w:szCs w:val="20"/>
          <w:color w:val="auto"/>
        </w:rPr>
        <w:tab/>
      </w:r>
      <w:r>
        <w:rPr>
          <w:rFonts w:ascii="Arial" w:cs="Arial" w:eastAsia="Arial" w:hAnsi="Arial"/>
          <w:sz w:val="16"/>
          <w:szCs w:val="16"/>
          <w:b w:val="1"/>
          <w:bCs w:val="1"/>
          <w:color w:val="auto"/>
        </w:rPr>
        <w:t>NET LEVERAGE RATIO</w:t>
      </w:r>
    </w:p>
    <w:p>
      <w:pPr>
        <w:spacing w:after="0" w:line="35" w:lineRule="exact"/>
        <w:rPr>
          <w:sz w:val="20"/>
          <w:szCs w:val="20"/>
          <w:color w:val="auto"/>
        </w:rPr>
      </w:pPr>
    </w:p>
    <w:p>
      <w:pPr>
        <w:ind w:left="1820"/>
        <w:spacing w:after="0"/>
        <w:tabs>
          <w:tab w:leader="none" w:pos="4980" w:val="left"/>
        </w:tabs>
        <w:rPr>
          <w:sz w:val="20"/>
          <w:szCs w:val="20"/>
          <w:color w:val="auto"/>
        </w:rPr>
      </w:pPr>
      <w:r>
        <w:rPr>
          <w:rFonts w:ascii="Arial" w:cs="Arial" w:eastAsia="Arial" w:hAnsi="Arial"/>
          <w:sz w:val="16"/>
          <w:szCs w:val="16"/>
          <w:color w:val="auto"/>
        </w:rPr>
        <w:t>(in millions)</w:t>
      </w:r>
      <w:r>
        <w:rPr>
          <w:sz w:val="20"/>
          <w:szCs w:val="20"/>
          <w:color w:val="auto"/>
        </w:rPr>
        <w:tab/>
      </w:r>
      <w:r>
        <w:rPr>
          <w:rFonts w:ascii="Arial" w:cs="Arial" w:eastAsia="Arial" w:hAnsi="Arial"/>
          <w:sz w:val="16"/>
          <w:szCs w:val="16"/>
          <w:b w:val="1"/>
          <w:bCs w:val="1"/>
          <w:color w:val="auto"/>
        </w:rPr>
        <w:t>INCIDENT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53340</wp:posOffset>
            </wp:positionV>
            <wp:extent cx="6163310" cy="1877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6331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Note: EBITDA, AICP EBITDA and net leverage ratio are non-GAAP financial measures. Please see Appendix B for a reconciliation of each measure to the most directly comparable measures of financial performance calculated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Voting Matters and Recommendations</w:t>
      </w:r>
    </w:p>
    <w:p>
      <w:pPr>
        <w:spacing w:after="0" w:line="36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Below is a summary of the proposals on which you are being asked to vote. Please review the complete information regarding these proposals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916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1</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Election of Directors</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each of the three Class I director nominees.                             </w:t>
      </w:r>
      <w:r>
        <w:rPr>
          <w:sz w:val="1"/>
          <w:szCs w:val="1"/>
          <w:color w:val="auto"/>
        </w:rPr>
        <w:drawing>
          <wp:inline distT="0" distB="0" distL="0" distR="0">
            <wp:extent cx="43180" cy="5143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9</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our board of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center"/>
              <w:ind w:right="41"/>
              <w:spacing w:after="0"/>
              <w:rPr>
                <w:sz w:val="20"/>
                <w:szCs w:val="20"/>
                <w:color w:val="auto"/>
              </w:rPr>
            </w:pPr>
            <w:r>
              <w:rPr>
                <w:rFonts w:ascii="Arial" w:cs="Arial" w:eastAsia="Arial" w:hAnsi="Arial"/>
                <w:sz w:val="14"/>
                <w:szCs w:val="14"/>
                <w:b w:val="1"/>
                <w:bCs w:val="1"/>
                <w:color w:val="706F6F"/>
              </w:rPr>
              <w:t>Director</w:t>
            </w:r>
          </w:p>
        </w:tc>
        <w:tc>
          <w:tcPr>
            <w:tcW w:w="160" w:type="dxa"/>
            <w:vAlign w:val="bottom"/>
            <w:tcBorders>
              <w:bottom w:val="single" w:sz="8" w:color="006DB6"/>
            </w:tcBorders>
          </w:tcPr>
          <w:p>
            <w:pPr>
              <w:spacing w:after="0"/>
              <w:rPr>
                <w:sz w:val="19"/>
                <w:szCs w:val="19"/>
                <w:color w:val="auto"/>
              </w:rPr>
            </w:pPr>
          </w:p>
        </w:tc>
        <w:tc>
          <w:tcPr>
            <w:tcW w:w="360" w:type="dxa"/>
            <w:vAlign w:val="bottom"/>
            <w:tcBorders>
              <w:bottom w:val="single" w:sz="8" w:color="006DB6"/>
            </w:tcBorders>
          </w:tcPr>
          <w:p>
            <w:pPr>
              <w:spacing w:after="0"/>
              <w:rPr>
                <w:sz w:val="19"/>
                <w:szCs w:val="19"/>
                <w:color w:val="auto"/>
              </w:rPr>
            </w:pPr>
          </w:p>
        </w:tc>
        <w:tc>
          <w:tcPr>
            <w:tcW w:w="1760" w:type="dxa"/>
            <w:vAlign w:val="bottom"/>
            <w:tcBorders>
              <w:bottom w:val="single" w:sz="8" w:color="006DB6"/>
            </w:tcBorders>
            <w:gridSpan w:val="2"/>
          </w:tcPr>
          <w:p>
            <w:pPr>
              <w:ind w:left="60"/>
              <w:spacing w:after="0"/>
              <w:rPr>
                <w:sz w:val="20"/>
                <w:szCs w:val="20"/>
                <w:color w:val="auto"/>
              </w:rPr>
            </w:pPr>
            <w:r>
              <w:rPr>
                <w:rFonts w:ascii="Arial" w:cs="Arial" w:eastAsia="Arial" w:hAnsi="Arial"/>
                <w:sz w:val="14"/>
                <w:szCs w:val="14"/>
                <w:b w:val="1"/>
                <w:bCs w:val="1"/>
                <w:color w:val="706F6F"/>
              </w:rPr>
              <w:t>Committee Membership</w:t>
            </w:r>
          </w:p>
        </w:tc>
        <w:tc>
          <w:tcPr>
            <w:tcW w:w="52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706F6F"/>
              </w:rPr>
              <w:t>Name and Primary Occupation</w:t>
            </w:r>
          </w:p>
        </w:tc>
        <w:tc>
          <w:tcPr>
            <w:tcW w:w="7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706F6F"/>
              </w:rPr>
              <w:t>Age</w:t>
            </w: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706F6F"/>
              </w:rPr>
              <w:t>Since</w:t>
            </w:r>
          </w:p>
        </w:tc>
        <w:tc>
          <w:tcPr>
            <w:tcW w:w="360" w:type="dxa"/>
            <w:vAlign w:val="bottom"/>
          </w:tcPr>
          <w:p>
            <w:pPr>
              <w:ind w:left="100"/>
              <w:spacing w:after="0"/>
              <w:rPr>
                <w:sz w:val="20"/>
                <w:szCs w:val="20"/>
                <w:color w:val="auto"/>
              </w:rPr>
            </w:pPr>
            <w:r>
              <w:rPr>
                <w:rFonts w:ascii="Arial" w:cs="Arial" w:eastAsia="Arial" w:hAnsi="Arial"/>
                <w:sz w:val="14"/>
                <w:szCs w:val="14"/>
                <w:b w:val="1"/>
                <w:bCs w:val="1"/>
                <w:color w:val="706F6F"/>
              </w:rPr>
              <w:t>AC</w:t>
            </w:r>
          </w:p>
        </w:tc>
        <w:tc>
          <w:tcPr>
            <w:tcW w:w="780" w:type="dxa"/>
            <w:vAlign w:val="bottom"/>
          </w:tcPr>
          <w:p>
            <w:pPr>
              <w:ind w:left="400"/>
              <w:spacing w:after="0"/>
              <w:rPr>
                <w:sz w:val="20"/>
                <w:szCs w:val="20"/>
                <w:color w:val="auto"/>
              </w:rPr>
            </w:pPr>
            <w:r>
              <w:rPr>
                <w:rFonts w:ascii="Arial" w:cs="Arial" w:eastAsia="Arial" w:hAnsi="Arial"/>
                <w:sz w:val="14"/>
                <w:szCs w:val="14"/>
                <w:b w:val="1"/>
                <w:bCs w:val="1"/>
                <w:color w:val="706F6F"/>
              </w:rPr>
              <w:t>CC</w:t>
            </w:r>
          </w:p>
        </w:tc>
        <w:tc>
          <w:tcPr>
            <w:tcW w:w="980" w:type="dxa"/>
            <w:vAlign w:val="bottom"/>
          </w:tcPr>
          <w:p>
            <w:pPr>
              <w:ind w:left="180"/>
              <w:spacing w:after="0"/>
              <w:rPr>
                <w:sz w:val="20"/>
                <w:szCs w:val="20"/>
                <w:color w:val="auto"/>
              </w:rPr>
            </w:pPr>
            <w:r>
              <w:rPr>
                <w:rFonts w:ascii="Arial" w:cs="Arial" w:eastAsia="Arial" w:hAnsi="Arial"/>
                <w:sz w:val="14"/>
                <w:szCs w:val="14"/>
                <w:b w:val="1"/>
                <w:bCs w:val="1"/>
                <w:color w:val="706F6F"/>
              </w:rPr>
              <w:t>ESGNC</w:t>
            </w:r>
          </w:p>
        </w:tc>
        <w:tc>
          <w:tcPr>
            <w:tcW w:w="520" w:type="dxa"/>
            <w:vAlign w:val="bottom"/>
          </w:tcPr>
          <w:p>
            <w:pPr>
              <w:ind w:left="60"/>
              <w:spacing w:after="0"/>
              <w:rPr>
                <w:sz w:val="20"/>
                <w:szCs w:val="20"/>
                <w:color w:val="auto"/>
              </w:rPr>
            </w:pPr>
            <w:r>
              <w:rPr>
                <w:rFonts w:ascii="Arial" w:cs="Arial" w:eastAsia="Arial" w:hAnsi="Arial"/>
                <w:sz w:val="14"/>
                <w:szCs w:val="14"/>
                <w:b w:val="1"/>
                <w:bCs w:val="1"/>
                <w:color w:val="706F6F"/>
              </w:rPr>
              <w:t>FIC</w:t>
            </w:r>
          </w:p>
        </w:tc>
        <w:tc>
          <w:tcPr>
            <w:tcW w:w="0" w:type="dxa"/>
            <w:vAlign w:val="bottom"/>
          </w:tcPr>
          <w:p>
            <w:pPr>
              <w:spacing w:after="0"/>
              <w:rPr>
                <w:sz w:val="1"/>
                <w:szCs w:val="1"/>
                <w:color w:val="auto"/>
              </w:rPr>
            </w:pPr>
          </w:p>
        </w:tc>
      </w:tr>
      <w:tr>
        <w:trPr>
          <w:trHeight w:val="243"/>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Class I Directors Whose Terms Expire at the 2024 Annual General Meeting of Shareholders</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C. Ronald Blankenship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74</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Former President and Chief Executive Officer, Verde Realty</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Michael Montelongo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68</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President and Chief Executive Officer, GRC Advisory Services LLC</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shd w:val="clear" w:color="auto" w:fill="CCEEFF"/>
          </w:tcPr>
          <w:p>
            <w:pPr>
              <w:spacing w:after="0"/>
              <w:rPr>
                <w:sz w:val="24"/>
                <w:szCs w:val="24"/>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6DB6"/>
              </w:rPr>
              <w:t xml:space="preserve">Charles Szalkowski </w:t>
            </w:r>
            <w:r>
              <w:rPr>
                <w:rFonts w:ascii="Arial" w:cs="Arial" w:eastAsia="Arial" w:hAnsi="Arial"/>
                <w:sz w:val="16"/>
                <w:szCs w:val="16"/>
                <w:b w:val="1"/>
                <w:bCs w:val="1"/>
                <w:color w:val="706F6F"/>
              </w:rPr>
              <w:t>Independent</w:t>
            </w:r>
          </w:p>
        </w:tc>
        <w:tc>
          <w:tcPr>
            <w:tcW w:w="420" w:type="dxa"/>
            <w:vAlign w:val="bottom"/>
            <w:vMerge w:val="restart"/>
            <w:shd w:val="clear" w:color="auto" w:fill="CCEEFF"/>
          </w:tcPr>
          <w:p>
            <w:pPr>
              <w:jc w:val="center"/>
              <w:ind w:left="161"/>
              <w:spacing w:after="0"/>
              <w:rPr>
                <w:sz w:val="20"/>
                <w:szCs w:val="20"/>
                <w:color w:val="auto"/>
              </w:rPr>
            </w:pPr>
            <w:r>
              <w:rPr>
                <w:rFonts w:ascii="Arial" w:cs="Arial" w:eastAsia="Arial" w:hAnsi="Arial"/>
                <w:sz w:val="16"/>
                <w:szCs w:val="16"/>
                <w:color w:val="auto"/>
              </w:rPr>
              <w:t>75</w:t>
            </w:r>
          </w:p>
        </w:tc>
        <w:tc>
          <w:tcPr>
            <w:tcW w:w="36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shd w:val="clear" w:color="auto" w:fill="CCEEFF"/>
          </w:tcPr>
          <w:p>
            <w:pPr>
              <w:spacing w:after="0"/>
              <w:rPr>
                <w:sz w:val="10"/>
                <w:szCs w:val="10"/>
                <w:color w:val="auto"/>
              </w:rPr>
            </w:pPr>
          </w:p>
        </w:tc>
        <w:tc>
          <w:tcPr>
            <w:tcW w:w="62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Former Partner and General Counsel, Baker Botts L.L.P.</w:t>
            </w:r>
          </w:p>
        </w:tc>
        <w:tc>
          <w:tcPr>
            <w:tcW w:w="42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shd w:val="clear" w:color="auto" w:fill="CCEEFF"/>
          </w:tcPr>
          <w:p>
            <w:pPr>
              <w:spacing w:after="0"/>
              <w:rPr>
                <w:sz w:val="8"/>
                <w:szCs w:val="8"/>
                <w:color w:val="auto"/>
              </w:rPr>
            </w:pPr>
          </w:p>
        </w:tc>
        <w:tc>
          <w:tcPr>
            <w:tcW w:w="6220" w:type="dxa"/>
            <w:vAlign w:val="bottom"/>
            <w:vMerge w:val="continue"/>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shd w:val="clear" w:color="auto" w:fill="CCEEFF"/>
          </w:tcPr>
          <w:p>
            <w:pPr>
              <w:spacing w:after="0"/>
              <w:rPr>
                <w:sz w:val="9"/>
                <w:szCs w:val="9"/>
                <w:color w:val="auto"/>
              </w:rPr>
            </w:pPr>
          </w:p>
        </w:tc>
        <w:tc>
          <w:tcPr>
            <w:tcW w:w="622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II Directors Whose Terms Expire at the 2025 Annual General Meeting of Shareholders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Richard A. Navarre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6"/>
                <w:szCs w:val="16"/>
                <w:color w:val="auto"/>
              </w:rPr>
              <w:t>Former President and Chief Executive Officer, Covia Corporation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700" w:type="dxa"/>
            <w:vAlign w:val="bottom"/>
            <w:tcBorders>
              <w:bottom w:val="single" w:sz="8" w:color="auto"/>
            </w:tcBorders>
          </w:tcPr>
          <w:p>
            <w:pPr>
              <w:spacing w:after="0"/>
              <w:rPr>
                <w:sz w:val="3"/>
                <w:szCs w:val="3"/>
                <w:color w:val="auto"/>
              </w:rPr>
            </w:pPr>
          </w:p>
        </w:tc>
        <w:tc>
          <w:tcPr>
            <w:tcW w:w="6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Chief Executive Officer, Swan Hills Synfuels LP</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and Chief Executive Officer, BRE Properties, Inc.</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340" w:type="dxa"/>
            <w:vAlign w:val="bottom"/>
            <w:tcBorders>
              <w:bottom w:val="single" w:sz="8" w:color="auto"/>
            </w:tcBorders>
            <w:gridSpan w:val="3"/>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340" w:type="dxa"/>
            <w:vAlign w:val="bottom"/>
            <w:gridSpan w:val="3"/>
          </w:tcPr>
          <w:p>
            <w:pPr>
              <w:ind w:left="20"/>
              <w:spacing w:after="0"/>
              <w:rPr>
                <w:sz w:val="20"/>
                <w:szCs w:val="20"/>
                <w:color w:val="auto"/>
              </w:rPr>
            </w:pPr>
            <w:r>
              <w:rPr>
                <w:rFonts w:ascii="Arial" w:cs="Arial" w:eastAsia="Arial" w:hAnsi="Arial"/>
                <w:sz w:val="16"/>
                <w:szCs w:val="16"/>
                <w:b w:val="1"/>
                <w:bCs w:val="1"/>
                <w:color w:val="auto"/>
              </w:rPr>
              <w:t>Class III Directors Whose Terms Expire at the 2026 Annual General Meeting of Shareholders</w:t>
            </w: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2014</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President and Chief Executive Officer, Civeo Corporation</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Jay K. Grewal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64</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and Chief Executive Officer, Manitoba Hydro</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tcBorders>
              <w:bottom w:val="single" w:sz="8" w:color="auto"/>
            </w:tcBorders>
          </w:tcPr>
          <w:p>
            <w:pPr>
              <w:spacing w:after="0"/>
              <w:rPr>
                <w:sz w:val="9"/>
                <w:szCs w:val="9"/>
                <w:color w:val="auto"/>
              </w:rPr>
            </w:pPr>
          </w:p>
        </w:tc>
        <w:tc>
          <w:tcPr>
            <w:tcW w:w="6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6"/>
        </w:trPr>
        <w:tc>
          <w:tcPr>
            <w:tcW w:w="70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Arial" w:cs="Arial" w:eastAsia="Arial" w:hAnsi="Arial"/>
                <w:sz w:val="16"/>
                <w:szCs w:val="16"/>
                <w:b w:val="1"/>
                <w:bCs w:val="1"/>
                <w:color w:val="006DB6"/>
              </w:rPr>
              <w:t xml:space="preserve">Timothy O. Wall </w:t>
            </w:r>
            <w:r>
              <w:rPr>
                <w:rFonts w:ascii="Arial" w:cs="Arial" w:eastAsia="Arial" w:hAnsi="Arial"/>
                <w:sz w:val="16"/>
                <w:szCs w:val="16"/>
                <w:b w:val="1"/>
                <w:bCs w:val="1"/>
                <w:color w:val="706F6F"/>
              </w:rPr>
              <w:t>Independent</w:t>
            </w:r>
          </w:p>
        </w:tc>
        <w:tc>
          <w:tcPr>
            <w:tcW w:w="420" w:type="dxa"/>
            <w:vAlign w:val="bottom"/>
            <w:vMerge w:val="restart"/>
          </w:tcPr>
          <w:p>
            <w:pPr>
              <w:jc w:val="center"/>
              <w:ind w:left="161"/>
              <w:spacing w:after="0"/>
              <w:rPr>
                <w:sz w:val="20"/>
                <w:szCs w:val="20"/>
                <w:color w:val="auto"/>
              </w:rPr>
            </w:pPr>
            <w:r>
              <w:rPr>
                <w:rFonts w:ascii="Arial" w:cs="Arial" w:eastAsia="Arial" w:hAnsi="Arial"/>
                <w:sz w:val="16"/>
                <w:szCs w:val="16"/>
                <w:color w:val="auto"/>
              </w:rPr>
              <w:t>62</w:t>
            </w:r>
          </w:p>
        </w:tc>
        <w:tc>
          <w:tcPr>
            <w:tcW w:w="360" w:type="dxa"/>
            <w:vAlign w:val="bottom"/>
          </w:tcPr>
          <w:p>
            <w:pPr>
              <w:spacing w:after="0"/>
              <w:rPr>
                <w:sz w:val="24"/>
                <w:szCs w:val="24"/>
                <w:color w:val="auto"/>
              </w:rPr>
            </w:pPr>
          </w:p>
        </w:tc>
        <w:tc>
          <w:tcPr>
            <w:tcW w:w="740" w:type="dxa"/>
            <w:vAlign w:val="bottom"/>
            <w:vMerge w:val="restart"/>
          </w:tcPr>
          <w:p>
            <w:pPr>
              <w:jc w:val="center"/>
              <w:ind w:right="61"/>
              <w:spacing w:after="0"/>
              <w:rPr>
                <w:sz w:val="20"/>
                <w:szCs w:val="20"/>
                <w:color w:val="auto"/>
              </w:rPr>
            </w:pPr>
            <w:r>
              <w:rPr>
                <w:rFonts w:ascii="Arial" w:cs="Arial" w:eastAsia="Arial" w:hAnsi="Arial"/>
                <w:sz w:val="16"/>
                <w:szCs w:val="16"/>
                <w:color w:val="auto"/>
              </w:rPr>
              <w:t>2017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6220" w:type="dxa"/>
            <w:vAlign w:val="bottom"/>
            <w:vMerge w:val="restart"/>
          </w:tcPr>
          <w:p>
            <w:pPr>
              <w:ind w:left="20"/>
              <w:spacing w:after="0"/>
              <w:rPr>
                <w:sz w:val="20"/>
                <w:szCs w:val="20"/>
                <w:color w:val="auto"/>
              </w:rPr>
            </w:pPr>
            <w:r>
              <w:rPr>
                <w:rFonts w:ascii="Arial" w:cs="Arial" w:eastAsia="Arial" w:hAnsi="Arial"/>
                <w:sz w:val="16"/>
                <w:szCs w:val="16"/>
                <w:color w:val="auto"/>
              </w:rPr>
              <w:t>Former President, Kitimat LNG Upstream Operations</w:t>
            </w: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700" w:type="dxa"/>
            <w:vAlign w:val="bottom"/>
          </w:tcPr>
          <w:p>
            <w:pPr>
              <w:spacing w:after="0"/>
              <w:rPr>
                <w:sz w:val="8"/>
                <w:szCs w:val="8"/>
                <w:color w:val="auto"/>
              </w:rPr>
            </w:pPr>
          </w:p>
        </w:tc>
        <w:tc>
          <w:tcPr>
            <w:tcW w:w="62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00" w:type="dxa"/>
            <w:vAlign w:val="bottom"/>
            <w:tcBorders>
              <w:bottom w:val="single" w:sz="8" w:color="006DB6"/>
            </w:tcBorders>
          </w:tcPr>
          <w:p>
            <w:pPr>
              <w:spacing w:after="0"/>
              <w:rPr>
                <w:sz w:val="10"/>
                <w:szCs w:val="10"/>
                <w:color w:val="auto"/>
              </w:rPr>
            </w:pPr>
          </w:p>
        </w:tc>
        <w:tc>
          <w:tcPr>
            <w:tcW w:w="6220" w:type="dxa"/>
            <w:vAlign w:val="bottom"/>
            <w:tcBorders>
              <w:bottom w:val="single" w:sz="8" w:color="006DB6"/>
            </w:tcBorders>
          </w:tcPr>
          <w:p>
            <w:pPr>
              <w:spacing w:after="0"/>
              <w:rPr>
                <w:sz w:val="10"/>
                <w:szCs w:val="10"/>
                <w:color w:val="auto"/>
              </w:rPr>
            </w:pPr>
          </w:p>
        </w:tc>
        <w:tc>
          <w:tcPr>
            <w:tcW w:w="420" w:type="dxa"/>
            <w:vAlign w:val="bottom"/>
            <w:tcBorders>
              <w:bottom w:val="single" w:sz="8" w:color="006DB6"/>
            </w:tcBorders>
          </w:tcPr>
          <w:p>
            <w:pPr>
              <w:spacing w:after="0"/>
              <w:rPr>
                <w:sz w:val="10"/>
                <w:szCs w:val="10"/>
                <w:color w:val="auto"/>
              </w:rPr>
            </w:pPr>
          </w:p>
        </w:tc>
        <w:tc>
          <w:tcPr>
            <w:tcW w:w="360" w:type="dxa"/>
            <w:vAlign w:val="bottom"/>
            <w:tcBorders>
              <w:bottom w:val="single" w:sz="8" w:color="006DB6"/>
            </w:tcBorders>
          </w:tcPr>
          <w:p>
            <w:pPr>
              <w:spacing w:after="0"/>
              <w:rPr>
                <w:sz w:val="10"/>
                <w:szCs w:val="10"/>
                <w:color w:val="auto"/>
              </w:rPr>
            </w:pPr>
          </w:p>
        </w:tc>
        <w:tc>
          <w:tcPr>
            <w:tcW w:w="740" w:type="dxa"/>
            <w:vAlign w:val="bottom"/>
            <w:tcBorders>
              <w:bottom w:val="single" w:sz="8" w:color="006DB6"/>
            </w:tcBorders>
          </w:tcPr>
          <w:p>
            <w:pPr>
              <w:spacing w:after="0"/>
              <w:rPr>
                <w:sz w:val="10"/>
                <w:szCs w:val="10"/>
                <w:color w:val="auto"/>
              </w:rPr>
            </w:pPr>
          </w:p>
        </w:tc>
        <w:tc>
          <w:tcPr>
            <w:tcW w:w="160" w:type="dxa"/>
            <w:vAlign w:val="bottom"/>
            <w:tcBorders>
              <w:bottom w:val="single" w:sz="8" w:color="006DB6"/>
            </w:tcBorders>
          </w:tcPr>
          <w:p>
            <w:pPr>
              <w:spacing w:after="0"/>
              <w:rPr>
                <w:sz w:val="10"/>
                <w:szCs w:val="10"/>
                <w:color w:val="auto"/>
              </w:rPr>
            </w:pPr>
          </w:p>
        </w:tc>
        <w:tc>
          <w:tcPr>
            <w:tcW w:w="360" w:type="dxa"/>
            <w:vAlign w:val="bottom"/>
            <w:tcBorders>
              <w:bottom w:val="single" w:sz="8" w:color="006DB6"/>
            </w:tcBorders>
          </w:tcPr>
          <w:p>
            <w:pPr>
              <w:spacing w:after="0"/>
              <w:rPr>
                <w:sz w:val="10"/>
                <w:szCs w:val="10"/>
                <w:color w:val="auto"/>
              </w:rPr>
            </w:pPr>
          </w:p>
        </w:tc>
        <w:tc>
          <w:tcPr>
            <w:tcW w:w="780" w:type="dxa"/>
            <w:vAlign w:val="bottom"/>
            <w:tcBorders>
              <w:bottom w:val="single" w:sz="8" w:color="006DB6"/>
            </w:tcBorders>
          </w:tcPr>
          <w:p>
            <w:pPr>
              <w:spacing w:after="0"/>
              <w:rPr>
                <w:sz w:val="10"/>
                <w:szCs w:val="10"/>
                <w:color w:val="auto"/>
              </w:rPr>
            </w:pPr>
          </w:p>
        </w:tc>
        <w:tc>
          <w:tcPr>
            <w:tcW w:w="980" w:type="dxa"/>
            <w:vAlign w:val="bottom"/>
            <w:tcBorders>
              <w:bottom w:val="single" w:sz="8" w:color="006DB6"/>
            </w:tcBorders>
          </w:tcPr>
          <w:p>
            <w:pPr>
              <w:spacing w:after="0"/>
              <w:rPr>
                <w:sz w:val="10"/>
                <w:szCs w:val="10"/>
                <w:color w:val="auto"/>
              </w:rPr>
            </w:pPr>
          </w:p>
        </w:tc>
        <w:tc>
          <w:tcPr>
            <w:tcW w:w="520" w:type="dxa"/>
            <w:vAlign w:val="bottom"/>
            <w:tcBorders>
              <w:bottom w:val="single" w:sz="8" w:color="006DB6"/>
            </w:tcBorders>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AC</w:t>
            </w:r>
          </w:p>
        </w:tc>
        <w:tc>
          <w:tcPr>
            <w:tcW w:w="6220" w:type="dxa"/>
            <w:vAlign w:val="bottom"/>
          </w:tcPr>
          <w:p>
            <w:pPr>
              <w:ind w:left="180"/>
              <w:spacing w:after="0"/>
              <w:rPr>
                <w:sz w:val="20"/>
                <w:szCs w:val="20"/>
                <w:color w:val="auto"/>
              </w:rPr>
            </w:pPr>
            <w:r>
              <w:rPr>
                <w:rFonts w:ascii="Arial" w:cs="Arial" w:eastAsia="Arial" w:hAnsi="Arial"/>
                <w:sz w:val="14"/>
                <w:szCs w:val="14"/>
                <w:color w:val="auto"/>
              </w:rPr>
              <w:t>Audit Committee</w:t>
            </w:r>
          </w:p>
        </w:tc>
        <w:tc>
          <w:tcPr>
            <w:tcW w:w="4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Chair</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CC</w:t>
            </w:r>
          </w:p>
        </w:tc>
        <w:tc>
          <w:tcPr>
            <w:tcW w:w="6220" w:type="dxa"/>
            <w:vAlign w:val="bottom"/>
          </w:tcPr>
          <w:p>
            <w:pPr>
              <w:ind w:left="180"/>
              <w:spacing w:after="0"/>
              <w:rPr>
                <w:sz w:val="20"/>
                <w:szCs w:val="20"/>
                <w:color w:val="auto"/>
              </w:rPr>
            </w:pPr>
            <w:r>
              <w:rPr>
                <w:rFonts w:ascii="Arial" w:cs="Arial" w:eastAsia="Arial" w:hAnsi="Arial"/>
                <w:sz w:val="14"/>
                <w:szCs w:val="14"/>
                <w:color w:val="auto"/>
              </w:rPr>
              <w:t>Compensation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Member</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ESGNC</w:t>
            </w:r>
          </w:p>
        </w:tc>
        <w:tc>
          <w:tcPr>
            <w:tcW w:w="6220" w:type="dxa"/>
            <w:vAlign w:val="bottom"/>
          </w:tcPr>
          <w:p>
            <w:pPr>
              <w:ind w:left="180"/>
              <w:spacing w:after="0"/>
              <w:rPr>
                <w:sz w:val="20"/>
                <w:szCs w:val="20"/>
                <w:color w:val="auto"/>
              </w:rPr>
            </w:pPr>
            <w:r>
              <w:rPr>
                <w:rFonts w:ascii="Arial" w:cs="Arial" w:eastAsia="Arial" w:hAnsi="Arial"/>
                <w:sz w:val="14"/>
                <w:szCs w:val="14"/>
                <w:color w:val="auto"/>
              </w:rPr>
              <w:t>Environmental, Social, Governance and Nominating Committee</w:t>
            </w: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F</w:t>
            </w:r>
          </w:p>
        </w:tc>
        <w:tc>
          <w:tcPr>
            <w:tcW w:w="1260" w:type="dxa"/>
            <w:vAlign w:val="bottom"/>
            <w:gridSpan w:val="3"/>
          </w:tcPr>
          <w:p>
            <w:pPr>
              <w:spacing w:after="0"/>
              <w:rPr>
                <w:sz w:val="20"/>
                <w:szCs w:val="20"/>
                <w:color w:val="auto"/>
              </w:rPr>
            </w:pPr>
            <w:r>
              <w:rPr>
                <w:rFonts w:ascii="Arial" w:cs="Arial" w:eastAsia="Arial" w:hAnsi="Arial"/>
                <w:sz w:val="14"/>
                <w:szCs w:val="14"/>
                <w:color w:val="auto"/>
              </w:rPr>
              <w:t>Financial Expert</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FIC</w:t>
            </w:r>
          </w:p>
        </w:tc>
        <w:tc>
          <w:tcPr>
            <w:tcW w:w="6220" w:type="dxa"/>
            <w:vAlign w:val="bottom"/>
          </w:tcPr>
          <w:p>
            <w:pPr>
              <w:ind w:left="180"/>
              <w:spacing w:after="0"/>
              <w:rPr>
                <w:sz w:val="20"/>
                <w:szCs w:val="20"/>
                <w:color w:val="auto"/>
              </w:rPr>
            </w:pPr>
            <w:r>
              <w:rPr>
                <w:rFonts w:ascii="Arial" w:cs="Arial" w:eastAsia="Arial" w:hAnsi="Arial"/>
                <w:sz w:val="14"/>
                <w:szCs w:val="14"/>
                <w:color w:val="auto"/>
              </w:rPr>
              <w:t>Finance and Investment Committee</w:t>
            </w:r>
          </w:p>
        </w:tc>
        <w:tc>
          <w:tcPr>
            <w:tcW w:w="4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Chair of the Board</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-4764405</wp:posOffset>
            </wp:positionV>
            <wp:extent cx="3257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-4652645</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-4652645</wp:posOffset>
            </wp:positionV>
            <wp:extent cx="102870" cy="1028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-4370070</wp:posOffset>
            </wp:positionV>
            <wp:extent cx="325755" cy="325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-4258945</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-4258945</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-3975735</wp:posOffset>
            </wp:positionV>
            <wp:extent cx="325755"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-3864610</wp:posOffset>
            </wp:positionV>
            <wp:extent cx="10287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-3864610</wp:posOffset>
            </wp:positionV>
            <wp:extent cx="10287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-3384550</wp:posOffset>
            </wp:positionV>
            <wp:extent cx="325755"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-3401695</wp:posOffset>
            </wp:positionV>
            <wp:extent cx="12890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-3272790</wp:posOffset>
            </wp:positionV>
            <wp:extent cx="10287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-2938780</wp:posOffset>
            </wp:positionV>
            <wp:extent cx="325755"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-2827020</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-2827020</wp:posOffset>
            </wp:positionV>
            <wp:extent cx="10287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-2544445</wp:posOffset>
            </wp:positionV>
            <wp:extent cx="325755"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-2432685</wp:posOffset>
            </wp:positionV>
            <wp:extent cx="10287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-2432685</wp:posOffset>
            </wp:positionV>
            <wp:extent cx="10287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-1995805</wp:posOffset>
            </wp:positionV>
            <wp:extent cx="325755"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-1601470</wp:posOffset>
            </wp:positionV>
            <wp:extent cx="325755"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-1489710</wp:posOffset>
            </wp:positionV>
            <wp:extent cx="10287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-1489710</wp:posOffset>
            </wp:positionV>
            <wp:extent cx="10287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-1207135</wp:posOffset>
            </wp:positionV>
            <wp:extent cx="325755"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-1095375</wp:posOffset>
            </wp:positionV>
            <wp:extent cx="10287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-1095375</wp:posOffset>
            </wp:positionV>
            <wp:extent cx="10287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-735330</wp:posOffset>
            </wp:positionV>
            <wp:extent cx="10287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-538480</wp:posOffset>
            </wp:positionV>
            <wp:extent cx="10287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-161290</wp:posOffset>
            </wp:positionV>
            <wp:extent cx="12890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189865</wp:posOffset>
            </wp:positionV>
            <wp:extent cx="394335"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50165</wp:posOffset>
            </wp:positionV>
            <wp:extent cx="8890" cy="2040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2040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50165</wp:posOffset>
            </wp:positionV>
            <wp:extent cx="8255" cy="2040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2040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50165</wp:posOffset>
            </wp:positionV>
            <wp:extent cx="8255" cy="2040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2040255"/>
                    </a:xfrm>
                    <a:prstGeom prst="rect">
                      <a:avLst/>
                    </a:prstGeom>
                    <a:noFill/>
                  </pic:spPr>
                </pic:pic>
              </a:graphicData>
            </a:graphic>
          </wp:anchor>
        </w:drawing>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100" w:type="dxa"/>
            <w:vAlign w:val="bottom"/>
          </w:tcPr>
          <w:p>
            <w:pPr>
              <w:spacing w:after="0"/>
              <w:rPr>
                <w:sz w:val="20"/>
                <w:szCs w:val="20"/>
                <w:color w:val="auto"/>
              </w:rPr>
            </w:pPr>
            <w:r>
              <w:rPr>
                <w:rFonts w:ascii="Arial" w:cs="Arial" w:eastAsia="Arial" w:hAnsi="Arial"/>
                <w:sz w:val="16"/>
                <w:szCs w:val="16"/>
                <w:b w:val="1"/>
                <w:bCs w:val="1"/>
                <w:color w:val="auto"/>
              </w:rPr>
              <w:t>INDEPENDENCE</w:t>
            </w:r>
          </w:p>
        </w:tc>
        <w:tc>
          <w:tcPr>
            <w:tcW w:w="2680" w:type="dxa"/>
            <w:vAlign w:val="bottom"/>
          </w:tcPr>
          <w:p>
            <w:pPr>
              <w:ind w:left="800"/>
              <w:spacing w:after="0"/>
              <w:rPr>
                <w:sz w:val="20"/>
                <w:szCs w:val="20"/>
                <w:color w:val="auto"/>
              </w:rPr>
            </w:pPr>
            <w:r>
              <w:rPr>
                <w:rFonts w:ascii="Arial" w:cs="Arial" w:eastAsia="Arial" w:hAnsi="Arial"/>
                <w:sz w:val="16"/>
                <w:szCs w:val="16"/>
                <w:b w:val="1"/>
                <w:bCs w:val="1"/>
                <w:color w:val="auto"/>
              </w:rPr>
              <w:t>TENURE</w:t>
            </w:r>
          </w:p>
        </w:tc>
        <w:tc>
          <w:tcPr>
            <w:tcW w:w="2860" w:type="dxa"/>
            <w:vAlign w:val="bottom"/>
          </w:tcPr>
          <w:p>
            <w:pPr>
              <w:ind w:left="940"/>
              <w:spacing w:after="0"/>
              <w:rPr>
                <w:sz w:val="20"/>
                <w:szCs w:val="20"/>
                <w:color w:val="auto"/>
              </w:rPr>
            </w:pPr>
            <w:r>
              <w:rPr>
                <w:rFonts w:ascii="Arial" w:cs="Arial" w:eastAsia="Arial" w:hAnsi="Arial"/>
                <w:sz w:val="16"/>
                <w:szCs w:val="16"/>
                <w:b w:val="1"/>
                <w:bCs w:val="1"/>
                <w:color w:val="auto"/>
              </w:rPr>
              <w:t>AGE</w:t>
            </w:r>
          </w:p>
        </w:tc>
        <w:tc>
          <w:tcPr>
            <w:tcW w:w="1740" w:type="dxa"/>
            <w:vAlign w:val="bottom"/>
          </w:tcPr>
          <w:p>
            <w:pPr>
              <w:ind w:left="880"/>
              <w:spacing w:after="0"/>
              <w:rPr>
                <w:sz w:val="20"/>
                <w:szCs w:val="20"/>
                <w:color w:val="auto"/>
              </w:rPr>
            </w:pPr>
            <w:r>
              <w:rPr>
                <w:rFonts w:ascii="Arial" w:cs="Arial" w:eastAsia="Arial" w:hAnsi="Arial"/>
                <w:sz w:val="16"/>
                <w:szCs w:val="16"/>
                <w:b w:val="1"/>
                <w:bCs w:val="1"/>
                <w:color w:val="auto"/>
                <w:w w:val="99"/>
              </w:rPr>
              <w:t>DIVERSITY</w:t>
            </w:r>
          </w:p>
        </w:tc>
        <w:tc>
          <w:tcPr>
            <w:tcW w:w="0" w:type="dxa"/>
            <w:vAlign w:val="bottom"/>
          </w:tcPr>
          <w:p>
            <w:pPr>
              <w:spacing w:after="0"/>
              <w:rPr>
                <w:sz w:val="1"/>
                <w:szCs w:val="1"/>
                <w:color w:val="auto"/>
              </w:rPr>
            </w:pPr>
          </w:p>
        </w:tc>
      </w:tr>
      <w:tr>
        <w:trPr>
          <w:trHeight w:val="553"/>
        </w:trPr>
        <w:tc>
          <w:tcPr>
            <w:tcW w:w="2100" w:type="dxa"/>
            <w:vAlign w:val="bottom"/>
          </w:tcPr>
          <w:p>
            <w:pPr>
              <w:spacing w:after="0"/>
              <w:rPr>
                <w:sz w:val="24"/>
                <w:szCs w:val="24"/>
                <w:color w:val="auto"/>
              </w:rPr>
            </w:pPr>
          </w:p>
        </w:tc>
        <w:tc>
          <w:tcPr>
            <w:tcW w:w="2680" w:type="dxa"/>
            <w:vAlign w:val="bottom"/>
          </w:tcPr>
          <w:p>
            <w:pPr>
              <w:ind w:left="800"/>
              <w:spacing w:after="0"/>
              <w:rPr>
                <w:sz w:val="20"/>
                <w:szCs w:val="20"/>
                <w:color w:val="auto"/>
              </w:rPr>
            </w:pPr>
            <w:r>
              <w:rPr>
                <w:rFonts w:ascii="Arial" w:cs="Arial" w:eastAsia="Arial" w:hAnsi="Arial"/>
                <w:sz w:val="16"/>
                <w:szCs w:val="16"/>
                <w:color w:val="auto"/>
              </w:rPr>
              <w:t xml:space="preserve">0-5 years: </w:t>
            </w:r>
            <w:r>
              <w:rPr>
                <w:rFonts w:ascii="Arial" w:cs="Arial" w:eastAsia="Arial" w:hAnsi="Arial"/>
                <w:sz w:val="16"/>
                <w:szCs w:val="16"/>
                <w:b w:val="1"/>
                <w:bCs w:val="1"/>
                <w:color w:val="FFC03C"/>
              </w:rPr>
              <w:t>2</w:t>
            </w:r>
          </w:p>
        </w:tc>
        <w:tc>
          <w:tcPr>
            <w:tcW w:w="2860" w:type="dxa"/>
            <w:vAlign w:val="bottom"/>
          </w:tcPr>
          <w:p>
            <w:pPr>
              <w:ind w:left="940"/>
              <w:spacing w:after="0"/>
              <w:rPr>
                <w:sz w:val="20"/>
                <w:szCs w:val="20"/>
                <w:color w:val="auto"/>
              </w:rPr>
            </w:pPr>
            <w:r>
              <w:rPr>
                <w:rFonts w:ascii="Arial" w:cs="Arial" w:eastAsia="Arial" w:hAnsi="Arial"/>
                <w:sz w:val="16"/>
                <w:szCs w:val="16"/>
                <w:color w:val="auto"/>
              </w:rPr>
              <w:t xml:space="preserve">&lt;60 years: </w:t>
            </w:r>
            <w:r>
              <w:rPr>
                <w:rFonts w:ascii="Arial" w:cs="Arial" w:eastAsia="Arial" w:hAnsi="Arial"/>
                <w:sz w:val="16"/>
                <w:szCs w:val="16"/>
                <w:b w:val="1"/>
                <w:bCs w:val="1"/>
                <w:color w:val="FFC03C"/>
              </w:rPr>
              <w:t>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100" w:type="dxa"/>
            <w:vAlign w:val="bottom"/>
          </w:tcPr>
          <w:p>
            <w:pPr>
              <w:spacing w:after="0"/>
              <w:rPr>
                <w:sz w:val="24"/>
                <w:szCs w:val="24"/>
                <w:color w:val="auto"/>
              </w:rPr>
            </w:pPr>
          </w:p>
        </w:tc>
        <w:tc>
          <w:tcPr>
            <w:tcW w:w="2680" w:type="dxa"/>
            <w:vAlign w:val="bottom"/>
          </w:tcPr>
          <w:p>
            <w:pPr>
              <w:ind w:left="800"/>
              <w:spacing w:after="0"/>
              <w:rPr>
                <w:sz w:val="20"/>
                <w:szCs w:val="20"/>
                <w:color w:val="auto"/>
              </w:rPr>
            </w:pPr>
            <w:r>
              <w:rPr>
                <w:rFonts w:ascii="Arial" w:cs="Arial" w:eastAsia="Arial" w:hAnsi="Arial"/>
                <w:sz w:val="16"/>
                <w:szCs w:val="16"/>
                <w:color w:val="auto"/>
              </w:rPr>
              <w:t xml:space="preserve">5-10 years: </w:t>
            </w:r>
            <w:r>
              <w:rPr>
                <w:rFonts w:ascii="Arial" w:cs="Arial" w:eastAsia="Arial" w:hAnsi="Arial"/>
                <w:sz w:val="16"/>
                <w:szCs w:val="16"/>
                <w:b w:val="1"/>
                <w:bCs w:val="1"/>
                <w:color w:val="006DB6"/>
              </w:rPr>
              <w:t>7</w:t>
            </w:r>
          </w:p>
        </w:tc>
        <w:tc>
          <w:tcPr>
            <w:tcW w:w="2860" w:type="dxa"/>
            <w:vAlign w:val="bottom"/>
            <w:vMerge w:val="restart"/>
          </w:tcPr>
          <w:p>
            <w:pPr>
              <w:ind w:left="940"/>
              <w:spacing w:after="0"/>
              <w:rPr>
                <w:sz w:val="20"/>
                <w:szCs w:val="20"/>
                <w:color w:val="auto"/>
              </w:rPr>
            </w:pPr>
            <w:r>
              <w:rPr>
                <w:rFonts w:ascii="Arial" w:cs="Arial" w:eastAsia="Arial" w:hAnsi="Arial"/>
                <w:sz w:val="16"/>
                <w:szCs w:val="16"/>
                <w:color w:val="auto"/>
              </w:rPr>
              <w:t xml:space="preserve">61-70 years: </w:t>
            </w:r>
            <w:r>
              <w:rPr>
                <w:rFonts w:ascii="Arial" w:cs="Arial" w:eastAsia="Arial" w:hAnsi="Arial"/>
                <w:sz w:val="16"/>
                <w:szCs w:val="16"/>
                <w:b w:val="1"/>
                <w:bCs w:val="1"/>
                <w:color w:val="706F6F"/>
              </w:rPr>
              <w:t>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286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60" w:type="dxa"/>
            <w:vAlign w:val="bottom"/>
          </w:tcPr>
          <w:p>
            <w:pPr>
              <w:ind w:left="940"/>
              <w:spacing w:after="0"/>
              <w:rPr>
                <w:sz w:val="20"/>
                <w:szCs w:val="20"/>
                <w:color w:val="auto"/>
              </w:rPr>
            </w:pPr>
            <w:r>
              <w:rPr>
                <w:rFonts w:ascii="Arial" w:cs="Arial" w:eastAsia="Arial" w:hAnsi="Arial"/>
                <w:sz w:val="16"/>
                <w:szCs w:val="16"/>
                <w:color w:val="auto"/>
              </w:rPr>
              <w:t xml:space="preserve">&gt;70 years: </w:t>
            </w:r>
            <w:r>
              <w:rPr>
                <w:rFonts w:ascii="Arial" w:cs="Arial" w:eastAsia="Arial" w:hAnsi="Arial"/>
                <w:sz w:val="16"/>
                <w:szCs w:val="16"/>
                <w:b w:val="1"/>
                <w:bCs w:val="1"/>
                <w:color w:val="ABABAB"/>
              </w:rPr>
              <w:t>2</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-997585</wp:posOffset>
            </wp:positionV>
            <wp:extent cx="1011555" cy="12084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11555" cy="120840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-1066165</wp:posOffset>
            </wp:positionV>
            <wp:extent cx="274320"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4320" cy="11176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-1066165</wp:posOffset>
            </wp:positionV>
            <wp:extent cx="4869180" cy="1680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69180" cy="168021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-1066165</wp:posOffset>
            </wp:positionV>
            <wp:extent cx="4869180" cy="16802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69180" cy="1680210"/>
                    </a:xfrm>
                    <a:prstGeom prst="rect">
                      <a:avLst/>
                    </a:prstGeom>
                    <a:noFill/>
                  </pic:spPr>
                </pic:pic>
              </a:graphicData>
            </a:graphic>
          </wp:anchor>
        </w:drawing>
      </w:r>
    </w:p>
    <w:p>
      <w:pPr>
        <w:spacing w:after="0" w:line="378" w:lineRule="exact"/>
        <w:rPr>
          <w:sz w:val="20"/>
          <w:szCs w:val="20"/>
          <w:color w:val="auto"/>
        </w:rPr>
      </w:pPr>
    </w:p>
    <w:p>
      <w:pPr>
        <w:ind w:left="160" w:hanging="134"/>
        <w:spacing w:after="0"/>
        <w:tabs>
          <w:tab w:leader="none" w:pos="160" w:val="left"/>
        </w:tabs>
        <w:numPr>
          <w:ilvl w:val="0"/>
          <w:numId w:val="6"/>
        </w:numPr>
        <w:rPr>
          <w:rFonts w:ascii="Arial" w:cs="Arial" w:eastAsia="Arial" w:hAnsi="Arial"/>
          <w:sz w:val="16"/>
          <w:szCs w:val="16"/>
          <w:b w:val="1"/>
          <w:bCs w:val="1"/>
          <w:color w:val="FFC03C"/>
        </w:rPr>
      </w:pPr>
      <w:r>
        <w:rPr>
          <w:rFonts w:ascii="Arial" w:cs="Arial" w:eastAsia="Arial" w:hAnsi="Arial"/>
          <w:sz w:val="16"/>
          <w:szCs w:val="16"/>
          <w:color w:val="auto"/>
        </w:rPr>
        <w:t>Independent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ind w:left="2920"/>
              <w:spacing w:after="0"/>
              <w:rPr>
                <w:sz w:val="20"/>
                <w:szCs w:val="20"/>
                <w:color w:val="auto"/>
              </w:rPr>
            </w:pPr>
            <w:r>
              <w:rPr>
                <w:rFonts w:ascii="Arial" w:cs="Arial" w:eastAsia="Arial" w:hAnsi="Arial"/>
                <w:sz w:val="16"/>
                <w:szCs w:val="16"/>
                <w:color w:val="auto"/>
              </w:rPr>
              <w:t>Average Director Tenure:</w:t>
            </w:r>
          </w:p>
        </w:tc>
        <w:tc>
          <w:tcPr>
            <w:tcW w:w="6000" w:type="dxa"/>
            <w:vAlign w:val="bottom"/>
            <w:vMerge w:val="restart"/>
          </w:tcPr>
          <w:p>
            <w:pPr>
              <w:ind w:left="500"/>
              <w:spacing w:after="0"/>
              <w:rPr>
                <w:sz w:val="20"/>
                <w:szCs w:val="20"/>
                <w:color w:val="auto"/>
              </w:rPr>
            </w:pPr>
            <w:r>
              <w:rPr>
                <w:rFonts w:ascii="Arial" w:cs="Arial" w:eastAsia="Arial" w:hAnsi="Arial"/>
                <w:sz w:val="16"/>
                <w:szCs w:val="16"/>
                <w:color w:val="auto"/>
              </w:rPr>
              <w:t xml:space="preserve">Average Age: </w:t>
            </w:r>
            <w:r>
              <w:rPr>
                <w:rFonts w:ascii="Arial" w:cs="Arial" w:eastAsia="Arial" w:hAnsi="Arial"/>
                <w:sz w:val="16"/>
                <w:szCs w:val="16"/>
                <w:b w:val="1"/>
                <w:bCs w:val="1"/>
                <w:color w:val="706F6F"/>
              </w:rPr>
              <w:t>65.8</w:t>
            </w:r>
          </w:p>
        </w:tc>
        <w:tc>
          <w:tcPr>
            <w:tcW w:w="0" w:type="dxa"/>
            <w:vAlign w:val="bottom"/>
          </w:tcPr>
          <w:p>
            <w:pPr>
              <w:spacing w:after="0"/>
              <w:rPr>
                <w:sz w:val="1"/>
                <w:szCs w:val="1"/>
                <w:color w:val="auto"/>
              </w:rPr>
            </w:pPr>
          </w:p>
        </w:tc>
      </w:tr>
      <w:tr>
        <w:trPr>
          <w:trHeight w:val="142"/>
        </w:trPr>
        <w:tc>
          <w:tcPr>
            <w:tcW w:w="5240" w:type="dxa"/>
            <w:vAlign w:val="bottom"/>
            <w:vMerge w:val="restart"/>
          </w:tcPr>
          <w:p>
            <w:pPr>
              <w:ind w:left="2920"/>
              <w:spacing w:after="0"/>
              <w:rPr>
                <w:sz w:val="20"/>
                <w:szCs w:val="20"/>
                <w:color w:val="auto"/>
              </w:rPr>
            </w:pPr>
            <w:r>
              <w:rPr>
                <w:rFonts w:ascii="Arial" w:cs="Arial" w:eastAsia="Arial" w:hAnsi="Arial"/>
                <w:sz w:val="16"/>
                <w:szCs w:val="16"/>
                <w:b w:val="1"/>
                <w:bCs w:val="1"/>
                <w:color w:val="706F6F"/>
              </w:rPr>
              <w:t>7.2 years</w:t>
            </w:r>
          </w:p>
        </w:tc>
        <w:tc>
          <w:tcPr>
            <w:tcW w:w="6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240" w:type="dxa"/>
            <w:vAlign w:val="bottom"/>
            <w:vMerge w:val="continue"/>
          </w:tcPr>
          <w:p>
            <w:pPr>
              <w:spacing w:after="0"/>
              <w:rPr>
                <w:sz w:val="7"/>
                <w:szCs w:val="7"/>
                <w:color w:val="auto"/>
              </w:rPr>
            </w:pPr>
          </w:p>
        </w:tc>
        <w:tc>
          <w:tcPr>
            <w:tcW w:w="6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40" w:type="dxa"/>
            <w:vAlign w:val="bottom"/>
            <w:tcBorders>
              <w:bottom w:val="single" w:sz="8" w:color="auto"/>
            </w:tcBorders>
          </w:tcPr>
          <w:p>
            <w:pPr>
              <w:spacing w:after="0"/>
              <w:rPr>
                <w:sz w:val="7"/>
                <w:szCs w:val="7"/>
                <w:color w:val="auto"/>
              </w:rPr>
            </w:pPr>
          </w:p>
        </w:tc>
        <w:tc>
          <w:tcPr>
            <w:tcW w:w="6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97790</wp:posOffset>
            </wp:positionV>
            <wp:extent cx="539750" cy="539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97790</wp:posOffset>
            </wp:positionV>
            <wp:extent cx="539750" cy="539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97790</wp:posOffset>
            </wp:positionV>
            <wp:extent cx="539750" cy="539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97790</wp:posOffset>
            </wp:positionV>
            <wp:extent cx="539750" cy="539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660" w:type="dxa"/>
            <w:vAlign w:val="bottom"/>
          </w:tcPr>
          <w:p>
            <w:pPr>
              <w:spacing w:after="0"/>
              <w:rPr>
                <w:sz w:val="20"/>
                <w:szCs w:val="20"/>
                <w:color w:val="auto"/>
              </w:rPr>
            </w:pPr>
            <w:r>
              <w:rPr>
                <w:rFonts w:ascii="Arial" w:cs="Arial" w:eastAsia="Arial" w:hAnsi="Arial"/>
                <w:sz w:val="16"/>
                <w:szCs w:val="16"/>
                <w:color w:val="FFC03C"/>
              </w:rPr>
              <w:t xml:space="preserve">9 </w:t>
            </w:r>
            <w:r>
              <w:rPr>
                <w:rFonts w:ascii="Arial" w:cs="Arial" w:eastAsia="Arial" w:hAnsi="Arial"/>
                <w:sz w:val="16"/>
                <w:szCs w:val="16"/>
                <w:color w:val="006DB6"/>
              </w:rPr>
              <w:t>Executive</w:t>
            </w:r>
          </w:p>
        </w:tc>
        <w:tc>
          <w:tcPr>
            <w:tcW w:w="2880" w:type="dxa"/>
            <w:vAlign w:val="bottom"/>
          </w:tcPr>
          <w:p>
            <w:pPr>
              <w:jc w:val="center"/>
              <w:ind w:left="159"/>
              <w:spacing w:after="0"/>
              <w:rPr>
                <w:sz w:val="20"/>
                <w:szCs w:val="20"/>
                <w:color w:val="auto"/>
              </w:rPr>
            </w:pPr>
            <w:r>
              <w:rPr>
                <w:rFonts w:ascii="Arial" w:cs="Arial" w:eastAsia="Arial" w:hAnsi="Arial"/>
                <w:sz w:val="16"/>
                <w:szCs w:val="16"/>
                <w:color w:val="FFC03C"/>
              </w:rPr>
              <w:t xml:space="preserve">7 </w:t>
            </w:r>
            <w:r>
              <w:rPr>
                <w:rFonts w:ascii="Arial" w:cs="Arial" w:eastAsia="Arial" w:hAnsi="Arial"/>
                <w:sz w:val="16"/>
                <w:szCs w:val="16"/>
                <w:color w:val="006DB6"/>
              </w:rPr>
              <w:t>Accommodations,</w:t>
            </w:r>
          </w:p>
        </w:tc>
        <w:tc>
          <w:tcPr>
            <w:tcW w:w="3000" w:type="dxa"/>
            <w:vAlign w:val="bottom"/>
          </w:tcPr>
          <w:p>
            <w:pPr>
              <w:jc w:val="center"/>
              <w:spacing w:after="0"/>
              <w:rPr>
                <w:sz w:val="20"/>
                <w:szCs w:val="20"/>
                <w:color w:val="auto"/>
              </w:rPr>
            </w:pPr>
            <w:r>
              <w:rPr>
                <w:rFonts w:ascii="Arial" w:cs="Arial" w:eastAsia="Arial" w:hAnsi="Arial"/>
                <w:sz w:val="16"/>
                <w:szCs w:val="16"/>
                <w:color w:val="FFC03C"/>
              </w:rPr>
              <w:t xml:space="preserve">4 </w:t>
            </w:r>
            <w:r>
              <w:rPr>
                <w:rFonts w:ascii="Arial" w:cs="Arial" w:eastAsia="Arial" w:hAnsi="Arial"/>
                <w:sz w:val="16"/>
                <w:szCs w:val="16"/>
                <w:color w:val="006DB6"/>
              </w:rPr>
              <w:t>Experience in Industry</w:t>
            </w:r>
          </w:p>
        </w:tc>
        <w:tc>
          <w:tcPr>
            <w:tcW w:w="1960" w:type="dxa"/>
            <w:vAlign w:val="bottom"/>
          </w:tcPr>
          <w:p>
            <w:pPr>
              <w:jc w:val="center"/>
              <w:ind w:left="559"/>
              <w:spacing w:after="0"/>
              <w:rPr>
                <w:sz w:val="20"/>
                <w:szCs w:val="20"/>
                <w:color w:val="auto"/>
              </w:rPr>
            </w:pPr>
            <w:r>
              <w:rPr>
                <w:rFonts w:ascii="Arial" w:cs="Arial" w:eastAsia="Arial" w:hAnsi="Arial"/>
                <w:sz w:val="16"/>
                <w:szCs w:val="16"/>
                <w:color w:val="FFC03C"/>
              </w:rPr>
              <w:t xml:space="preserve">7 </w:t>
            </w:r>
            <w:r>
              <w:rPr>
                <w:rFonts w:ascii="Arial" w:cs="Arial" w:eastAsia="Arial" w:hAnsi="Arial"/>
                <w:sz w:val="16"/>
                <w:szCs w:val="16"/>
                <w:color w:val="006DB6"/>
              </w:rPr>
              <w:t>Public Company</w:t>
            </w:r>
          </w:p>
        </w:tc>
        <w:tc>
          <w:tcPr>
            <w:tcW w:w="0" w:type="dxa"/>
            <w:vAlign w:val="bottom"/>
          </w:tcPr>
          <w:p>
            <w:pPr>
              <w:spacing w:after="0"/>
              <w:rPr>
                <w:sz w:val="1"/>
                <w:szCs w:val="1"/>
                <w:color w:val="auto"/>
              </w:rPr>
            </w:pPr>
          </w:p>
        </w:tc>
      </w:tr>
      <w:tr>
        <w:trPr>
          <w:trHeight w:val="189"/>
        </w:trPr>
        <w:tc>
          <w:tcPr>
            <w:tcW w:w="1660" w:type="dxa"/>
            <w:vAlign w:val="bottom"/>
          </w:tcPr>
          <w:p>
            <w:pPr>
              <w:ind w:left="20"/>
              <w:spacing w:after="0"/>
              <w:rPr>
                <w:sz w:val="20"/>
                <w:szCs w:val="20"/>
                <w:color w:val="auto"/>
              </w:rPr>
            </w:pPr>
            <w:r>
              <w:rPr>
                <w:rFonts w:ascii="Arial" w:cs="Arial" w:eastAsia="Arial" w:hAnsi="Arial"/>
                <w:sz w:val="16"/>
                <w:szCs w:val="16"/>
                <w:color w:val="006DB6"/>
              </w:rPr>
              <w:t>Leadership</w:t>
            </w:r>
          </w:p>
        </w:tc>
        <w:tc>
          <w:tcPr>
            <w:tcW w:w="2880" w:type="dxa"/>
            <w:vAlign w:val="bottom"/>
          </w:tcPr>
          <w:p>
            <w:pPr>
              <w:jc w:val="center"/>
              <w:ind w:left="159"/>
              <w:spacing w:after="0"/>
              <w:rPr>
                <w:sz w:val="20"/>
                <w:szCs w:val="20"/>
                <w:color w:val="auto"/>
              </w:rPr>
            </w:pPr>
            <w:r>
              <w:rPr>
                <w:rFonts w:ascii="Arial" w:cs="Arial" w:eastAsia="Arial" w:hAnsi="Arial"/>
                <w:sz w:val="16"/>
                <w:szCs w:val="16"/>
                <w:color w:val="006DB6"/>
              </w:rPr>
              <w:t>Real Estate and</w:t>
            </w:r>
          </w:p>
        </w:tc>
        <w:tc>
          <w:tcPr>
            <w:tcW w:w="3000" w:type="dxa"/>
            <w:vAlign w:val="bottom"/>
          </w:tcPr>
          <w:p>
            <w:pPr>
              <w:jc w:val="center"/>
              <w:spacing w:after="0"/>
              <w:rPr>
                <w:sz w:val="20"/>
                <w:szCs w:val="20"/>
                <w:color w:val="auto"/>
              </w:rPr>
            </w:pPr>
            <w:r>
              <w:rPr>
                <w:rFonts w:ascii="Arial" w:cs="Arial" w:eastAsia="Arial" w:hAnsi="Arial"/>
                <w:sz w:val="16"/>
                <w:szCs w:val="16"/>
                <w:color w:val="006DB6"/>
              </w:rPr>
              <w:t>of Primary Customers</w:t>
            </w:r>
          </w:p>
        </w:tc>
        <w:tc>
          <w:tcPr>
            <w:tcW w:w="1960" w:type="dxa"/>
            <w:vAlign w:val="bottom"/>
          </w:tcPr>
          <w:p>
            <w:pPr>
              <w:jc w:val="center"/>
              <w:ind w:left="559"/>
              <w:spacing w:after="0"/>
              <w:rPr>
                <w:sz w:val="20"/>
                <w:szCs w:val="20"/>
                <w:color w:val="auto"/>
              </w:rPr>
            </w:pPr>
            <w:r>
              <w:rPr>
                <w:rFonts w:ascii="Arial" w:cs="Arial" w:eastAsia="Arial" w:hAnsi="Arial"/>
                <w:sz w:val="16"/>
                <w:szCs w:val="16"/>
                <w:color w:val="006DB6"/>
              </w:rPr>
              <w:t>CEO or C-Suite</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2880" w:type="dxa"/>
            <w:vAlign w:val="bottom"/>
          </w:tcPr>
          <w:p>
            <w:pPr>
              <w:jc w:val="center"/>
              <w:ind w:left="159"/>
              <w:spacing w:after="0"/>
              <w:rPr>
                <w:sz w:val="20"/>
                <w:szCs w:val="20"/>
                <w:color w:val="auto"/>
              </w:rPr>
            </w:pPr>
            <w:r>
              <w:rPr>
                <w:rFonts w:ascii="Arial" w:cs="Arial" w:eastAsia="Arial" w:hAnsi="Arial"/>
                <w:sz w:val="16"/>
                <w:szCs w:val="16"/>
                <w:color w:val="006DB6"/>
              </w:rPr>
              <w:t>Hospitality</w:t>
            </w:r>
          </w:p>
        </w:tc>
        <w:tc>
          <w:tcPr>
            <w:tcW w:w="3000" w:type="dxa"/>
            <w:vAlign w:val="bottom"/>
          </w:tcPr>
          <w:p>
            <w:pPr>
              <w:spacing w:after="0"/>
              <w:rPr>
                <w:sz w:val="17"/>
                <w:szCs w:val="17"/>
                <w:color w:val="auto"/>
              </w:rPr>
            </w:pPr>
          </w:p>
        </w:tc>
        <w:tc>
          <w:tcPr>
            <w:tcW w:w="1960" w:type="dxa"/>
            <w:vAlign w:val="bottom"/>
            <w:vMerge w:val="restart"/>
          </w:tcPr>
          <w:p>
            <w:pPr>
              <w:jc w:val="center"/>
              <w:ind w:left="559"/>
              <w:spacing w:after="0"/>
              <w:rPr>
                <w:sz w:val="20"/>
                <w:szCs w:val="20"/>
                <w:color w:val="auto"/>
              </w:rPr>
            </w:pPr>
            <w:r>
              <w:rPr>
                <w:rFonts w:ascii="Arial" w:cs="Arial" w:eastAsia="Arial" w:hAnsi="Arial"/>
                <w:sz w:val="16"/>
                <w:szCs w:val="16"/>
                <w:color w:val="006DB6"/>
                <w:w w:val="99"/>
              </w:rPr>
              <w:t>Experience</w:t>
            </w:r>
          </w:p>
        </w:tc>
        <w:tc>
          <w:tcPr>
            <w:tcW w:w="0" w:type="dxa"/>
            <w:vAlign w:val="bottom"/>
          </w:tcPr>
          <w:p>
            <w:pPr>
              <w:spacing w:after="0"/>
              <w:rPr>
                <w:sz w:val="1"/>
                <w:szCs w:val="1"/>
                <w:color w:val="auto"/>
              </w:rPr>
            </w:pPr>
          </w:p>
        </w:tc>
      </w:tr>
      <w:tr>
        <w:trPr>
          <w:trHeight w:val="52"/>
        </w:trPr>
        <w:tc>
          <w:tcPr>
            <w:tcW w:w="166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0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44450</wp:posOffset>
            </wp:positionV>
            <wp:extent cx="539750" cy="539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44450</wp:posOffset>
            </wp:positionV>
            <wp:extent cx="539750" cy="539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44450</wp:posOffset>
            </wp:positionV>
            <wp:extent cx="539750" cy="539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9750" cy="53975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44450</wp:posOffset>
            </wp:positionV>
            <wp:extent cx="539750" cy="539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97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20"/>
        <w:spacing w:after="0"/>
        <w:tabs>
          <w:tab w:leader="none" w:pos="3680" w:val="left"/>
          <w:tab w:leader="none" w:pos="6380" w:val="left"/>
          <w:tab w:leader="none" w:pos="9160" w:val="left"/>
        </w:tabs>
        <w:rPr>
          <w:sz w:val="20"/>
          <w:szCs w:val="20"/>
          <w:color w:val="auto"/>
        </w:rPr>
      </w:pPr>
      <w:r>
        <w:rPr>
          <w:rFonts w:ascii="Arial" w:cs="Arial" w:eastAsia="Arial" w:hAnsi="Arial"/>
          <w:sz w:val="16"/>
          <w:szCs w:val="16"/>
          <w:color w:val="FFC03C"/>
        </w:rPr>
        <w:t xml:space="preserve">9 </w:t>
      </w:r>
      <w:r>
        <w:rPr>
          <w:rFonts w:ascii="Arial" w:cs="Arial" w:eastAsia="Arial" w:hAnsi="Arial"/>
          <w:sz w:val="16"/>
          <w:szCs w:val="16"/>
          <w:color w:val="006DB6"/>
        </w:rPr>
        <w:t>Financial</w:t>
      </w:r>
      <w:r>
        <w:rPr>
          <w:sz w:val="20"/>
          <w:szCs w:val="20"/>
          <w:color w:val="auto"/>
        </w:rPr>
        <w:tab/>
      </w:r>
      <w:r>
        <w:rPr>
          <w:rFonts w:ascii="Arial" w:cs="Arial" w:eastAsia="Arial" w:hAnsi="Arial"/>
          <w:sz w:val="16"/>
          <w:szCs w:val="16"/>
          <w:color w:val="FFC03C"/>
        </w:rPr>
        <w:t xml:space="preserve">8 </w:t>
      </w:r>
      <w:r>
        <w:rPr>
          <w:rFonts w:ascii="Arial" w:cs="Arial" w:eastAsia="Arial" w:hAnsi="Arial"/>
          <w:sz w:val="16"/>
          <w:szCs w:val="16"/>
          <w:color w:val="006DB6"/>
        </w:rPr>
        <w:t>International</w:t>
      </w:r>
      <w:r>
        <w:rPr>
          <w:sz w:val="20"/>
          <w:szCs w:val="20"/>
          <w:color w:val="auto"/>
        </w:rPr>
        <w:tab/>
      </w:r>
      <w:r>
        <w:rPr>
          <w:rFonts w:ascii="Arial" w:cs="Arial" w:eastAsia="Arial" w:hAnsi="Arial"/>
          <w:sz w:val="16"/>
          <w:szCs w:val="16"/>
          <w:color w:val="FFC03C"/>
        </w:rPr>
        <w:t xml:space="preserve">5 </w:t>
      </w:r>
      <w:r>
        <w:rPr>
          <w:rFonts w:ascii="Arial" w:cs="Arial" w:eastAsia="Arial" w:hAnsi="Arial"/>
          <w:sz w:val="16"/>
          <w:szCs w:val="16"/>
          <w:color w:val="006DB6"/>
        </w:rPr>
        <w:t>Health Safety &amp;</w:t>
      </w:r>
      <w:r>
        <w:rPr>
          <w:sz w:val="20"/>
          <w:szCs w:val="20"/>
          <w:color w:val="auto"/>
        </w:rPr>
        <w:tab/>
      </w:r>
      <w:r>
        <w:rPr>
          <w:rFonts w:ascii="Arial" w:cs="Arial" w:eastAsia="Arial" w:hAnsi="Arial"/>
          <w:sz w:val="16"/>
          <w:szCs w:val="16"/>
          <w:color w:val="FFC03C"/>
        </w:rPr>
        <w:t xml:space="preserve">9 </w:t>
      </w:r>
      <w:r>
        <w:rPr>
          <w:rFonts w:ascii="Arial" w:cs="Arial" w:eastAsia="Arial" w:hAnsi="Arial"/>
          <w:sz w:val="16"/>
          <w:szCs w:val="16"/>
          <w:color w:val="006DB6"/>
        </w:rPr>
        <w:t>Public Company</w:t>
      </w:r>
    </w:p>
    <w:p>
      <w:pPr>
        <w:spacing w:after="0" w:line="8" w:lineRule="exact"/>
        <w:rPr>
          <w:sz w:val="20"/>
          <w:szCs w:val="20"/>
          <w:color w:val="auto"/>
        </w:rPr>
      </w:pPr>
    </w:p>
    <w:p>
      <w:pPr>
        <w:ind w:left="3820"/>
        <w:spacing w:after="0"/>
        <w:tabs>
          <w:tab w:leader="none" w:pos="6120" w:val="left"/>
          <w:tab w:leader="none" w:pos="9100" w:val="left"/>
        </w:tabs>
        <w:rPr>
          <w:sz w:val="20"/>
          <w:szCs w:val="20"/>
          <w:color w:val="auto"/>
        </w:rPr>
      </w:pPr>
      <w:r>
        <w:rPr>
          <w:rFonts w:ascii="Arial" w:cs="Arial" w:eastAsia="Arial" w:hAnsi="Arial"/>
          <w:sz w:val="16"/>
          <w:szCs w:val="16"/>
          <w:color w:val="006DB6"/>
        </w:rPr>
        <w:t>Operations</w:t>
      </w:r>
      <w:r>
        <w:rPr>
          <w:sz w:val="20"/>
          <w:szCs w:val="20"/>
          <w:color w:val="auto"/>
        </w:rPr>
        <w:tab/>
      </w:r>
      <w:r>
        <w:rPr>
          <w:rFonts w:ascii="Arial" w:cs="Arial" w:eastAsia="Arial" w:hAnsi="Arial"/>
          <w:sz w:val="16"/>
          <w:szCs w:val="16"/>
          <w:color w:val="006DB6"/>
        </w:rPr>
        <w:t>Environment Experience</w:t>
      </w:r>
      <w:r>
        <w:rPr>
          <w:sz w:val="20"/>
          <w:szCs w:val="20"/>
          <w:color w:val="auto"/>
        </w:rPr>
        <w:tab/>
      </w:r>
      <w:r>
        <w:rPr>
          <w:rFonts w:ascii="Arial" w:cs="Arial" w:eastAsia="Arial" w:hAnsi="Arial"/>
          <w:sz w:val="16"/>
          <w:szCs w:val="16"/>
          <w:color w:val="006DB6"/>
        </w:rPr>
        <w:t>Director Experience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3566160" cy="2682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66160" cy="2682875"/>
                    </a:xfrm>
                    <a:prstGeom prst="rect">
                      <a:avLst/>
                    </a:prstGeom>
                    <a:noFill/>
                  </pic:spPr>
                </pic:pic>
              </a:graphicData>
            </a:graphic>
          </wp:anchor>
        </w:drawing>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45" w:lineRule="exact"/>
        <w:rPr>
          <w:sz w:val="20"/>
          <w:szCs w:val="20"/>
          <w:color w:val="auto"/>
        </w:rPr>
      </w:pPr>
    </w:p>
    <w:p>
      <w:pPr>
        <w:ind w:left="220" w:right="1860"/>
        <w:spacing w:after="0" w:line="343" w:lineRule="auto"/>
        <w:rPr>
          <w:sz w:val="20"/>
          <w:szCs w:val="20"/>
          <w:color w:val="auto"/>
        </w:rPr>
      </w:pPr>
      <w:r>
        <w:rPr>
          <w:sz w:val="1"/>
          <w:szCs w:val="1"/>
          <w:color w:val="auto"/>
        </w:rPr>
        <w:drawing>
          <wp:inline distT="0" distB="0" distL="0" distR="0">
            <wp:extent cx="68580" cy="603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 </w:t>
      </w:r>
      <w:r>
        <w:rPr>
          <w:sz w:val="1"/>
          <w:szCs w:val="1"/>
          <w:color w:val="auto"/>
        </w:rPr>
        <w:drawing>
          <wp:inline distT="0" distB="0" distL="0" distR="0">
            <wp:extent cx="68580" cy="603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spacing w:after="0" w:line="1" w:lineRule="exact"/>
        <w:rPr>
          <w:sz w:val="20"/>
          <w:szCs w:val="20"/>
          <w:color w:val="auto"/>
        </w:rPr>
      </w:pPr>
    </w:p>
    <w:p>
      <w:pPr>
        <w:ind w:left="420" w:right="80" w:hanging="203"/>
        <w:spacing w:after="0"/>
        <w:rPr>
          <w:sz w:val="20"/>
          <w:szCs w:val="20"/>
          <w:color w:val="auto"/>
        </w:rPr>
      </w:pPr>
      <w:r>
        <w:rPr>
          <w:sz w:val="1"/>
          <w:szCs w:val="1"/>
          <w:color w:val="auto"/>
        </w:rPr>
        <w:drawing>
          <wp:inline distT="0" distB="0" distL="0" distR="0">
            <wp:extent cx="68580" cy="603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42"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composed of independent directors</w:t>
      </w:r>
    </w:p>
    <w:p>
      <w:pPr>
        <w:spacing w:after="0" w:line="86"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603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55" w:lineRule="exact"/>
        <w:rPr>
          <w:sz w:val="20"/>
          <w:szCs w:val="20"/>
          <w:color w:val="auto"/>
        </w:rPr>
      </w:pPr>
    </w:p>
    <w:p>
      <w:pPr>
        <w:ind w:left="420" w:right="780" w:hanging="203"/>
        <w:spacing w:after="0"/>
        <w:rPr>
          <w:sz w:val="20"/>
          <w:szCs w:val="20"/>
          <w:color w:val="auto"/>
        </w:rPr>
      </w:pPr>
      <w:r>
        <w:rPr>
          <w:sz w:val="1"/>
          <w:szCs w:val="1"/>
          <w:color w:val="auto"/>
        </w:rPr>
        <w:drawing>
          <wp:inline distT="0" distB="0" distL="0" distR="0">
            <wp:extent cx="68580" cy="603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enterprise risk</w:t>
      </w:r>
    </w:p>
    <w:p>
      <w:pPr>
        <w:spacing w:after="0" w:line="73" w:lineRule="exact"/>
        <w:rPr>
          <w:sz w:val="20"/>
          <w:szCs w:val="20"/>
          <w:color w:val="auto"/>
        </w:rPr>
      </w:pPr>
    </w:p>
    <w:p>
      <w:pPr>
        <w:ind w:left="420" w:right="380" w:hanging="203"/>
        <w:spacing w:after="0"/>
        <w:rPr>
          <w:sz w:val="20"/>
          <w:szCs w:val="20"/>
          <w:color w:val="auto"/>
        </w:rPr>
      </w:pPr>
      <w:r>
        <w:rPr>
          <w:sz w:val="1"/>
          <w:szCs w:val="1"/>
          <w:color w:val="auto"/>
        </w:rPr>
        <w:drawing>
          <wp:inline distT="0" distB="0" distL="0" distR="0">
            <wp:extent cx="68580" cy="603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42" w:lineRule="exact"/>
        <w:rPr>
          <w:sz w:val="20"/>
          <w:szCs w:val="20"/>
          <w:color w:val="auto"/>
        </w:rPr>
      </w:pPr>
    </w:p>
    <w:p>
      <w:pPr>
        <w:ind w:left="420" w:right="280" w:hanging="203"/>
        <w:spacing w:after="0"/>
        <w:rPr>
          <w:sz w:val="20"/>
          <w:szCs w:val="20"/>
          <w:color w:val="auto"/>
        </w:rPr>
      </w:pPr>
      <w:r>
        <w:rPr>
          <w:sz w:val="1"/>
          <w:szCs w:val="1"/>
          <w:color w:val="auto"/>
        </w:rPr>
        <w:drawing>
          <wp:inline distT="0" distB="0" distL="0" distR="0">
            <wp:extent cx="68580" cy="603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Oversight of environmental, social and governance ("ESG") matters directly assigned to the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-147320</wp:posOffset>
            </wp:positionV>
            <wp:extent cx="3566160" cy="2682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66160" cy="2682875"/>
                    </a:xfrm>
                    <a:prstGeom prst="rect">
                      <a:avLst/>
                    </a:prstGeom>
                    <a:noFill/>
                  </pic:spPr>
                </pic:pic>
              </a:graphicData>
            </a:graphic>
          </wp:anchor>
        </w:drawing>
      </w:r>
    </w:p>
    <w:p>
      <w:pPr>
        <w:spacing w:after="0" w:line="125"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603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trading transactions by executive officers or directors</w:t>
      </w:r>
    </w:p>
    <w:p>
      <w:pPr>
        <w:spacing w:after="0" w:line="55" w:lineRule="exact"/>
        <w:rPr>
          <w:sz w:val="20"/>
          <w:szCs w:val="20"/>
          <w:color w:val="auto"/>
        </w:rPr>
      </w:pPr>
    </w:p>
    <w:p>
      <w:pPr>
        <w:ind w:left="220" w:right="740" w:hanging="203"/>
        <w:spacing w:after="0"/>
        <w:rPr>
          <w:sz w:val="20"/>
          <w:szCs w:val="20"/>
          <w:color w:val="auto"/>
        </w:rPr>
      </w:pPr>
      <w:r>
        <w:rPr>
          <w:sz w:val="1"/>
          <w:szCs w:val="1"/>
          <w:color w:val="auto"/>
        </w:rPr>
        <w:drawing>
          <wp:inline distT="0" distB="0" distL="0" distR="0">
            <wp:extent cx="68580" cy="603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Stock ownership guidelines applicable to executive officers and directors</w:t>
      </w:r>
    </w:p>
    <w:p>
      <w:pPr>
        <w:spacing w:after="0" w:line="55"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603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55" w:lineRule="exact"/>
        <w:rPr>
          <w:sz w:val="20"/>
          <w:szCs w:val="20"/>
          <w:color w:val="auto"/>
        </w:rPr>
      </w:pPr>
    </w:p>
    <w:p>
      <w:pPr>
        <w:ind w:left="220" w:right="220" w:hanging="203"/>
        <w:spacing w:after="0"/>
        <w:rPr>
          <w:sz w:val="20"/>
          <w:szCs w:val="20"/>
          <w:color w:val="auto"/>
        </w:rPr>
      </w:pPr>
      <w:r>
        <w:rPr>
          <w:sz w:val="1"/>
          <w:szCs w:val="1"/>
          <w:color w:val="auto"/>
        </w:rPr>
        <w:drawing>
          <wp:inline distT="0" distB="0" distL="0" distR="0">
            <wp:extent cx="68580" cy="5969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86"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executive succession planning</w:t>
      </w:r>
    </w:p>
    <w:p>
      <w:pPr>
        <w:spacing w:after="0" w:line="86" w:lineRule="exact"/>
        <w:rPr>
          <w:sz w:val="20"/>
          <w:szCs w:val="20"/>
          <w:color w:val="auto"/>
        </w:rPr>
      </w:pPr>
    </w:p>
    <w:p>
      <w:pPr>
        <w:ind w:left="220" w:right="500" w:hanging="203"/>
        <w:spacing w:after="0"/>
        <w:rPr>
          <w:sz w:val="20"/>
          <w:szCs w:val="20"/>
          <w:color w:val="auto"/>
        </w:rPr>
      </w:pPr>
      <w:r>
        <w:rPr>
          <w:sz w:val="1"/>
          <w:szCs w:val="1"/>
          <w:color w:val="auto"/>
        </w:rPr>
        <w:drawing>
          <wp:inline distT="0" distB="0" distL="0" distR="0">
            <wp:extent cx="68580" cy="603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Clawback policy consistent with the requirements of Exchange Act Rule 10D-1 and applicable NYSE listing standards</w:t>
      </w:r>
    </w:p>
    <w:p>
      <w:pPr>
        <w:spacing w:after="0" w:line="55" w:lineRule="exact"/>
        <w:rPr>
          <w:sz w:val="20"/>
          <w:szCs w:val="20"/>
          <w:color w:val="auto"/>
        </w:rPr>
      </w:pPr>
    </w:p>
    <w:p>
      <w:pPr>
        <w:ind w:left="220" w:right="540" w:hanging="203"/>
        <w:spacing w:after="0"/>
        <w:rPr>
          <w:sz w:val="20"/>
          <w:szCs w:val="20"/>
          <w:color w:val="auto"/>
        </w:rPr>
      </w:pPr>
      <w:r>
        <w:rPr>
          <w:sz w:val="1"/>
          <w:szCs w:val="1"/>
          <w:color w:val="auto"/>
        </w:rPr>
        <w:drawing>
          <wp:inline distT="0" distB="0" distL="0" distR="0">
            <wp:extent cx="68580" cy="603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and cyber related risks</w:t>
      </w:r>
    </w:p>
    <w:p>
      <w:pPr>
        <w:spacing w:after="0" w:line="658" w:lineRule="exact"/>
        <w:rPr>
          <w:sz w:val="20"/>
          <w:szCs w:val="20"/>
          <w:color w:val="auto"/>
        </w:rPr>
      </w:pPr>
    </w:p>
    <w:p>
      <w:pPr>
        <w:sectPr>
          <w:pgSz w:w="11900" w:h="16838" w:orient="portrait"/>
          <w:cols w:equalWidth="0" w:num="2">
            <w:col w:w="5480" w:space="340"/>
            <w:col w:w="5420"/>
          </w:cols>
          <w:pgMar w:left="320" w:top="125" w:right="339" w:bottom="1440" w:gutter="0" w:footer="0" w:header="0"/>
          <w:type w:val="continuous"/>
        </w:sectPr>
      </w:pPr>
    </w:p>
    <w:p>
      <w:pPr>
        <w:spacing w:after="0" w:line="387" w:lineRule="exact"/>
        <w:rPr>
          <w:sz w:val="20"/>
          <w:szCs w:val="20"/>
          <w:color w:val="auto"/>
        </w:rPr>
      </w:pPr>
    </w:p>
    <w:p>
      <w:pPr>
        <w:ind w:left="9260"/>
        <w:spacing w:after="0"/>
        <w:tabs>
          <w:tab w:leader="none" w:pos="11120" w:val="left"/>
        </w:tabs>
        <w:rPr>
          <w:sz w:val="20"/>
          <w:szCs w:val="20"/>
          <w:color w:val="auto"/>
        </w:rPr>
      </w:pP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06DB6"/>
        </w:rPr>
        <w:t>Proxy Statement Summary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Responsibility at Civeo</w:t>
      </w:r>
    </w:p>
    <w:p>
      <w:pPr>
        <w:spacing w:after="0" w:line="1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p>
      <w:pPr>
        <w:spacing w:after="0" w:line="92" w:lineRule="exact"/>
        <w:rPr>
          <w:sz w:val="20"/>
          <w:szCs w:val="20"/>
          <w:color w:val="auto"/>
        </w:rPr>
      </w:pPr>
    </w:p>
    <w:tbl>
      <w:tblPr>
        <w:tblLayout w:type="fixed"/>
        <w:tblInd w:w="440" w:type="dxa"/>
        <w:tblCellMar>
          <w:top w:w="0" w:type="dxa"/>
          <w:left w:w="0" w:type="dxa"/>
          <w:bottom w:w="0" w:type="dxa"/>
          <w:right w:w="0" w:type="dxa"/>
        </w:tblCellMar>
      </w:tblPr>
      <w:tr>
        <w:trPr>
          <w:trHeight w:val="243"/>
        </w:trPr>
        <w:tc>
          <w:tcPr>
            <w:tcW w:w="1280" w:type="dxa"/>
            <w:vAlign w:val="bottom"/>
          </w:tcPr>
          <w:p>
            <w:pPr>
              <w:spacing w:after="0"/>
              <w:rPr>
                <w:sz w:val="20"/>
                <w:szCs w:val="20"/>
                <w:color w:val="auto"/>
              </w:rPr>
            </w:pPr>
            <w:r>
              <w:rPr>
                <w:rFonts w:ascii="Arial" w:cs="Arial" w:eastAsia="Arial" w:hAnsi="Arial"/>
                <w:sz w:val="16"/>
                <w:szCs w:val="16"/>
                <w:b w:val="1"/>
                <w:bCs w:val="1"/>
                <w:color w:val="006DB6"/>
              </w:rPr>
              <w:t>OUR PEOPLE</w:t>
            </w:r>
          </w:p>
        </w:tc>
        <w:tc>
          <w:tcPr>
            <w:tcW w:w="340" w:type="dxa"/>
            <w:vAlign w:val="bottom"/>
          </w:tcPr>
          <w:p>
            <w:pPr>
              <w:ind w:left="220"/>
              <w:spacing w:after="0"/>
              <w:rPr>
                <w:sz w:val="20"/>
                <w:szCs w:val="20"/>
                <w:color w:val="auto"/>
              </w:rPr>
            </w:pPr>
            <w:r>
              <w:rPr>
                <w:rFonts w:ascii="Arial" w:cs="Arial" w:eastAsia="Arial" w:hAnsi="Arial"/>
                <w:sz w:val="16"/>
                <w:szCs w:val="16"/>
                <w:color w:val="006DB6"/>
              </w:rPr>
              <w:t>•</w:t>
            </w:r>
          </w:p>
        </w:tc>
        <w:tc>
          <w:tcPr>
            <w:tcW w:w="9040" w:type="dxa"/>
            <w:vAlign w:val="bottom"/>
          </w:tcPr>
          <w:p>
            <w:pPr>
              <w:ind w:left="40"/>
              <w:spacing w:after="0"/>
              <w:rPr>
                <w:sz w:val="20"/>
                <w:szCs w:val="20"/>
                <w:color w:val="auto"/>
              </w:rPr>
            </w:pPr>
            <w:r>
              <w:rPr>
                <w:rFonts w:ascii="Arial" w:cs="Arial" w:eastAsia="Arial" w:hAnsi="Arial"/>
                <w:sz w:val="16"/>
                <w:szCs w:val="16"/>
                <w:color w:val="auto"/>
              </w:rPr>
              <w:t>In 2023, we maintained 7% Indigenous employment in Canada despite challenging market conditions that resulted in reduced</w:t>
            </w:r>
          </w:p>
        </w:tc>
      </w:tr>
      <w:tr>
        <w:trPr>
          <w:trHeight w:val="215"/>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tcPr>
          <w:p>
            <w:pPr>
              <w:ind w:left="80"/>
              <w:spacing w:after="0"/>
              <w:rPr>
                <w:sz w:val="20"/>
                <w:szCs w:val="20"/>
                <w:color w:val="auto"/>
              </w:rPr>
            </w:pPr>
            <w:r>
              <w:rPr>
                <w:rFonts w:ascii="Arial" w:cs="Arial" w:eastAsia="Arial" w:hAnsi="Arial"/>
                <w:sz w:val="16"/>
                <w:szCs w:val="16"/>
                <w:color w:val="auto"/>
              </w:rPr>
              <w:t>hiring in the region. Approximately 6% of our total new hires in Canada identified as an Indigenous background during 2023.</w:t>
            </w:r>
          </w:p>
        </w:tc>
      </w:tr>
      <w:tr>
        <w:trPr>
          <w:trHeight w:val="270"/>
        </w:trPr>
        <w:tc>
          <w:tcPr>
            <w:tcW w:w="1280" w:type="dxa"/>
            <w:vAlign w:val="bottom"/>
          </w:tcPr>
          <w:p>
            <w:pPr>
              <w:spacing w:after="0"/>
              <w:rPr>
                <w:sz w:val="23"/>
                <w:szCs w:val="23"/>
                <w:color w:val="auto"/>
              </w:rPr>
            </w:pPr>
          </w:p>
        </w:tc>
        <w:tc>
          <w:tcPr>
            <w:tcW w:w="9380" w:type="dxa"/>
            <w:vAlign w:val="bottom"/>
            <w:gridSpan w:val="2"/>
          </w:tcPr>
          <w:p>
            <w:pPr>
              <w:ind w:left="22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Civeo has a formal Global Human Rights policy, which is posted to our website.</w:t>
            </w:r>
          </w:p>
        </w:tc>
      </w:tr>
      <w:tr>
        <w:trPr>
          <w:trHeight w:val="244"/>
        </w:trPr>
        <w:tc>
          <w:tcPr>
            <w:tcW w:w="1280" w:type="dxa"/>
            <w:vAlign w:val="bottom"/>
          </w:tcPr>
          <w:p>
            <w:pPr>
              <w:spacing w:after="0"/>
              <w:rPr>
                <w:sz w:val="21"/>
                <w:szCs w:val="21"/>
                <w:color w:val="auto"/>
              </w:rPr>
            </w:pPr>
          </w:p>
        </w:tc>
        <w:tc>
          <w:tcPr>
            <w:tcW w:w="340" w:type="dxa"/>
            <w:vAlign w:val="bottom"/>
          </w:tcPr>
          <w:p>
            <w:pPr>
              <w:ind w:left="220"/>
              <w:spacing w:after="0"/>
              <w:rPr>
                <w:sz w:val="20"/>
                <w:szCs w:val="20"/>
                <w:color w:val="auto"/>
              </w:rPr>
            </w:pPr>
            <w:r>
              <w:rPr>
                <w:rFonts w:ascii="Arial" w:cs="Arial" w:eastAsia="Arial" w:hAnsi="Arial"/>
                <w:sz w:val="16"/>
                <w:szCs w:val="16"/>
                <w:color w:val="006DB6"/>
              </w:rPr>
              <w:t>•</w:t>
            </w:r>
          </w:p>
        </w:tc>
        <w:tc>
          <w:tcPr>
            <w:tcW w:w="9040" w:type="dxa"/>
            <w:vAlign w:val="bottom"/>
          </w:tcPr>
          <w:p>
            <w:pPr>
              <w:ind w:left="40"/>
              <w:spacing w:after="0"/>
              <w:rPr>
                <w:sz w:val="20"/>
                <w:szCs w:val="20"/>
                <w:color w:val="auto"/>
              </w:rPr>
            </w:pPr>
            <w:r>
              <w:rPr>
                <w:rFonts w:ascii="Arial" w:cs="Arial" w:eastAsia="Arial" w:hAnsi="Arial"/>
                <w:sz w:val="16"/>
                <w:szCs w:val="16"/>
                <w:color w:val="auto"/>
              </w:rPr>
              <w:t>We have a program to facilitate mentoring relationships between experienced leaders in Civeo and employees who are at the</w:t>
            </w:r>
          </w:p>
        </w:tc>
      </w:tr>
      <w:tr>
        <w:trPr>
          <w:trHeight w:val="215"/>
        </w:trPr>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40" w:type="dxa"/>
            <w:vAlign w:val="bottom"/>
          </w:tcPr>
          <w:p>
            <w:pPr>
              <w:ind w:left="80"/>
              <w:spacing w:after="0"/>
              <w:rPr>
                <w:sz w:val="20"/>
                <w:szCs w:val="20"/>
                <w:color w:val="auto"/>
              </w:rPr>
            </w:pPr>
            <w:r>
              <w:rPr>
                <w:rFonts w:ascii="Arial" w:cs="Arial" w:eastAsia="Arial" w:hAnsi="Arial"/>
                <w:sz w:val="16"/>
                <w:szCs w:val="16"/>
                <w:color w:val="auto"/>
              </w:rPr>
              <w:t>early stages of their careers.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-606425</wp:posOffset>
            </wp:positionV>
            <wp:extent cx="565785" cy="377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 cy="377190"/>
                    </a:xfrm>
                    <a:prstGeom prst="rect">
                      <a:avLst/>
                    </a:prstGeom>
                    <a:noFill/>
                  </pic:spPr>
                </pic:pic>
              </a:graphicData>
            </a:graphic>
          </wp:anchor>
        </w:drawing>
      </w:r>
    </w:p>
    <w:p>
      <w:pPr>
        <w:spacing w:after="0" w:line="37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32"/>
          <w:szCs w:val="32"/>
          <w:b w:val="1"/>
          <w:bCs w:val="1"/>
          <w:color w:val="006DB6"/>
          <w:vertAlign w:val="superscript"/>
        </w:rPr>
        <w:t>SAFETY</w:t>
      </w:r>
      <w:r>
        <w:rPr>
          <w:sz w:val="20"/>
          <w:szCs w:val="20"/>
          <w:color w:val="auto"/>
        </w:rPr>
        <w:tab/>
      </w:r>
      <w:r>
        <w:rPr>
          <w:rFonts w:ascii="Arial" w:cs="Arial" w:eastAsia="Arial" w:hAnsi="Arial"/>
          <w:sz w:val="16"/>
          <w:szCs w:val="16"/>
          <w:color w:val="006DB6"/>
        </w:rPr>
        <w:t xml:space="preserve">• </w:t>
      </w:r>
      <w:r>
        <w:rPr>
          <w:rFonts w:ascii="Arial" w:cs="Arial" w:eastAsia="Arial" w:hAnsi="Arial"/>
          <w:sz w:val="16"/>
          <w:szCs w:val="16"/>
          <w:color w:val="000000"/>
        </w:rPr>
        <w:t>Our safety culture is driven by our leaders, in conjunction with active employee engagement - we follow our long 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15875</wp:posOffset>
            </wp:positionV>
            <wp:extent cx="480060" cy="3689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0060" cy="368935"/>
                    </a:xfrm>
                    <a:prstGeom prst="rect">
                      <a:avLst/>
                    </a:prstGeom>
                    <a:noFill/>
                  </pic:spPr>
                </pic:pic>
              </a:graphicData>
            </a:graphic>
          </wp:anchor>
        </w:drawing>
      </w:r>
    </w:p>
    <w:p>
      <w:pPr>
        <w:spacing w:after="0" w:line="34" w:lineRule="exact"/>
        <w:rPr>
          <w:sz w:val="20"/>
          <w:szCs w:val="20"/>
          <w:color w:val="auto"/>
        </w:rPr>
      </w:pPr>
    </w:p>
    <w:p>
      <w:pPr>
        <w:ind w:left="2140" w:right="100"/>
        <w:spacing w:after="0" w:line="283" w:lineRule="auto"/>
        <w:rPr>
          <w:sz w:val="20"/>
          <w:szCs w:val="20"/>
          <w:color w:val="auto"/>
        </w:rPr>
      </w:pPr>
      <w:r>
        <w:rPr>
          <w:rFonts w:ascii="Arial" w:cs="Arial" w:eastAsia="Arial" w:hAnsi="Arial"/>
          <w:sz w:val="16"/>
          <w:szCs w:val="16"/>
          <w:color w:val="auto"/>
        </w:rPr>
        <w:t>of "Making Zero Count" while focusing on effective leadership, worker competency and promoting a safety culture throughout the entire organization.</w:t>
      </w:r>
    </w:p>
    <w:p>
      <w:pPr>
        <w:spacing w:after="0" w:line="9" w:lineRule="exact"/>
        <w:rPr>
          <w:sz w:val="20"/>
          <w:szCs w:val="20"/>
          <w:color w:val="auto"/>
        </w:rPr>
      </w:pP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Our global Total Recordable Incident Rate of 0.45 is significantly lower than the U.S. accommodation industry average of 4.10.</w:t>
      </w:r>
    </w:p>
    <w:p>
      <w:pPr>
        <w:spacing w:after="0" w:line="86" w:lineRule="exact"/>
        <w:rPr>
          <w:rFonts w:ascii="Arial" w:cs="Arial" w:eastAsia="Arial" w:hAnsi="Arial"/>
          <w:sz w:val="16"/>
          <w:szCs w:val="16"/>
          <w:color w:val="006DB6"/>
        </w:rPr>
      </w:pP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Partnered with RAAG - Road Accident Action Group to facilitate driver awareness initiatives.</w:t>
      </w:r>
    </w:p>
    <w:p>
      <w:pPr>
        <w:spacing w:after="0" w:line="86" w:lineRule="exact"/>
        <w:rPr>
          <w:rFonts w:ascii="Arial" w:cs="Arial" w:eastAsia="Arial" w:hAnsi="Arial"/>
          <w:sz w:val="16"/>
          <w:szCs w:val="16"/>
          <w:color w:val="006DB6"/>
        </w:rPr>
      </w:pP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We have introduced additional driver safety controls, including of in-vehicle monitoring systems in our vehicle fleet.</w:t>
      </w:r>
    </w:p>
    <w:p>
      <w:pPr>
        <w:spacing w:after="0" w:line="72" w:lineRule="exact"/>
        <w:rPr>
          <w:rFonts w:ascii="Arial" w:cs="Arial" w:eastAsia="Arial" w:hAnsi="Arial"/>
          <w:sz w:val="16"/>
          <w:szCs w:val="16"/>
          <w:color w:val="006DB6"/>
        </w:rPr>
      </w:pPr>
    </w:p>
    <w:p>
      <w:pPr>
        <w:ind w:left="2100" w:hanging="157"/>
        <w:spacing w:after="0"/>
        <w:tabs>
          <w:tab w:leader="none" w:pos="2100" w:val="left"/>
        </w:tabs>
        <w:numPr>
          <w:ilvl w:val="0"/>
          <w:numId w:val="7"/>
        </w:numPr>
        <w:rPr>
          <w:rFonts w:ascii="Arial" w:cs="Arial" w:eastAsia="Arial" w:hAnsi="Arial"/>
          <w:sz w:val="16"/>
          <w:szCs w:val="16"/>
          <w:color w:val="006DB6"/>
        </w:rPr>
      </w:pPr>
      <w:r>
        <w:rPr>
          <w:rFonts w:ascii="Arial" w:cs="Arial" w:eastAsia="Arial" w:hAnsi="Arial"/>
          <w:sz w:val="16"/>
          <w:szCs w:val="16"/>
          <w:color w:val="auto"/>
        </w:rPr>
        <w:t>Introduced health and wellness coordinators to help improve work/life balance for our residents.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6DB6"/>
        </w:rPr>
        <w:t>COMMUNITY</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006DB6"/>
        </w:rPr>
        <w:t>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514350" cy="3600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97" w:right="140" w:hanging="197"/>
        <w:spacing w:after="0" w:line="286"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Since 2013, we have supported more than 27 schools across New South Wales, Queensland and Western Australia with our School Mates grants.</w:t>
      </w:r>
    </w:p>
    <w:p>
      <w:pPr>
        <w:spacing w:after="0" w:line="20" w:lineRule="exact"/>
        <w:rPr>
          <w:rFonts w:ascii="Arial" w:cs="Arial" w:eastAsia="Arial" w:hAnsi="Arial"/>
          <w:sz w:val="16"/>
          <w:szCs w:val="16"/>
          <w:color w:val="006DB6"/>
        </w:rPr>
      </w:pPr>
    </w:p>
    <w:p>
      <w:pPr>
        <w:ind w:left="157" w:hanging="157"/>
        <w:spacing w:after="0"/>
        <w:tabs>
          <w:tab w:leader="none" w:pos="15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Donated land for the construction of the Kitimat Dementia House Project.</w:t>
      </w:r>
    </w:p>
    <w:p>
      <w:pPr>
        <w:spacing w:after="0" w:line="86" w:lineRule="exact"/>
        <w:rPr>
          <w:rFonts w:ascii="Arial" w:cs="Arial" w:eastAsia="Arial" w:hAnsi="Arial"/>
          <w:sz w:val="16"/>
          <w:szCs w:val="16"/>
          <w:color w:val="006DB6"/>
        </w:rPr>
      </w:pPr>
    </w:p>
    <w:p>
      <w:pPr>
        <w:ind w:left="157" w:hanging="157"/>
        <w:spacing w:after="0"/>
        <w:tabs>
          <w:tab w:leader="none" w:pos="15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Expanded the small business grant program to five businesses from one business last year.</w:t>
      </w:r>
    </w:p>
    <w:p>
      <w:pPr>
        <w:spacing w:after="0" w:line="72" w:lineRule="exact"/>
        <w:rPr>
          <w:rFonts w:ascii="Arial" w:cs="Arial" w:eastAsia="Arial" w:hAnsi="Arial"/>
          <w:sz w:val="16"/>
          <w:szCs w:val="16"/>
          <w:color w:val="006DB6"/>
        </w:rPr>
      </w:pPr>
    </w:p>
    <w:p>
      <w:pPr>
        <w:ind w:left="197" w:right="40" w:hanging="197"/>
        <w:spacing w:after="0" w:line="299" w:lineRule="auto"/>
        <w:tabs>
          <w:tab w:leader="none" w:pos="167" w:val="left"/>
        </w:tabs>
        <w:numPr>
          <w:ilvl w:val="0"/>
          <w:numId w:val="8"/>
        </w:numPr>
        <w:rPr>
          <w:rFonts w:ascii="Arial" w:cs="Arial" w:eastAsia="Arial" w:hAnsi="Arial"/>
          <w:sz w:val="16"/>
          <w:szCs w:val="16"/>
          <w:color w:val="006DB6"/>
        </w:rPr>
      </w:pPr>
      <w:r>
        <w:rPr>
          <w:rFonts w:ascii="Arial" w:cs="Arial" w:eastAsia="Arial" w:hAnsi="Arial"/>
          <w:sz w:val="16"/>
          <w:szCs w:val="16"/>
          <w:color w:val="auto"/>
        </w:rPr>
        <w:t>We have worked with Edmonton Food Bank, donating over 317 kgs of food and volunteering to sort, package and put together food packages for the community.</w:t>
      </w:r>
    </w:p>
    <w:p>
      <w:pPr>
        <w:ind w:left="157" w:hanging="157"/>
        <w:spacing w:after="0"/>
        <w:tabs>
          <w:tab w:leader="none" w:pos="157" w:val="left"/>
        </w:tabs>
        <w:numPr>
          <w:ilvl w:val="0"/>
          <w:numId w:val="8"/>
        </w:numPr>
        <w:rPr>
          <w:rFonts w:ascii="Arial" w:cs="Arial" w:eastAsia="Arial" w:hAnsi="Arial"/>
          <w:sz w:val="16"/>
          <w:szCs w:val="16"/>
          <w:color w:val="auto"/>
        </w:rPr>
      </w:pPr>
      <w:r>
        <w:rPr>
          <w:rFonts w:ascii="Arial" w:cs="Arial" w:eastAsia="Arial" w:hAnsi="Arial"/>
          <w:sz w:val="16"/>
          <w:szCs w:val="16"/>
          <w:color w:val="auto"/>
        </w:rPr>
        <w:t>Australia Business Association 100 Business Innovation and Community Contribution winner.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114935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00" w:space="343"/>
            <w:col w:w="9237"/>
          </w:cols>
          <w:pgMar w:left="320" w:top="233" w:right="399" w:bottom="1440" w:gutter="0" w:footer="0" w:header="0"/>
          <w:type w:val="continuous"/>
        </w:sectPr>
      </w:pPr>
    </w:p>
    <w:p>
      <w:pPr>
        <w:spacing w:after="0" w:line="48"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INDIGENOUS</w:t>
      </w:r>
    </w:p>
    <w:p>
      <w:pPr>
        <w:spacing w:after="0" w:line="35"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006DB6"/>
        </w:rPr>
        <w:t>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514350" cy="531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97" w:hanging="197"/>
        <w:spacing w:after="0" w:line="286"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In 2023, we purchased more than C$64.0 million in goods and services from the Indigenous business community, representing 27% of our total Canadian local spending.</w:t>
      </w:r>
    </w:p>
    <w:p>
      <w:pPr>
        <w:spacing w:after="0" w:line="20" w:lineRule="exact"/>
        <w:rPr>
          <w:rFonts w:ascii="Arial" w:cs="Arial" w:eastAsia="Arial" w:hAnsi="Arial"/>
          <w:sz w:val="16"/>
          <w:szCs w:val="16"/>
          <w:color w:val="006DB6"/>
        </w:rPr>
      </w:pPr>
    </w:p>
    <w:p>
      <w:pPr>
        <w:ind w:left="197" w:right="120" w:hanging="197"/>
        <w:spacing w:after="0" w:line="275" w:lineRule="auto"/>
        <w:tabs>
          <w:tab w:leader="none" w:pos="16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We spent approximately A$12.3 million with Indigenous-owned and operated companies in Australia in 2023, a 29% increase from 2022, through our membership with Supply Nation, a non-profit organization committed to supplier diversity and Indigenous business developments.</w:t>
      </w:r>
    </w:p>
    <w:p>
      <w:pPr>
        <w:spacing w:after="0" w:line="15" w:lineRule="exact"/>
        <w:rPr>
          <w:rFonts w:ascii="Arial" w:cs="Arial" w:eastAsia="Arial" w:hAnsi="Arial"/>
          <w:sz w:val="16"/>
          <w:szCs w:val="16"/>
          <w:color w:val="006DB6"/>
        </w:rPr>
      </w:pPr>
    </w:p>
    <w:p>
      <w:pPr>
        <w:ind w:left="157" w:hanging="157"/>
        <w:spacing w:after="0"/>
        <w:tabs>
          <w:tab w:leader="none" w:pos="157" w:val="left"/>
        </w:tabs>
        <w:numPr>
          <w:ilvl w:val="0"/>
          <w:numId w:val="9"/>
        </w:numPr>
        <w:rPr>
          <w:rFonts w:ascii="Arial" w:cs="Arial" w:eastAsia="Arial" w:hAnsi="Arial"/>
          <w:sz w:val="16"/>
          <w:szCs w:val="16"/>
          <w:color w:val="006DB6"/>
        </w:rPr>
      </w:pPr>
      <w:r>
        <w:rPr>
          <w:rFonts w:ascii="Arial" w:cs="Arial" w:eastAsia="Arial" w:hAnsi="Arial"/>
          <w:sz w:val="16"/>
          <w:szCs w:val="16"/>
          <w:color w:val="auto"/>
        </w:rPr>
        <w:t>We maintained our Gold level certification in Canada's Progressive Aboriginal Relations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114935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403"/>
            <w:col w:w="9237"/>
          </w:cols>
          <w:pgMar w:left="320" w:top="233" w:right="399" w:bottom="1440" w:gutter="0" w:footer="0" w:header="0"/>
          <w:type w:val="continuous"/>
        </w:sectPr>
      </w:pPr>
    </w:p>
    <w:p>
      <w:pPr>
        <w:spacing w:after="0" w:line="48"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006DB6"/>
        </w:rPr>
        <w:t>ENVIRONMENTAL</w:t>
      </w:r>
    </w:p>
    <w:p>
      <w:pPr>
        <w:spacing w:after="0" w:line="35"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006DB6"/>
        </w:rPr>
        <w:t>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505460" cy="488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5460"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97" w:right="260" w:hanging="197"/>
        <w:spacing w:after="0" w:line="268" w:lineRule="auto"/>
        <w:tabs>
          <w:tab w:leader="none" w:pos="16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We have expanded Containers for Change to all villages where empty eligible drink containers can be returned for a refund helping reduce the amount of plastic waste. The refunded money goes directly to local organizations and charities.</w:t>
      </w:r>
    </w:p>
    <w:p>
      <w:pPr>
        <w:spacing w:after="0" w:line="21" w:lineRule="exact"/>
        <w:rPr>
          <w:rFonts w:ascii="Arial" w:cs="Arial" w:eastAsia="Arial" w:hAnsi="Arial"/>
          <w:sz w:val="16"/>
          <w:szCs w:val="16"/>
          <w:color w:val="006DB6"/>
        </w:rPr>
      </w:pPr>
    </w:p>
    <w:p>
      <w:pPr>
        <w:ind w:left="157" w:hanging="157"/>
        <w:spacing w:after="0"/>
        <w:tabs>
          <w:tab w:leader="none" w:pos="15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Established a Sustainable Energy Working Group.</w:t>
      </w:r>
    </w:p>
    <w:p>
      <w:pPr>
        <w:spacing w:after="0" w:line="86" w:lineRule="exact"/>
        <w:rPr>
          <w:rFonts w:ascii="Arial" w:cs="Arial" w:eastAsia="Arial" w:hAnsi="Arial"/>
          <w:sz w:val="16"/>
          <w:szCs w:val="16"/>
          <w:color w:val="006DB6"/>
        </w:rPr>
      </w:pPr>
    </w:p>
    <w:p>
      <w:pPr>
        <w:ind w:left="157" w:hanging="157"/>
        <w:spacing w:after="0"/>
        <w:tabs>
          <w:tab w:leader="none" w:pos="15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Developed a global water policy.</w:t>
      </w:r>
    </w:p>
    <w:p>
      <w:pPr>
        <w:spacing w:after="0" w:line="59" w:lineRule="exact"/>
        <w:rPr>
          <w:rFonts w:ascii="Arial" w:cs="Arial" w:eastAsia="Arial" w:hAnsi="Arial"/>
          <w:sz w:val="16"/>
          <w:szCs w:val="16"/>
          <w:color w:val="006DB6"/>
        </w:rPr>
      </w:pPr>
    </w:p>
    <w:p>
      <w:pPr>
        <w:ind w:left="157" w:hanging="157"/>
        <w:spacing w:after="0"/>
        <w:tabs>
          <w:tab w:leader="none" w:pos="15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Single-use plastics have been completely eliminated from use in 16 of our owned and/or operated villages in Australia.</w:t>
      </w:r>
    </w:p>
    <w:p>
      <w:pPr>
        <w:spacing w:after="0" w:line="72" w:lineRule="exact"/>
        <w:rPr>
          <w:rFonts w:ascii="Arial" w:cs="Arial" w:eastAsia="Arial" w:hAnsi="Arial"/>
          <w:sz w:val="16"/>
          <w:szCs w:val="16"/>
          <w:color w:val="006DB6"/>
        </w:rPr>
      </w:pPr>
    </w:p>
    <w:p>
      <w:pPr>
        <w:ind w:left="197" w:right="340" w:hanging="197"/>
        <w:spacing w:after="0" w:line="304" w:lineRule="auto"/>
        <w:tabs>
          <w:tab w:leader="none" w:pos="167" w:val="left"/>
        </w:tabs>
        <w:numPr>
          <w:ilvl w:val="0"/>
          <w:numId w:val="10"/>
        </w:numPr>
        <w:rPr>
          <w:rFonts w:ascii="Arial" w:cs="Arial" w:eastAsia="Arial" w:hAnsi="Arial"/>
          <w:sz w:val="16"/>
          <w:szCs w:val="16"/>
          <w:color w:val="006DB6"/>
        </w:rPr>
      </w:pPr>
      <w:r>
        <w:rPr>
          <w:rFonts w:ascii="Arial" w:cs="Arial" w:eastAsia="Arial" w:hAnsi="Arial"/>
          <w:sz w:val="16"/>
          <w:szCs w:val="16"/>
          <w:color w:val="auto"/>
        </w:rPr>
        <w:t>In British Columbia, we work with local contractors to sort our solid waste to remove recyclable materials and compostable organic waste in order to minimize the solid waste that reaches the landfill.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55880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1660" w:space="283"/>
            <w:col w:w="9237"/>
          </w:cols>
          <w:pgMar w:left="320" w:top="233" w:right="399" w:bottom="1440" w:gutter="0" w:footer="0" w:header="0"/>
          <w:type w:val="continuous"/>
        </w:sectPr>
      </w:pPr>
    </w:p>
    <w:tbl>
      <w:tblPr>
        <w:tblLayout w:type="fixed"/>
        <w:tblInd w:w="340" w:type="dxa"/>
        <w:tblCellMar>
          <w:top w:w="0" w:type="dxa"/>
          <w:left w:w="0" w:type="dxa"/>
          <w:bottom w:w="0" w:type="dxa"/>
          <w:right w:w="0" w:type="dxa"/>
        </w:tblCellMar>
      </w:tblPr>
      <w:tr>
        <w:trPr>
          <w:trHeight w:val="202"/>
        </w:trPr>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006DB6"/>
              </w:rPr>
              <w:t>SHAREHOLDER</w:t>
            </w:r>
          </w:p>
        </w:tc>
        <w:tc>
          <w:tcPr>
            <w:tcW w:w="9400" w:type="dxa"/>
            <w:vAlign w:val="bottom"/>
            <w:vMerge w:val="restart"/>
          </w:tcPr>
          <w:p>
            <w:pPr>
              <w:ind w:left="1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During 2023, we met with shareholders representing over 58% of our outstanding shares regarding the Company's operations,</w:t>
            </w:r>
          </w:p>
        </w:tc>
        <w:tc>
          <w:tcPr>
            <w:tcW w:w="0" w:type="dxa"/>
            <w:vAlign w:val="bottom"/>
          </w:tcPr>
          <w:p>
            <w:pPr>
              <w:spacing w:after="0"/>
              <w:rPr>
                <w:sz w:val="1"/>
                <w:szCs w:val="1"/>
                <w:color w:val="auto"/>
              </w:rPr>
            </w:pPr>
          </w:p>
        </w:tc>
      </w:tr>
      <w:tr>
        <w:trPr>
          <w:trHeight w:val="68"/>
        </w:trPr>
        <w:tc>
          <w:tcPr>
            <w:tcW w:w="14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006DB6"/>
              </w:rPr>
              <w:t>ENGAGEMENT</w:t>
            </w: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420" w:type="dxa"/>
            <w:vAlign w:val="bottom"/>
            <w:vMerge w:val="continue"/>
          </w:tcPr>
          <w:p>
            <w:pPr>
              <w:spacing w:after="0"/>
              <w:rPr>
                <w:sz w:val="13"/>
                <w:szCs w:val="13"/>
                <w:color w:val="auto"/>
              </w:rPr>
            </w:pPr>
          </w:p>
        </w:tc>
        <w:tc>
          <w:tcPr>
            <w:tcW w:w="9400" w:type="dxa"/>
            <w:vAlign w:val="bottom"/>
            <w:vMerge w:val="restart"/>
          </w:tcPr>
          <w:p>
            <w:pPr>
              <w:ind w:left="380"/>
              <w:spacing w:after="0"/>
              <w:rPr>
                <w:sz w:val="20"/>
                <w:szCs w:val="20"/>
                <w:color w:val="auto"/>
              </w:rPr>
            </w:pPr>
            <w:r>
              <w:rPr>
                <w:rFonts w:ascii="Arial" w:cs="Arial" w:eastAsia="Arial" w:hAnsi="Arial"/>
                <w:sz w:val="16"/>
                <w:szCs w:val="16"/>
                <w:color w:val="auto"/>
              </w:rPr>
              <w:t>financial results, strategy and executive compensation matters.</w:t>
            </w:r>
          </w:p>
        </w:tc>
        <w:tc>
          <w:tcPr>
            <w:tcW w:w="0" w:type="dxa"/>
            <w:vAlign w:val="bottom"/>
          </w:tcPr>
          <w:p>
            <w:pPr>
              <w:spacing w:after="0"/>
              <w:rPr>
                <w:sz w:val="1"/>
                <w:szCs w:val="1"/>
                <w:color w:val="auto"/>
              </w:rPr>
            </w:pPr>
          </w:p>
        </w:tc>
      </w:tr>
      <w:tr>
        <w:trPr>
          <w:trHeight w:val="60"/>
        </w:trPr>
        <w:tc>
          <w:tcPr>
            <w:tcW w:w="1420" w:type="dxa"/>
            <w:vAlign w:val="bottom"/>
          </w:tcPr>
          <w:p>
            <w:pPr>
              <w:spacing w:after="0"/>
              <w:rPr>
                <w:sz w:val="5"/>
                <w:szCs w:val="5"/>
                <w:color w:val="auto"/>
              </w:rPr>
            </w:pPr>
          </w:p>
        </w:tc>
        <w:tc>
          <w:tcPr>
            <w:tcW w:w="9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-49530</wp:posOffset>
            </wp:positionV>
            <wp:extent cx="480060" cy="360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0060" cy="3600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807085</wp:posOffset>
            </wp:positionV>
            <wp:extent cx="394335"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916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330"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5969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31</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Program Components</w:t>
      </w:r>
    </w:p>
    <w:p>
      <w:pPr>
        <w:spacing w:after="0" w:line="14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0628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ind w:left="20"/>
              <w:spacing w:after="0"/>
              <w:rPr>
                <w:sz w:val="20"/>
                <w:szCs w:val="20"/>
                <w:color w:val="auto"/>
              </w:rPr>
            </w:pPr>
            <w:r>
              <w:rPr>
                <w:rFonts w:ascii="Arial" w:cs="Arial" w:eastAsia="Arial" w:hAnsi="Arial"/>
                <w:sz w:val="14"/>
                <w:szCs w:val="14"/>
                <w:b w:val="1"/>
                <w:bCs w:val="1"/>
                <w:color w:val="706F6F"/>
              </w:rPr>
              <w:t>Base</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006DB6"/>
              </w:rPr>
              <w:t>Annual Incentive Compensation</w:t>
            </w:r>
          </w:p>
        </w:tc>
        <w:tc>
          <w:tcPr>
            <w:tcW w:w="3740" w:type="dxa"/>
            <w:vAlign w:val="bottom"/>
          </w:tcPr>
          <w:p>
            <w:pPr>
              <w:ind w:left="160"/>
              <w:spacing w:after="0"/>
              <w:rPr>
                <w:sz w:val="20"/>
                <w:szCs w:val="20"/>
                <w:color w:val="auto"/>
              </w:rPr>
            </w:pPr>
            <w:r>
              <w:rPr>
                <w:rFonts w:ascii="Arial" w:cs="Arial" w:eastAsia="Arial" w:hAnsi="Arial"/>
                <w:sz w:val="14"/>
                <w:szCs w:val="14"/>
                <w:color w:val="FFC03C"/>
              </w:rPr>
              <w:t>Long-Term</w:t>
            </w: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706F6F"/>
              </w:rPr>
              <w:t>Salary</w:t>
            </w:r>
          </w:p>
        </w:tc>
        <w:tc>
          <w:tcPr>
            <w:tcW w:w="3800" w:type="dxa"/>
            <w:vAlign w:val="bottom"/>
          </w:tcPr>
          <w:p>
            <w:pPr>
              <w:ind w:left="140"/>
              <w:spacing w:after="0"/>
              <w:rPr>
                <w:sz w:val="20"/>
                <w:szCs w:val="20"/>
                <w:color w:val="auto"/>
              </w:rPr>
            </w:pPr>
            <w:r>
              <w:rPr>
                <w:rFonts w:ascii="Arial" w:cs="Arial" w:eastAsia="Arial" w:hAnsi="Arial"/>
                <w:sz w:val="14"/>
                <w:szCs w:val="14"/>
                <w:b w:val="1"/>
                <w:bCs w:val="1"/>
                <w:color w:val="006DB6"/>
              </w:rPr>
              <w:t>Plan ("AICP")</w:t>
            </w:r>
          </w:p>
        </w:tc>
        <w:tc>
          <w:tcPr>
            <w:tcW w:w="3740" w:type="dxa"/>
            <w:vAlign w:val="bottom"/>
          </w:tcPr>
          <w:p>
            <w:pPr>
              <w:ind w:left="160"/>
              <w:spacing w:after="0"/>
              <w:rPr>
                <w:sz w:val="20"/>
                <w:szCs w:val="20"/>
                <w:color w:val="auto"/>
              </w:rPr>
            </w:pPr>
            <w:r>
              <w:rPr>
                <w:rFonts w:ascii="Arial" w:cs="Arial" w:eastAsia="Arial" w:hAnsi="Arial"/>
                <w:sz w:val="14"/>
                <w:szCs w:val="14"/>
                <w:color w:val="FFC03C"/>
              </w:rPr>
              <w:t>Incentive Plan ("LTIP")</w:t>
            </w:r>
          </w:p>
        </w:tc>
      </w:tr>
      <w:tr>
        <w:trPr>
          <w:trHeight w:val="123"/>
        </w:trPr>
        <w:tc>
          <w:tcPr>
            <w:tcW w:w="366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303"/>
        </w:trPr>
        <w:tc>
          <w:tcPr>
            <w:tcW w:w="3660" w:type="dxa"/>
            <w:vAlign w:val="bottom"/>
          </w:tcPr>
          <w:p>
            <w:pPr>
              <w:ind w:left="20"/>
              <w:spacing w:after="0"/>
              <w:rPr>
                <w:sz w:val="20"/>
                <w:szCs w:val="20"/>
                <w:color w:val="auto"/>
              </w:rPr>
            </w:pPr>
            <w:r>
              <w:rPr>
                <w:rFonts w:ascii="Arial" w:cs="Arial" w:eastAsia="Arial" w:hAnsi="Arial"/>
                <w:sz w:val="16"/>
                <w:szCs w:val="16"/>
                <w:color w:val="auto"/>
              </w:rPr>
              <w:t>Base salary recognizes the job being performed,</w:t>
            </w:r>
          </w:p>
        </w:tc>
        <w:tc>
          <w:tcPr>
            <w:tcW w:w="3800" w:type="dxa"/>
            <w:vAlign w:val="bottom"/>
          </w:tcPr>
          <w:p>
            <w:pPr>
              <w:ind w:left="140"/>
              <w:spacing w:after="0"/>
              <w:rPr>
                <w:sz w:val="20"/>
                <w:szCs w:val="20"/>
                <w:color w:val="auto"/>
              </w:rPr>
            </w:pPr>
            <w:r>
              <w:rPr>
                <w:rFonts w:ascii="Arial" w:cs="Arial" w:eastAsia="Arial" w:hAnsi="Arial"/>
                <w:sz w:val="16"/>
                <w:szCs w:val="16"/>
                <w:color w:val="auto"/>
              </w:rPr>
              <w:t>The key objective of Civeo’s AICP is to reward</w:t>
            </w:r>
          </w:p>
        </w:tc>
        <w:tc>
          <w:tcPr>
            <w:tcW w:w="3740" w:type="dxa"/>
            <w:vAlign w:val="bottom"/>
          </w:tcPr>
          <w:p>
            <w:pPr>
              <w:ind w:left="160"/>
              <w:spacing w:after="0"/>
              <w:rPr>
                <w:sz w:val="20"/>
                <w:szCs w:val="20"/>
                <w:color w:val="auto"/>
              </w:rPr>
            </w:pPr>
            <w:r>
              <w:rPr>
                <w:rFonts w:ascii="Arial" w:cs="Arial" w:eastAsia="Arial" w:hAnsi="Arial"/>
                <w:sz w:val="16"/>
                <w:szCs w:val="16"/>
                <w:color w:val="auto"/>
              </w:rPr>
              <w:t>Civeo’s LTIP, established under the Equity</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executive seniority and tenure and the value of</w:t>
            </w:r>
          </w:p>
        </w:tc>
        <w:tc>
          <w:tcPr>
            <w:tcW w:w="3800" w:type="dxa"/>
            <w:vAlign w:val="bottom"/>
          </w:tcPr>
          <w:p>
            <w:pPr>
              <w:ind w:left="140"/>
              <w:spacing w:after="0"/>
              <w:rPr>
                <w:sz w:val="20"/>
                <w:szCs w:val="20"/>
                <w:color w:val="auto"/>
              </w:rPr>
            </w:pPr>
            <w:r>
              <w:rPr>
                <w:rFonts w:ascii="Arial" w:cs="Arial" w:eastAsia="Arial" w:hAnsi="Arial"/>
                <w:sz w:val="16"/>
                <w:szCs w:val="16"/>
                <w:color w:val="auto"/>
              </w:rPr>
              <w:t>the achievement of defined annual financial and</w:t>
            </w:r>
          </w:p>
        </w:tc>
        <w:tc>
          <w:tcPr>
            <w:tcW w:w="3740" w:type="dxa"/>
            <w:vAlign w:val="bottom"/>
          </w:tcPr>
          <w:p>
            <w:pPr>
              <w:ind w:left="160"/>
              <w:spacing w:after="0"/>
              <w:rPr>
                <w:sz w:val="20"/>
                <w:szCs w:val="20"/>
                <w:color w:val="auto"/>
              </w:rPr>
            </w:pPr>
            <w:r>
              <w:rPr>
                <w:rFonts w:ascii="Arial" w:cs="Arial" w:eastAsia="Arial" w:hAnsi="Arial"/>
                <w:sz w:val="16"/>
                <w:szCs w:val="16"/>
                <w:color w:val="auto"/>
              </w:rPr>
              <w:t>Participation Plan ("EPP"), provides an additional</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that job in the competitive market. Base salary</w:t>
            </w:r>
          </w:p>
        </w:tc>
        <w:tc>
          <w:tcPr>
            <w:tcW w:w="3800" w:type="dxa"/>
            <w:vAlign w:val="bottom"/>
          </w:tcPr>
          <w:p>
            <w:pPr>
              <w:ind w:left="140"/>
              <w:spacing w:after="0"/>
              <w:rPr>
                <w:sz w:val="20"/>
                <w:szCs w:val="20"/>
                <w:color w:val="auto"/>
              </w:rPr>
            </w:pPr>
            <w:r>
              <w:rPr>
                <w:rFonts w:ascii="Arial" w:cs="Arial" w:eastAsia="Arial" w:hAnsi="Arial"/>
                <w:sz w:val="16"/>
                <w:szCs w:val="16"/>
                <w:color w:val="auto"/>
              </w:rPr>
              <w:t>safety objectives and to incentivize employee</w:t>
            </w:r>
          </w:p>
        </w:tc>
        <w:tc>
          <w:tcPr>
            <w:tcW w:w="3740" w:type="dxa"/>
            <w:vAlign w:val="bottom"/>
          </w:tcPr>
          <w:p>
            <w:pPr>
              <w:ind w:left="160"/>
              <w:spacing w:after="0"/>
              <w:rPr>
                <w:sz w:val="20"/>
                <w:szCs w:val="20"/>
                <w:color w:val="auto"/>
              </w:rPr>
            </w:pPr>
            <w:r>
              <w:rPr>
                <w:rFonts w:ascii="Arial" w:cs="Arial" w:eastAsia="Arial" w:hAnsi="Arial"/>
                <w:sz w:val="16"/>
                <w:szCs w:val="16"/>
                <w:color w:val="auto"/>
              </w:rPr>
              <w:t>incentive to executives to grow shareholder value</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must be sufficient to attract and retain the</w:t>
            </w:r>
          </w:p>
        </w:tc>
        <w:tc>
          <w:tcPr>
            <w:tcW w:w="3800" w:type="dxa"/>
            <w:vAlign w:val="bottom"/>
          </w:tcPr>
          <w:p>
            <w:pPr>
              <w:ind w:left="140"/>
              <w:spacing w:after="0"/>
              <w:rPr>
                <w:sz w:val="20"/>
                <w:szCs w:val="20"/>
                <w:color w:val="auto"/>
              </w:rPr>
            </w:pPr>
            <w:r>
              <w:rPr>
                <w:rFonts w:ascii="Arial" w:cs="Arial" w:eastAsia="Arial" w:hAnsi="Arial"/>
                <w:sz w:val="16"/>
                <w:szCs w:val="16"/>
                <w:color w:val="auto"/>
              </w:rPr>
              <w:t>activities that will continually improve Civeo, both</w:t>
            </w:r>
          </w:p>
        </w:tc>
        <w:tc>
          <w:tcPr>
            <w:tcW w:w="3740" w:type="dxa"/>
            <w:vAlign w:val="bottom"/>
          </w:tcPr>
          <w:p>
            <w:pPr>
              <w:ind w:left="160"/>
              <w:spacing w:after="0"/>
              <w:rPr>
                <w:sz w:val="20"/>
                <w:szCs w:val="20"/>
                <w:color w:val="auto"/>
              </w:rPr>
            </w:pPr>
            <w:r>
              <w:rPr>
                <w:rFonts w:ascii="Arial" w:cs="Arial" w:eastAsia="Arial" w:hAnsi="Arial"/>
                <w:sz w:val="16"/>
                <w:szCs w:val="16"/>
                <w:color w:val="auto"/>
              </w:rPr>
              <w:t>through ownership of Civeo common shares or</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executive talent necessary for our success and</w:t>
            </w:r>
          </w:p>
        </w:tc>
        <w:tc>
          <w:tcPr>
            <w:tcW w:w="3800" w:type="dxa"/>
            <w:vAlign w:val="bottom"/>
          </w:tcPr>
          <w:p>
            <w:pPr>
              <w:ind w:left="140"/>
              <w:spacing w:after="0"/>
              <w:rPr>
                <w:sz w:val="20"/>
                <w:szCs w:val="20"/>
                <w:color w:val="auto"/>
              </w:rPr>
            </w:pPr>
            <w:r>
              <w:rPr>
                <w:rFonts w:ascii="Arial" w:cs="Arial" w:eastAsia="Arial" w:hAnsi="Arial"/>
                <w:sz w:val="16"/>
                <w:szCs w:val="16"/>
                <w:color w:val="auto"/>
              </w:rPr>
              <w:t>on a business unit and company-wide basis.</w:t>
            </w:r>
          </w:p>
        </w:tc>
        <w:tc>
          <w:tcPr>
            <w:tcW w:w="3740" w:type="dxa"/>
            <w:vAlign w:val="bottom"/>
          </w:tcPr>
          <w:p>
            <w:pPr>
              <w:ind w:left="160"/>
              <w:spacing w:after="0"/>
              <w:rPr>
                <w:sz w:val="20"/>
                <w:szCs w:val="20"/>
                <w:color w:val="auto"/>
              </w:rPr>
            </w:pPr>
            <w:r>
              <w:rPr>
                <w:rFonts w:ascii="Arial" w:cs="Arial" w:eastAsia="Arial" w:hAnsi="Arial"/>
                <w:sz w:val="16"/>
                <w:szCs w:val="16"/>
                <w:color w:val="auto"/>
              </w:rPr>
              <w:t>incentive awards directly linked to Civeo’s share</w:t>
            </w: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provides a fixed element of compensation to</w:t>
            </w:r>
          </w:p>
        </w:tc>
        <w:tc>
          <w:tcPr>
            <w:tcW w:w="3800" w:type="dxa"/>
            <w:vAlign w:val="bottom"/>
          </w:tcPr>
          <w:p>
            <w:pPr>
              <w:spacing w:after="0"/>
              <w:rPr>
                <w:sz w:val="17"/>
                <w:szCs w:val="17"/>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price and supports our efforts to attract and retain</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avoid fluctuations in compensation that could</w:t>
            </w:r>
          </w:p>
        </w:tc>
        <w:tc>
          <w:tcPr>
            <w:tcW w:w="3800" w:type="dxa"/>
            <w:vAlign w:val="bottom"/>
          </w:tcPr>
          <w:p>
            <w:pPr>
              <w:spacing w:after="0"/>
              <w:rPr>
                <w:sz w:val="16"/>
                <w:szCs w:val="16"/>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highly qualified executives to grow and develop</w:t>
            </w:r>
          </w:p>
        </w:tc>
      </w:tr>
      <w:tr>
        <w:trPr>
          <w:trHeight w:val="189"/>
        </w:trPr>
        <w:tc>
          <w:tcPr>
            <w:tcW w:w="3660" w:type="dxa"/>
            <w:vAlign w:val="bottom"/>
          </w:tcPr>
          <w:p>
            <w:pPr>
              <w:ind w:left="20"/>
              <w:spacing w:after="0"/>
              <w:rPr>
                <w:sz w:val="20"/>
                <w:szCs w:val="20"/>
                <w:color w:val="auto"/>
              </w:rPr>
            </w:pPr>
            <w:r>
              <w:rPr>
                <w:rFonts w:ascii="Arial" w:cs="Arial" w:eastAsia="Arial" w:hAnsi="Arial"/>
                <w:sz w:val="16"/>
                <w:szCs w:val="16"/>
                <w:color w:val="auto"/>
              </w:rPr>
              <w:t>distract our executives from the performance of</w:t>
            </w:r>
          </w:p>
        </w:tc>
        <w:tc>
          <w:tcPr>
            <w:tcW w:w="3800" w:type="dxa"/>
            <w:vAlign w:val="bottom"/>
          </w:tcPr>
          <w:p>
            <w:pPr>
              <w:spacing w:after="0"/>
              <w:rPr>
                <w:sz w:val="16"/>
                <w:szCs w:val="16"/>
                <w:color w:val="auto"/>
              </w:rPr>
            </w:pPr>
          </w:p>
        </w:tc>
        <w:tc>
          <w:tcPr>
            <w:tcW w:w="3740" w:type="dxa"/>
            <w:vAlign w:val="bottom"/>
          </w:tcPr>
          <w:p>
            <w:pPr>
              <w:ind w:left="160"/>
              <w:spacing w:after="0"/>
              <w:rPr>
                <w:sz w:val="20"/>
                <w:szCs w:val="20"/>
                <w:color w:val="auto"/>
              </w:rPr>
            </w:pPr>
            <w:r>
              <w:rPr>
                <w:rFonts w:ascii="Arial" w:cs="Arial" w:eastAsia="Arial" w:hAnsi="Arial"/>
                <w:sz w:val="16"/>
                <w:szCs w:val="16"/>
                <w:color w:val="auto"/>
              </w:rPr>
              <w:t>Civeo in our competitive and cyclical industry.</w:t>
            </w: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their responsibilities.</w:t>
            </w:r>
          </w:p>
        </w:tc>
        <w:tc>
          <w:tcPr>
            <w:tcW w:w="380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37"/>
        </w:trPr>
        <w:tc>
          <w:tcPr>
            <w:tcW w:w="366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1398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3</w:t>
      </w:r>
    </w:p>
    <w:p>
      <w:pPr>
        <w:spacing w:after="0" w:line="62" w:lineRule="exact"/>
        <w:rPr>
          <w:sz w:val="20"/>
          <w:szCs w:val="20"/>
          <w:color w:val="auto"/>
        </w:rPr>
      </w:pPr>
    </w:p>
    <w:p>
      <w:pPr>
        <w:ind w:left="20" w:right="660"/>
        <w:spacing w:after="0" w:line="332" w:lineRule="auto"/>
        <w:rPr>
          <w:sz w:val="20"/>
          <w:szCs w:val="20"/>
          <w:color w:val="auto"/>
        </w:rPr>
      </w:pPr>
      <w:r>
        <w:rPr>
          <w:rFonts w:ascii="Arial" w:cs="Arial" w:eastAsia="Arial" w:hAnsi="Arial"/>
          <w:sz w:val="25"/>
          <w:szCs w:val="25"/>
          <w:b w:val="1"/>
          <w:bCs w:val="1"/>
          <w:color w:val="006DB6"/>
        </w:rPr>
        <w:t>Ratification of Ernst &amp; Young LLP as Civeo’s Independent Registered Public Accounting Firm</w:t>
      </w:r>
    </w:p>
    <w:p>
      <w:pPr>
        <w:spacing w:after="0" w:line="17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59</w:t>
      </w:r>
    </w:p>
    <w:p>
      <w:pPr>
        <w:spacing w:after="0" w:line="200" w:lineRule="exact"/>
        <w:rPr>
          <w:sz w:val="20"/>
          <w:szCs w:val="20"/>
          <w:color w:val="auto"/>
        </w:rPr>
      </w:pPr>
    </w:p>
    <w:p>
      <w:pPr>
        <w:spacing w:after="0" w:line="33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Audit Committee of our board of directors has determined that the accounting firm of Ernst &amp; Young ("E&amp;Y") is independent from the Company and once again selected E&amp;Y as the Company’s independent auditors for the year ending December 31, 2024. E&amp;Y has conducted the examination of the Company’s financial statements since the year ended December 31, 2010.</w:t>
      </w:r>
    </w:p>
    <w:p>
      <w:pPr>
        <w:spacing w:after="0" w:line="27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Independent Registered Public Accounting Firm’s Fees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2023 and 2022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2023</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2022</w:t>
            </w:r>
          </w:p>
        </w:tc>
        <w:tc>
          <w:tcPr>
            <w:tcW w:w="280" w:type="dxa"/>
            <w:vAlign w:val="bottom"/>
          </w:tcPr>
          <w:p>
            <w:pPr>
              <w:spacing w:after="0"/>
              <w:rPr>
                <w:sz w:val="14"/>
                <w:szCs w:val="14"/>
                <w:color w:val="auto"/>
              </w:rPr>
            </w:pPr>
          </w:p>
        </w:tc>
      </w:tr>
      <w:tr>
        <w:trPr>
          <w:trHeight w:val="176"/>
        </w:trPr>
        <w:tc>
          <w:tcPr>
            <w:tcW w:w="53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r>
      <w:tr>
        <w:trPr>
          <w:trHeight w:val="33"/>
        </w:trPr>
        <w:tc>
          <w:tcPr>
            <w:tcW w:w="5340" w:type="dxa"/>
            <w:vAlign w:val="bottom"/>
            <w:tcBorders>
              <w:bottom w:val="single" w:sz="8" w:color="006DB6"/>
            </w:tcBorders>
          </w:tcPr>
          <w:p>
            <w:pPr>
              <w:spacing w:after="0"/>
              <w:rPr>
                <w:sz w:val="2"/>
                <w:szCs w:val="2"/>
                <w:color w:val="auto"/>
              </w:rPr>
            </w:pPr>
          </w:p>
        </w:tc>
        <w:tc>
          <w:tcPr>
            <w:tcW w:w="4140" w:type="dxa"/>
            <w:vAlign w:val="bottom"/>
            <w:tcBorders>
              <w:bottom w:val="single" w:sz="8" w:color="006DB6"/>
            </w:tcBorders>
            <w:gridSpan w:val="2"/>
          </w:tcPr>
          <w:p>
            <w:pPr>
              <w:spacing w:after="0"/>
              <w:rPr>
                <w:sz w:val="2"/>
                <w:szCs w:val="2"/>
                <w:color w:val="auto"/>
              </w:rPr>
            </w:pPr>
          </w:p>
        </w:tc>
        <w:tc>
          <w:tcPr>
            <w:tcW w:w="660" w:type="dxa"/>
            <w:vAlign w:val="bottom"/>
            <w:tcBorders>
              <w:bottom w:val="single" w:sz="8" w:color="006DB6"/>
            </w:tcBorders>
          </w:tcPr>
          <w:p>
            <w:pPr>
              <w:spacing w:after="0"/>
              <w:rPr>
                <w:sz w:val="2"/>
                <w:szCs w:val="2"/>
                <w:color w:val="auto"/>
              </w:rPr>
            </w:pPr>
          </w:p>
        </w:tc>
        <w:tc>
          <w:tcPr>
            <w:tcW w:w="220" w:type="dxa"/>
            <w:vAlign w:val="bottom"/>
            <w:tcBorders>
              <w:bottom w:val="single" w:sz="8" w:color="006DB6"/>
            </w:tcBorders>
          </w:tcPr>
          <w:p>
            <w:pPr>
              <w:spacing w:after="0"/>
              <w:rPr>
                <w:sz w:val="2"/>
                <w:szCs w:val="2"/>
                <w:color w:val="auto"/>
              </w:rPr>
            </w:pPr>
          </w:p>
        </w:tc>
        <w:tc>
          <w:tcPr>
            <w:tcW w:w="600" w:type="dxa"/>
            <w:vAlign w:val="bottom"/>
            <w:tcBorders>
              <w:bottom w:val="single" w:sz="8" w:color="006DB6"/>
            </w:tcBorders>
          </w:tcPr>
          <w:p>
            <w:pPr>
              <w:spacing w:after="0"/>
              <w:rPr>
                <w:sz w:val="2"/>
                <w:szCs w:val="2"/>
                <w:color w:val="auto"/>
              </w:rPr>
            </w:pPr>
          </w:p>
        </w:tc>
        <w:tc>
          <w:tcPr>
            <w:tcW w:w="280" w:type="dxa"/>
            <w:vAlign w:val="bottom"/>
          </w:tcPr>
          <w:p>
            <w:pPr>
              <w:spacing w:after="0"/>
              <w:rPr>
                <w:sz w:val="2"/>
                <w:szCs w:val="2"/>
                <w:color w:val="auto"/>
              </w:rPr>
            </w:pPr>
          </w:p>
        </w:tc>
      </w:tr>
      <w:tr>
        <w:trPr>
          <w:trHeight w:val="237"/>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4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1,874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1,708</w:t>
            </w:r>
          </w:p>
        </w:tc>
        <w:tc>
          <w:tcPr>
            <w:tcW w:w="280" w:type="dxa"/>
            <w:vAlign w:val="bottom"/>
          </w:tcPr>
          <w:p>
            <w:pPr>
              <w:spacing w:after="0"/>
              <w:rPr>
                <w:sz w:val="20"/>
                <w:szCs w:val="20"/>
                <w:color w:val="auto"/>
              </w:rPr>
            </w:pPr>
          </w:p>
        </w:tc>
      </w:tr>
      <w:tr>
        <w:trPr>
          <w:trHeight w:val="23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4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r>
      <w:tr>
        <w:trPr>
          <w:trHeight w:val="237"/>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4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r>
      <w:tr>
        <w:trPr>
          <w:trHeight w:val="23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4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p>
        </w:tc>
      </w:tr>
      <w:tr>
        <w:trPr>
          <w:trHeight w:val="23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4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b w:val="1"/>
                <w:bCs w:val="1"/>
                <w:color w:val="auto"/>
              </w:rPr>
              <w:t>1,879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1,713</w:t>
            </w:r>
          </w:p>
        </w:tc>
        <w:tc>
          <w:tcPr>
            <w:tcW w:w="280" w:type="dxa"/>
            <w:vAlign w:val="bottom"/>
          </w:tcPr>
          <w:p>
            <w:pPr>
              <w:spacing w:after="0"/>
              <w:rPr>
                <w:sz w:val="20"/>
                <w:szCs w:val="20"/>
                <w:color w:val="auto"/>
              </w:rPr>
            </w:pPr>
          </w:p>
        </w:tc>
      </w:tr>
      <w:tr>
        <w:trPr>
          <w:trHeight w:val="522"/>
        </w:trPr>
        <w:tc>
          <w:tcPr>
            <w:tcW w:w="5340" w:type="dxa"/>
            <w:vAlign w:val="bottom"/>
          </w:tcPr>
          <w:p>
            <w:pPr>
              <w:spacing w:after="0"/>
              <w:rPr>
                <w:sz w:val="24"/>
                <w:szCs w:val="24"/>
                <w:color w:val="auto"/>
              </w:rPr>
            </w:pPr>
          </w:p>
        </w:tc>
        <w:tc>
          <w:tcPr>
            <w:tcW w:w="5620" w:type="dxa"/>
            <w:vAlign w:val="bottom"/>
            <w:gridSpan w:val="5"/>
          </w:tcPr>
          <w:p>
            <w:pPr>
              <w:jc w:val="right"/>
              <w:ind w:right="203"/>
              <w:spacing w:after="0"/>
              <w:rPr>
                <w:sz w:val="20"/>
                <w:szCs w:val="20"/>
                <w:color w:val="auto"/>
              </w:rPr>
            </w:pPr>
            <w:r>
              <w:rPr>
                <w:rFonts w:ascii="Arial" w:cs="Arial" w:eastAsia="Arial" w:hAnsi="Arial"/>
                <w:sz w:val="14"/>
                <w:szCs w:val="14"/>
                <w:color w:val="auto"/>
              </w:rPr>
              <w:t>2023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33"/>
        </w:trPr>
        <w:tc>
          <w:tcPr>
            <w:tcW w:w="534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06DB6"/>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148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4</w:t>
      </w:r>
    </w:p>
    <w:p>
      <w:pPr>
        <w:spacing w:after="0" w:line="89" w:lineRule="exact"/>
        <w:rPr>
          <w:sz w:val="20"/>
          <w:szCs w:val="20"/>
          <w:color w:val="auto"/>
        </w:rPr>
      </w:pPr>
    </w:p>
    <w:p>
      <w:pPr>
        <w:ind w:left="20" w:right="740"/>
        <w:spacing w:after="0" w:line="343" w:lineRule="auto"/>
        <w:rPr>
          <w:sz w:val="20"/>
          <w:szCs w:val="20"/>
          <w:color w:val="auto"/>
        </w:rPr>
      </w:pPr>
      <w:r>
        <w:rPr>
          <w:rFonts w:ascii="Arial" w:cs="Arial" w:eastAsia="Arial" w:hAnsi="Arial"/>
          <w:sz w:val="25"/>
          <w:szCs w:val="25"/>
          <w:b w:val="1"/>
          <w:bCs w:val="1"/>
          <w:color w:val="006DB6"/>
        </w:rPr>
        <w:t>Approval of an Amendment to the Articles to Declassify the Board and Phase-In Annual Elections</w:t>
      </w:r>
    </w:p>
    <w:p>
      <w:pPr>
        <w:spacing w:after="0" w:line="13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5969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59690"/>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62</w:t>
      </w:r>
    </w:p>
    <w:p>
      <w:pPr>
        <w:spacing w:after="0" w:line="200" w:lineRule="exact"/>
        <w:rPr>
          <w:sz w:val="20"/>
          <w:szCs w:val="20"/>
          <w:color w:val="auto"/>
        </w:rPr>
      </w:pPr>
    </w:p>
    <w:p>
      <w:pPr>
        <w:spacing w:after="0" w:line="31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Under Civeo's Articles, the board of directors is currently divided into three classes as nearly equal in number as is reasonably possible. Each year, directors comprising one of the classes are elected at the annual general meeting of shareholders, to hold office for a three-year term.</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If approved by shareholders, the proposed Declassification Amendment would amend Articles 14.2, 14.6, 14.10 and 14.11 of our Articles, as set forth in Appendix A, to declassify our board of directors and phase-in annual director elections. We are asking that shareholders pass a special resolution to approve the Declassification Amendment. Our board of directors believes that the proposed amendments to our Articles set forth in the Declassification Amendment are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148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PROPOSAL 5</w:t>
      </w:r>
    </w:p>
    <w:p>
      <w:pPr>
        <w:spacing w:after="0" w:line="89" w:lineRule="exact"/>
        <w:rPr>
          <w:sz w:val="20"/>
          <w:szCs w:val="20"/>
          <w:color w:val="auto"/>
        </w:rPr>
      </w:pPr>
    </w:p>
    <w:p>
      <w:pPr>
        <w:ind w:left="20" w:right="640"/>
        <w:spacing w:after="0" w:line="343" w:lineRule="auto"/>
        <w:rPr>
          <w:sz w:val="20"/>
          <w:szCs w:val="20"/>
          <w:color w:val="auto"/>
        </w:rPr>
      </w:pPr>
      <w:r>
        <w:rPr>
          <w:rFonts w:ascii="Arial" w:cs="Arial" w:eastAsia="Arial" w:hAnsi="Arial"/>
          <w:sz w:val="25"/>
          <w:szCs w:val="25"/>
          <w:b w:val="1"/>
          <w:bCs w:val="1"/>
          <w:color w:val="006DB6"/>
        </w:rPr>
        <w:t>Approval of an Amendment to the Articles to Eliminate the Terms of the Class A Series 1 Preferred Shares</w:t>
      </w:r>
    </w:p>
    <w:p>
      <w:pPr>
        <w:spacing w:after="0" w:line="13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603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60325"/>
                    </a:xfrm>
                    <a:prstGeom prst="rect">
                      <a:avLst/>
                    </a:prstGeom>
                    <a:noFill/>
                    <a:ln>
                      <a:noFill/>
                    </a:ln>
                  </pic:spPr>
                </pic:pic>
              </a:graphicData>
            </a:graphic>
          </wp:inline>
        </w:drawing>
      </w:r>
      <w:r>
        <w:rPr>
          <w:rFonts w:ascii="Arial" w:cs="Arial" w:eastAsia="Arial" w:hAnsi="Arial"/>
          <w:sz w:val="16"/>
          <w:szCs w:val="16"/>
          <w:color w:val="auto"/>
        </w:rPr>
        <w:t xml:space="preserve"> The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xml:space="preserve"> this proposal.                                                      </w:t>
      </w:r>
      <w:r>
        <w:rPr>
          <w:sz w:val="1"/>
          <w:szCs w:val="1"/>
          <w:color w:val="auto"/>
        </w:rPr>
        <w:drawing>
          <wp:inline distT="0" distB="0" distL="0" distR="0">
            <wp:extent cx="43180" cy="5143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51435"/>
                    </a:xfrm>
                    <a:prstGeom prst="rect">
                      <a:avLst/>
                    </a:prstGeom>
                    <a:noFill/>
                    <a:ln>
                      <a:noFill/>
                    </a:ln>
                  </pic:spPr>
                </pic:pic>
              </a:graphicData>
            </a:graphic>
          </wp:inline>
        </w:drawing>
      </w:r>
      <w:r>
        <w:rPr>
          <w:rFonts w:ascii="Arial" w:cs="Arial" w:eastAsia="Arial" w:hAnsi="Arial"/>
          <w:sz w:val="16"/>
          <w:szCs w:val="16"/>
          <w:color w:val="auto"/>
        </w:rPr>
        <w:t xml:space="preserve"> See page </w:t>
      </w:r>
      <w:r>
        <w:rPr>
          <w:rFonts w:ascii="Arial" w:cs="Arial" w:eastAsia="Arial" w:hAnsi="Arial"/>
          <w:sz w:val="16"/>
          <w:szCs w:val="16"/>
          <w:b w:val="1"/>
          <w:bCs w:val="1"/>
          <w:color w:val="FFC03C"/>
        </w:rPr>
        <w:t>64</w:t>
      </w:r>
    </w:p>
    <w:p>
      <w:pPr>
        <w:spacing w:after="0" w:line="200" w:lineRule="exact"/>
        <w:rPr>
          <w:sz w:val="20"/>
          <w:szCs w:val="20"/>
          <w:color w:val="auto"/>
        </w:rPr>
      </w:pPr>
    </w:p>
    <w:p>
      <w:pPr>
        <w:spacing w:after="0" w:line="31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Civeo's Articles currently contain specific special rights and restrictions attaching to the Class A Series 1 Preferred Shares (“Preferred Shares”). In particular, the existing special rights and restrictions restrict the pool of Class A Preferred Shares and Class B Preferred Shares (an series thereof) available for issuance by Civeo. The Preferred Shares were initially issued in 2018 in connection with the acquisition by Civeo of Noralta Lodge Ltd., and the special rights and restrictions attaching to the Preferred shares were structured to account for particular transaction considerations. In December 2022, the holders of the Preferred Shares converted all remaining Preferred Shares into common shares. Following such conversion, no Preferred Shares remained outstanding.</w:t>
      </w:r>
    </w:p>
    <w:p>
      <w:pPr>
        <w:spacing w:after="0" w:line="200" w:lineRule="exact"/>
        <w:rPr>
          <w:sz w:val="20"/>
          <w:szCs w:val="20"/>
          <w:color w:val="auto"/>
        </w:rPr>
      </w:pPr>
    </w:p>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If approved by shareholders, the Preferred Share Amendment would amend Article 27 of our Articles to remove Schedule A. The amendment will have the effect of eliminating the existing special rights and restrictions attaching to the Preferred Shares, and will return the shares constituting such series to the general pool of preferred shares of such series that are available for issuance. Overall, this will provide Civeo with more flexibility without having any material impact on the existing shareholders. We are asking that shareholders pass a special resolution to approve the Preferred Share Amendment. The proposed amendments comprising the Preferred Share Amendment are set forth in Appendix A. Our board of directors believes that the proposed amendments to our Articles set forth in the Preferred Share Amendment are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643890</wp:posOffset>
            </wp:positionV>
            <wp:extent cx="394335" cy="196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45"/>
          <w:szCs w:val="45"/>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4883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1</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Three directors have been nominated for election at the annual general meeting to serve as Class I members of Civeo’s board of directors. Based on the recommendation of our Environmental, Social, Governance and Nominating Committee, Civeo’s board of directors has nominated C. Ronald Blankenship, Michael Montelongo and Charles Szalkowski for election to the three expiring Class I positions on the board of directors currently held by them, to hold office for three-year terms expiring at the annual general meeting of shareholders in 2027,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C. Ronald Blankenship, Michael Montelongo and Charles Szalkowski are each “independent,” as that term is defined by the applicable New York Stock Exchange ("NYSE") listing standards. See “Board of Directors Structure—Director Independence” for a discussion of director independence determinations. See “Director Biographies” for a brief biography of all directors, including the director nominees.</w:t>
      </w:r>
    </w:p>
    <w:p>
      <w:pPr>
        <w:spacing w:after="0" w:line="6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676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310" w:lineRule="exact"/>
        <w:rPr>
          <w:sz w:val="20"/>
          <w:szCs w:val="20"/>
          <w:color w:val="auto"/>
        </w:rPr>
      </w:pPr>
    </w:p>
    <w:p>
      <w:pPr>
        <w:ind w:left="160" w:right="540"/>
        <w:spacing w:after="0" w:line="275" w:lineRule="auto"/>
        <w:rPr>
          <w:sz w:val="20"/>
          <w:szCs w:val="20"/>
          <w:color w:val="auto"/>
        </w:rPr>
      </w:pPr>
      <w:r>
        <w:rPr>
          <w:rFonts w:ascii="Arial" w:cs="Arial" w:eastAsia="Arial" w:hAnsi="Arial"/>
          <w:sz w:val="16"/>
          <w:szCs w:val="16"/>
          <w:color w:val="auto"/>
        </w:rPr>
        <w:t>Civeo’s board of directors recommends that you vote “</w:t>
      </w:r>
      <w:r>
        <w:rPr>
          <w:rFonts w:ascii="Arial" w:cs="Arial" w:eastAsia="Arial" w:hAnsi="Arial"/>
          <w:sz w:val="16"/>
          <w:szCs w:val="16"/>
          <w:b w:val="1"/>
          <w:bCs w:val="1"/>
          <w:color w:val="006DB6"/>
        </w:rPr>
        <w:t>FOR</w:t>
      </w:r>
      <w:r>
        <w:rPr>
          <w:rFonts w:ascii="Arial" w:cs="Arial" w:eastAsia="Arial" w:hAnsi="Arial"/>
          <w:sz w:val="16"/>
          <w:szCs w:val="16"/>
          <w:color w:val="auto"/>
        </w:rPr>
        <w:t>” each of the director nominees named above. The persons named in the accompanying proxy intend to vote all proxies received in favor of the election of the nominees named below, except in any case where authority to vote for the directors is withheld.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Directors—Skills and Experience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Qualifications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When identifying our directors appointed to our board of directors, the following are considered:</w:t>
      </w:r>
    </w:p>
    <w:p>
      <w:pPr>
        <w:spacing w:after="0" w:line="11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reputation and integrity;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qualifications as an independent, disinterested, non-employee or outside director;</w:t>
      </w:r>
    </w:p>
    <w:p>
      <w:pPr>
        <w:spacing w:after="0" w:line="86" w:lineRule="exact"/>
        <w:rPr>
          <w:rFonts w:ascii="Arial" w:cs="Arial" w:eastAsia="Arial" w:hAnsi="Arial"/>
          <w:sz w:val="16"/>
          <w:szCs w:val="16"/>
          <w:color w:val="006DB6"/>
        </w:rPr>
      </w:pPr>
    </w:p>
    <w:p>
      <w:pPr>
        <w:ind w:left="200" w:right="120" w:hanging="192"/>
        <w:spacing w:after="0" w:line="286" w:lineRule="auto"/>
        <w:tabs>
          <w:tab w:leader="none" w:pos="17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number of other public companies for which the person serves as a director and the availability of the person’s time and commitment to Civeo;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11"/>
        </w:numPr>
        <w:rPr>
          <w:rFonts w:ascii="Arial" w:cs="Arial" w:eastAsia="Arial" w:hAnsi="Arial"/>
          <w:sz w:val="16"/>
          <w:szCs w:val="16"/>
          <w:color w:val="006DB6"/>
        </w:rPr>
      </w:pPr>
      <w:r>
        <w:rPr>
          <w:rFonts w:ascii="Arial" w:cs="Arial" w:eastAsia="Arial" w:hAnsi="Arial"/>
          <w:sz w:val="16"/>
          <w:szCs w:val="16"/>
          <w:color w:val="auto"/>
        </w:rPr>
        <w:t>the person’s knowledge of the major geographic areas in which we operate or another area of our operational environment.</w:t>
      </w:r>
    </w:p>
    <w:p>
      <w:pPr>
        <w:spacing w:after="0" w:line="73" w:lineRule="exact"/>
        <w:rPr>
          <w:sz w:val="20"/>
          <w:szCs w:val="20"/>
          <w:color w:val="auto"/>
        </w:rPr>
      </w:pPr>
    </w:p>
    <w:p>
      <w:pPr>
        <w:jc w:val="both"/>
        <w:ind w:right="2160"/>
        <w:spacing w:after="0" w:line="256" w:lineRule="auto"/>
        <w:rPr>
          <w:sz w:val="20"/>
          <w:szCs w:val="20"/>
          <w:color w:val="auto"/>
        </w:rPr>
      </w:pPr>
      <w:r>
        <w:rPr>
          <w:rFonts w:ascii="Arial" w:cs="Arial" w:eastAsia="Arial" w:hAnsi="Arial"/>
          <w:sz w:val="16"/>
          <w:szCs w:val="16"/>
          <w:color w:val="auto"/>
        </w:rPr>
        <w:t>Other factors considered include the diversity of the board of directors, including the optimal enhancement of the current mix of educational backgrounds, business industry experience and knowledge of different geographic markets, services and products.</w:t>
      </w:r>
    </w:p>
    <w:p>
      <w:pPr>
        <w:spacing w:after="0" w:line="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Further, in considering nominees for director, diversity of viewpoints, expertise and experience are taken into account as well as gender, ethnicity and background. We believe that the above-mentioned attributes, along with the leadership skills and other experience of the Civeo board of directors described below, provide Civeo with the perspectives and judgment necessary to guide its strategies and monitor their execution.</w:t>
      </w:r>
    </w:p>
    <w:p>
      <w:pPr>
        <w:spacing w:after="0" w:line="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the breadth and variety of business experience of each of our directors and director nominees identified in the following table make each of them well qualified to serve on our board of directors. Additional details on each director's attributes, qualifications, experiences and skills are set forth in their individual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6468745</wp:posOffset>
            </wp:positionH>
            <wp:positionV relativeFrom="paragraph">
              <wp:posOffset>61595</wp:posOffset>
            </wp:positionV>
            <wp:extent cx="8890" cy="231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23177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61595</wp:posOffset>
            </wp:positionV>
            <wp:extent cx="8255" cy="2317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61595</wp:posOffset>
            </wp:positionV>
            <wp:extent cx="8255" cy="2317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61595</wp:posOffset>
            </wp:positionV>
            <wp:extent cx="8255" cy="231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61595</wp:posOffset>
            </wp:positionV>
            <wp:extent cx="8255" cy="231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61595</wp:posOffset>
            </wp:positionV>
            <wp:extent cx="8255" cy="2317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61595</wp:posOffset>
            </wp:positionV>
            <wp:extent cx="8255" cy="231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61595</wp:posOffset>
            </wp:positionV>
            <wp:extent cx="8255" cy="231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231775"/>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00" w:type="dxa"/>
            <w:vAlign w:val="bottom"/>
            <w:tcBorders>
              <w:right w:val="single" w:sz="8" w:color="006DB6"/>
            </w:tcBorders>
          </w:tcPr>
          <w:p>
            <w:pPr>
              <w:spacing w:after="0"/>
              <w:rPr>
                <w:sz w:val="13"/>
                <w:szCs w:val="13"/>
                <w:color w:val="auto"/>
              </w:rPr>
            </w:pP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8"/>
              </w:rPr>
              <w:t>Richard A.</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C. Ronald</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Bradley J.</w:t>
            </w:r>
          </w:p>
        </w:tc>
        <w:tc>
          <w:tcPr>
            <w:tcW w:w="1060" w:type="dxa"/>
            <w:vAlign w:val="bottom"/>
            <w:tcBorders>
              <w:right w:val="single" w:sz="8" w:color="006DB6"/>
            </w:tcBorders>
            <w:vMerge w:val="restart"/>
            <w:shd w:val="clear" w:color="auto" w:fill="006DB6"/>
          </w:tcPr>
          <w:p>
            <w:pPr>
              <w:ind w:left="100"/>
              <w:spacing w:after="0"/>
              <w:rPr>
                <w:sz w:val="20"/>
                <w:szCs w:val="20"/>
                <w:color w:val="auto"/>
              </w:rPr>
            </w:pPr>
            <w:r>
              <w:rPr>
                <w:rFonts w:ascii="Arial" w:cs="Arial" w:eastAsia="Arial" w:hAnsi="Arial"/>
                <w:sz w:val="13"/>
                <w:szCs w:val="13"/>
                <w:b w:val="1"/>
                <w:bCs w:val="1"/>
                <w:color w:val="FFFFFF"/>
              </w:rPr>
              <w:t>Jay K. Grewal</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Martin A.</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Michael</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Constance B.</w:t>
            </w:r>
          </w:p>
        </w:tc>
        <w:tc>
          <w:tcPr>
            <w:tcW w:w="104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6"/>
              </w:rPr>
              <w:t>Charles</w:t>
            </w:r>
          </w:p>
        </w:tc>
        <w:tc>
          <w:tcPr>
            <w:tcW w:w="1060" w:type="dxa"/>
            <w:vAlign w:val="bottom"/>
            <w:tcBorders>
              <w:right w:val="single" w:sz="8" w:color="006DB6"/>
            </w:tcBorders>
            <w:shd w:val="clear" w:color="auto" w:fill="006DB6"/>
          </w:tcPr>
          <w:p>
            <w:pPr>
              <w:jc w:val="center"/>
              <w:spacing w:after="0"/>
              <w:rPr>
                <w:sz w:val="20"/>
                <w:szCs w:val="20"/>
                <w:color w:val="auto"/>
              </w:rPr>
            </w:pPr>
            <w:r>
              <w:rPr>
                <w:rFonts w:ascii="Arial" w:cs="Arial" w:eastAsia="Arial" w:hAnsi="Arial"/>
                <w:sz w:val="13"/>
                <w:szCs w:val="13"/>
                <w:b w:val="1"/>
                <w:bCs w:val="1"/>
                <w:color w:val="FFFFFF"/>
                <w:w w:val="94"/>
              </w:rPr>
              <w:t>Timothy O.</w:t>
            </w:r>
          </w:p>
        </w:tc>
        <w:tc>
          <w:tcPr>
            <w:tcW w:w="0" w:type="dxa"/>
            <w:vAlign w:val="bottom"/>
          </w:tcPr>
          <w:p>
            <w:pPr>
              <w:spacing w:after="0"/>
              <w:rPr>
                <w:sz w:val="1"/>
                <w:szCs w:val="1"/>
                <w:color w:val="auto"/>
              </w:rPr>
            </w:pPr>
          </w:p>
        </w:tc>
      </w:tr>
      <w:tr>
        <w:trPr>
          <w:trHeight w:val="91"/>
        </w:trPr>
        <w:tc>
          <w:tcPr>
            <w:tcW w:w="1800" w:type="dxa"/>
            <w:vAlign w:val="bottom"/>
            <w:tcBorders>
              <w:right w:val="single" w:sz="8" w:color="006DB6"/>
            </w:tcBorders>
          </w:tcPr>
          <w:p>
            <w:pPr>
              <w:spacing w:after="0"/>
              <w:rPr>
                <w:sz w:val="7"/>
                <w:szCs w:val="7"/>
                <w:color w:val="auto"/>
              </w:rPr>
            </w:pP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9"/>
              </w:rPr>
              <w:t>Navarre</w:t>
            </w: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Blankenship</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9"/>
              </w:rPr>
              <w:t>Dodson</w:t>
            </w:r>
          </w:p>
        </w:tc>
        <w:tc>
          <w:tcPr>
            <w:tcW w:w="1060" w:type="dxa"/>
            <w:vAlign w:val="bottom"/>
            <w:tcBorders>
              <w:right w:val="single" w:sz="8" w:color="006DB6"/>
            </w:tcBorders>
            <w:vMerge w:val="continue"/>
            <w:shd w:val="clear" w:color="auto" w:fill="006DB6"/>
          </w:tcPr>
          <w:p>
            <w:pPr>
              <w:spacing w:after="0"/>
              <w:rPr>
                <w:sz w:val="7"/>
                <w:szCs w:val="7"/>
                <w:color w:val="auto"/>
              </w:rPr>
            </w:pP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Lambert</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Montelongo</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7"/>
              </w:rPr>
              <w:t>Moore</w:t>
            </w:r>
          </w:p>
        </w:tc>
        <w:tc>
          <w:tcPr>
            <w:tcW w:w="104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95"/>
              </w:rPr>
              <w:t>Szalkowski</w:t>
            </w:r>
          </w:p>
        </w:tc>
        <w:tc>
          <w:tcPr>
            <w:tcW w:w="1060" w:type="dxa"/>
            <w:vAlign w:val="bottom"/>
            <w:tcBorders>
              <w:right w:val="single" w:sz="8" w:color="006DB6"/>
            </w:tcBorders>
            <w:vMerge w:val="restart"/>
            <w:shd w:val="clear" w:color="auto" w:fill="006DB6"/>
          </w:tcPr>
          <w:p>
            <w:pPr>
              <w:jc w:val="center"/>
              <w:spacing w:after="0"/>
              <w:rPr>
                <w:sz w:val="20"/>
                <w:szCs w:val="20"/>
                <w:color w:val="auto"/>
              </w:rPr>
            </w:pPr>
            <w:r>
              <w:rPr>
                <w:rFonts w:ascii="Arial" w:cs="Arial" w:eastAsia="Arial" w:hAnsi="Arial"/>
                <w:sz w:val="13"/>
                <w:szCs w:val="13"/>
                <w:b w:val="1"/>
                <w:bCs w:val="1"/>
                <w:color w:val="FFFFFF"/>
                <w:w w:val="89"/>
              </w:rPr>
              <w:t>Wall</w:t>
            </w:r>
          </w:p>
        </w:tc>
        <w:tc>
          <w:tcPr>
            <w:tcW w:w="0" w:type="dxa"/>
            <w:vAlign w:val="bottom"/>
          </w:tcPr>
          <w:p>
            <w:pPr>
              <w:spacing w:after="0"/>
              <w:rPr>
                <w:sz w:val="1"/>
                <w:szCs w:val="1"/>
                <w:color w:val="auto"/>
              </w:rPr>
            </w:pPr>
          </w:p>
        </w:tc>
      </w:tr>
      <w:tr>
        <w:trPr>
          <w:trHeight w:val="103"/>
        </w:trPr>
        <w:tc>
          <w:tcPr>
            <w:tcW w:w="1800" w:type="dxa"/>
            <w:vAlign w:val="bottom"/>
            <w:tcBorders>
              <w:right w:val="single" w:sz="8" w:color="006DB6"/>
            </w:tcBorders>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4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1060" w:type="dxa"/>
            <w:vAlign w:val="bottom"/>
            <w:tcBorders>
              <w:bottom w:val="single" w:sz="8" w:color="006DB6"/>
              <w:right w:val="single" w:sz="8" w:color="006DB6"/>
            </w:tcBorders>
            <w:vMerge w:val="continue"/>
            <w:shd w:val="clear" w:color="auto" w:fill="006DB6"/>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1800" w:type="dxa"/>
            <w:vAlign w:val="bottom"/>
            <w:tcBorders>
              <w:top w:val="single" w:sz="8" w:color="006DB6"/>
              <w:right w:val="single" w:sz="8" w:color="auto"/>
            </w:tcBorders>
          </w:tcPr>
          <w:p>
            <w:pPr>
              <w:ind w:left="580"/>
              <w:spacing w:after="0"/>
              <w:rPr>
                <w:sz w:val="20"/>
                <w:szCs w:val="20"/>
                <w:color w:val="auto"/>
              </w:rPr>
            </w:pPr>
            <w:r>
              <w:rPr>
                <w:rFonts w:ascii="Arial" w:cs="Arial" w:eastAsia="Arial" w:hAnsi="Arial"/>
                <w:sz w:val="13"/>
                <w:szCs w:val="13"/>
                <w:color w:val="auto"/>
              </w:rPr>
              <w:t>Executive</w:t>
            </w: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1040" w:type="dxa"/>
            <w:vAlign w:val="bottom"/>
            <w:tcBorders>
              <w:top w:val="single" w:sz="8" w:color="auto"/>
              <w:right w:val="single" w:sz="8" w:color="auto"/>
            </w:tcBorders>
            <w:shd w:val="clear" w:color="auto" w:fill="E8EEF7"/>
          </w:tcPr>
          <w:p>
            <w:pPr>
              <w:spacing w:after="0"/>
              <w:rPr>
                <w:sz w:val="20"/>
                <w:szCs w:val="20"/>
                <w:color w:val="auto"/>
              </w:rPr>
            </w:pPr>
          </w:p>
        </w:tc>
        <w:tc>
          <w:tcPr>
            <w:tcW w:w="1060" w:type="dxa"/>
            <w:vAlign w:val="bottom"/>
            <w:tcBorders>
              <w:top w:val="single" w:sz="8" w:color="auto"/>
              <w:right w:val="single" w:sz="8" w:color="auto"/>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Leadership</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Financial</w:t>
            </w:r>
          </w:p>
        </w:tc>
        <w:tc>
          <w:tcPr>
            <w:tcW w:w="104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1040" w:type="dxa"/>
            <w:vAlign w:val="bottom"/>
            <w:tcBorders>
              <w:right w:val="single" w:sz="8" w:color="auto"/>
            </w:tcBorders>
            <w:shd w:val="clear" w:color="auto" w:fill="E8EEF7"/>
          </w:tcPr>
          <w:p>
            <w:pPr>
              <w:spacing w:after="0"/>
              <w:rPr>
                <w:sz w:val="24"/>
                <w:szCs w:val="24"/>
                <w:color w:val="auto"/>
              </w:rPr>
            </w:pPr>
          </w:p>
        </w:tc>
        <w:tc>
          <w:tcPr>
            <w:tcW w:w="1060" w:type="dxa"/>
            <w:vAlign w:val="bottom"/>
            <w:tcBorders>
              <w:right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1040" w:type="dxa"/>
            <w:vAlign w:val="bottom"/>
            <w:tcBorders>
              <w:bottom w:val="single" w:sz="8" w:color="auto"/>
              <w:right w:val="single" w:sz="8" w:color="auto"/>
            </w:tcBorders>
            <w:shd w:val="clear" w:color="auto" w:fill="E8EEF7"/>
          </w:tcPr>
          <w:p>
            <w:pPr>
              <w:spacing w:after="0"/>
              <w:rPr>
                <w:sz w:val="16"/>
                <w:szCs w:val="16"/>
                <w:color w:val="auto"/>
              </w:rPr>
            </w:pPr>
          </w:p>
        </w:tc>
        <w:tc>
          <w:tcPr>
            <w:tcW w:w="1060" w:type="dxa"/>
            <w:vAlign w:val="bottom"/>
            <w:tcBorders>
              <w:bottom w:val="single" w:sz="8" w:color="auto"/>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1"/>
                <w:szCs w:val="11"/>
                <w:color w:val="auto"/>
              </w:rPr>
              <w:t>Accommodations, Real</w:t>
            </w:r>
          </w:p>
        </w:tc>
        <w:tc>
          <w:tcPr>
            <w:tcW w:w="1040" w:type="dxa"/>
            <w:vAlign w:val="bottom"/>
            <w:tcBorders>
              <w:right w:val="single" w:sz="8" w:color="auto"/>
            </w:tcBorders>
            <w:shd w:val="clear" w:color="auto" w:fill="E8EEF7"/>
          </w:tcPr>
          <w:p>
            <w:pPr>
              <w:spacing w:after="0"/>
              <w:rPr>
                <w:sz w:val="21"/>
                <w:szCs w:val="21"/>
                <w:color w:val="auto"/>
              </w:rPr>
            </w:pPr>
          </w:p>
        </w:tc>
        <w:tc>
          <w:tcPr>
            <w:tcW w:w="104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shd w:val="clear" w:color="auto" w:fill="E8EEF7"/>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1"/>
                <w:szCs w:val="11"/>
                <w:color w:val="auto"/>
              </w:rPr>
              <w:t>Estate and Hospitality</w:t>
            </w:r>
          </w:p>
        </w:tc>
        <w:tc>
          <w:tcPr>
            <w:tcW w:w="104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80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shd w:val="clear" w:color="auto" w:fill="E8EEF7"/>
          </w:tcPr>
          <w:p>
            <w:pPr>
              <w:spacing w:after="0"/>
              <w:rPr>
                <w:sz w:val="11"/>
                <w:szCs w:val="11"/>
                <w:color w:val="auto"/>
              </w:rPr>
            </w:pPr>
          </w:p>
        </w:tc>
        <w:tc>
          <w:tcPr>
            <w:tcW w:w="104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104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104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right w:val="single" w:sz="8" w:color="auto"/>
            </w:tcBorders>
            <w:shd w:val="clear" w:color="auto" w:fill="E8EEF7"/>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International</w:t>
            </w:r>
          </w:p>
        </w:tc>
        <w:tc>
          <w:tcPr>
            <w:tcW w:w="104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shd w:val="clear" w:color="auto" w:fill="E8EEF7"/>
          </w:tcPr>
          <w:p>
            <w:pPr>
              <w:spacing w:after="0"/>
              <w:rPr>
                <w:sz w:val="19"/>
                <w:szCs w:val="19"/>
                <w:color w:val="auto"/>
              </w:rPr>
            </w:pPr>
          </w:p>
        </w:tc>
        <w:tc>
          <w:tcPr>
            <w:tcW w:w="1060" w:type="dxa"/>
            <w:vAlign w:val="bottom"/>
            <w:tcBorders>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Operations</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 in</w:t>
            </w:r>
          </w:p>
        </w:tc>
        <w:tc>
          <w:tcPr>
            <w:tcW w:w="1040" w:type="dxa"/>
            <w:vAlign w:val="bottom"/>
            <w:tcBorders>
              <w:right w:val="single" w:sz="8" w:color="auto"/>
            </w:tcBorders>
            <w:shd w:val="clear" w:color="auto" w:fill="E8EEF7"/>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shd w:val="clear" w:color="auto" w:fill="E8EEF7"/>
          </w:tcPr>
          <w:p>
            <w:pPr>
              <w:spacing w:after="0"/>
              <w:rPr>
                <w:sz w:val="13"/>
                <w:szCs w:val="13"/>
                <w:color w:val="auto"/>
              </w:rPr>
            </w:pPr>
          </w:p>
        </w:tc>
        <w:tc>
          <w:tcPr>
            <w:tcW w:w="1040" w:type="dxa"/>
            <w:vAlign w:val="bottom"/>
            <w:tcBorders>
              <w:right w:val="single" w:sz="8" w:color="auto"/>
            </w:tcBorders>
            <w:shd w:val="clear" w:color="auto" w:fill="E8EEF7"/>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Industry of Primary</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Customers</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Health Safety &amp;</w:t>
            </w: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Environment</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Public Company</w:t>
            </w: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60" w:type="dxa"/>
            <w:vAlign w:val="bottom"/>
            <w:tcBorders>
              <w:top w:val="single" w:sz="8" w:color="auto"/>
              <w:right w:val="single" w:sz="8" w:color="auto"/>
            </w:tcBorders>
            <w:shd w:val="clear" w:color="auto" w:fill="E8EEF7"/>
          </w:tcPr>
          <w:p>
            <w:pPr>
              <w:spacing w:after="0"/>
              <w:rPr>
                <w:sz w:val="13"/>
                <w:szCs w:val="13"/>
                <w:color w:val="auto"/>
              </w:rPr>
            </w:pPr>
          </w:p>
        </w:tc>
        <w:tc>
          <w:tcPr>
            <w:tcW w:w="1040" w:type="dxa"/>
            <w:vAlign w:val="bottom"/>
            <w:tcBorders>
              <w:top w:val="single" w:sz="8" w:color="auto"/>
              <w:right w:val="single" w:sz="8" w:color="auto"/>
            </w:tcBorders>
          </w:tcPr>
          <w:p>
            <w:pPr>
              <w:spacing w:after="0"/>
              <w:rPr>
                <w:sz w:val="13"/>
                <w:szCs w:val="13"/>
                <w:color w:val="auto"/>
              </w:rPr>
            </w:pPr>
          </w:p>
        </w:tc>
        <w:tc>
          <w:tcPr>
            <w:tcW w:w="10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CEO or C-Suite</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Experience</w:t>
            </w: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60" w:type="dxa"/>
            <w:vAlign w:val="bottom"/>
            <w:tcBorders>
              <w:bottom w:val="single" w:sz="8" w:color="E8EEF7"/>
              <w:right w:val="single" w:sz="8" w:color="auto"/>
            </w:tcBorders>
            <w:shd w:val="clear" w:color="auto" w:fill="E8EEF7"/>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8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3"/>
                <w:szCs w:val="13"/>
                <w:color w:val="auto"/>
              </w:rPr>
              <w:t>Public Company</w:t>
            </w: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1040" w:type="dxa"/>
            <w:vAlign w:val="bottom"/>
            <w:tcBorders>
              <w:top w:val="single" w:sz="8" w:color="auto"/>
              <w:right w:val="single" w:sz="8" w:color="auto"/>
            </w:tcBorders>
            <w:shd w:val="clear" w:color="auto" w:fill="E8EEF7"/>
          </w:tcPr>
          <w:p>
            <w:pPr>
              <w:spacing w:after="0"/>
              <w:rPr>
                <w:sz w:val="19"/>
                <w:szCs w:val="19"/>
                <w:color w:val="auto"/>
              </w:rPr>
            </w:pPr>
          </w:p>
        </w:tc>
        <w:tc>
          <w:tcPr>
            <w:tcW w:w="1060" w:type="dxa"/>
            <w:vAlign w:val="bottom"/>
            <w:tcBorders>
              <w:top w:val="single" w:sz="8" w:color="auto"/>
              <w:right w:val="single" w:sz="8" w:color="auto"/>
            </w:tcBorders>
            <w:shd w:val="clear" w:color="auto" w:fill="E8EEF7"/>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580"/>
              <w:spacing w:after="0"/>
              <w:rPr>
                <w:sz w:val="20"/>
                <w:szCs w:val="20"/>
                <w:color w:val="auto"/>
              </w:rPr>
            </w:pPr>
            <w:r>
              <w:rPr>
                <w:rFonts w:ascii="Arial" w:cs="Arial" w:eastAsia="Arial" w:hAnsi="Arial"/>
                <w:sz w:val="13"/>
                <w:szCs w:val="13"/>
                <w:color w:val="auto"/>
              </w:rPr>
              <w:t>Director Experience</w:t>
            </w:r>
          </w:p>
        </w:tc>
        <w:tc>
          <w:tcPr>
            <w:tcW w:w="104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1040" w:type="dxa"/>
            <w:vAlign w:val="bottom"/>
            <w:tcBorders>
              <w:right w:val="single" w:sz="8" w:color="auto"/>
            </w:tcBorders>
            <w:shd w:val="clear" w:color="auto" w:fill="E8EEF7"/>
          </w:tcPr>
          <w:p>
            <w:pPr>
              <w:spacing w:after="0"/>
              <w:rPr>
                <w:sz w:val="14"/>
                <w:szCs w:val="14"/>
                <w:color w:val="auto"/>
              </w:rPr>
            </w:pPr>
          </w:p>
        </w:tc>
        <w:tc>
          <w:tcPr>
            <w:tcW w:w="1060" w:type="dxa"/>
            <w:vAlign w:val="bottom"/>
            <w:tcBorders>
              <w:right w:val="single" w:sz="8" w:color="auto"/>
            </w:tcBorders>
            <w:shd w:val="clear" w:color="auto" w:fill="E8EEF7"/>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1040" w:type="dxa"/>
            <w:vAlign w:val="bottom"/>
            <w:tcBorders>
              <w:bottom w:val="single" w:sz="8" w:color="auto"/>
              <w:right w:val="single" w:sz="8" w:color="auto"/>
            </w:tcBorders>
            <w:shd w:val="clear" w:color="auto" w:fill="E8EEF7"/>
          </w:tcPr>
          <w:p>
            <w:pPr>
              <w:spacing w:after="0"/>
              <w:rPr>
                <w:sz w:val="9"/>
                <w:szCs w:val="9"/>
                <w:color w:val="auto"/>
              </w:rPr>
            </w:pPr>
          </w:p>
        </w:tc>
        <w:tc>
          <w:tcPr>
            <w:tcW w:w="1060" w:type="dxa"/>
            <w:vAlign w:val="bottom"/>
            <w:tcBorders>
              <w:bottom w:val="single" w:sz="8" w:color="auto"/>
              <w:right w:val="single" w:sz="8" w:color="auto"/>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-2656840</wp:posOffset>
            </wp:positionV>
            <wp:extent cx="257175" cy="2489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-2639695</wp:posOffset>
            </wp:positionV>
            <wp:extent cx="20574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-2639695</wp:posOffset>
            </wp:positionV>
            <wp:extent cx="205740" cy="188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-2639695</wp:posOffset>
            </wp:positionV>
            <wp:extent cx="20574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-2639695</wp:posOffset>
            </wp:positionV>
            <wp:extent cx="20574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-2639695</wp:posOffset>
            </wp:positionV>
            <wp:extent cx="20574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-2639695</wp:posOffset>
            </wp:positionV>
            <wp:extent cx="20574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-2639695</wp:posOffset>
            </wp:positionV>
            <wp:extent cx="20574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-2639695</wp:posOffset>
            </wp:positionV>
            <wp:extent cx="20574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-2639695</wp:posOffset>
            </wp:positionV>
            <wp:extent cx="20574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-2322830</wp:posOffset>
            </wp:positionV>
            <wp:extent cx="257175" cy="2571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-2296795</wp:posOffset>
            </wp:positionV>
            <wp:extent cx="20574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-2296795</wp:posOffset>
            </wp:positionV>
            <wp:extent cx="20574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-2296795</wp:posOffset>
            </wp:positionV>
            <wp:extent cx="205740" cy="188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-2296795</wp:posOffset>
            </wp:positionV>
            <wp:extent cx="20574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-2296795</wp:posOffset>
            </wp:positionV>
            <wp:extent cx="20574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-2296795</wp:posOffset>
            </wp:positionV>
            <wp:extent cx="20574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-2296795</wp:posOffset>
            </wp:positionV>
            <wp:extent cx="205740" cy="1885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-2296795</wp:posOffset>
            </wp:positionV>
            <wp:extent cx="205740"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-2296795</wp:posOffset>
            </wp:positionV>
            <wp:extent cx="20574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-1979930</wp:posOffset>
            </wp:positionV>
            <wp:extent cx="257175"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-1953895</wp:posOffset>
            </wp:positionV>
            <wp:extent cx="20574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-1953895</wp:posOffset>
            </wp:positionV>
            <wp:extent cx="20574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-1953895</wp:posOffset>
            </wp:positionV>
            <wp:extent cx="20574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-1953895</wp:posOffset>
            </wp:positionV>
            <wp:extent cx="205740"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-1953895</wp:posOffset>
            </wp:positionV>
            <wp:extent cx="205740"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-1953895</wp:posOffset>
            </wp:positionV>
            <wp:extent cx="20574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-1953895</wp:posOffset>
            </wp:positionV>
            <wp:extent cx="20574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-1654175</wp:posOffset>
            </wp:positionV>
            <wp:extent cx="257175" cy="2571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-1619885</wp:posOffset>
            </wp:positionV>
            <wp:extent cx="205740" cy="188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-1619885</wp:posOffset>
            </wp:positionV>
            <wp:extent cx="20574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-1619885</wp:posOffset>
            </wp:positionV>
            <wp:extent cx="20574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-1619885</wp:posOffset>
            </wp:positionV>
            <wp:extent cx="20574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-1619885</wp:posOffset>
            </wp:positionV>
            <wp:extent cx="20574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-1619885</wp:posOffset>
            </wp:positionV>
            <wp:extent cx="20574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-1619885</wp:posOffset>
            </wp:positionV>
            <wp:extent cx="20574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-1619885</wp:posOffset>
            </wp:positionV>
            <wp:extent cx="20574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-1328420</wp:posOffset>
            </wp:positionV>
            <wp:extent cx="257175"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-1294130</wp:posOffset>
            </wp:positionV>
            <wp:extent cx="20574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-1294130</wp:posOffset>
            </wp:positionV>
            <wp:extent cx="20574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-1294130</wp:posOffset>
            </wp:positionV>
            <wp:extent cx="20574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-1294130</wp:posOffset>
            </wp:positionV>
            <wp:extent cx="20574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-985520</wp:posOffset>
            </wp:positionV>
            <wp:extent cx="257175" cy="2489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7175" cy="248920"/>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-959485</wp:posOffset>
            </wp:positionV>
            <wp:extent cx="20574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-959485</wp:posOffset>
            </wp:positionV>
            <wp:extent cx="20574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-959485</wp:posOffset>
            </wp:positionV>
            <wp:extent cx="20574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-959485</wp:posOffset>
            </wp:positionV>
            <wp:extent cx="20574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-959485</wp:posOffset>
            </wp:positionV>
            <wp:extent cx="20574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-659765</wp:posOffset>
            </wp:positionV>
            <wp:extent cx="257175"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-625475</wp:posOffset>
            </wp:positionV>
            <wp:extent cx="20574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-625475</wp:posOffset>
            </wp:positionV>
            <wp:extent cx="20574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-625475</wp:posOffset>
            </wp:positionV>
            <wp:extent cx="205740"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-625475</wp:posOffset>
            </wp:positionV>
            <wp:extent cx="20574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-625475</wp:posOffset>
            </wp:positionV>
            <wp:extent cx="20574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-625475</wp:posOffset>
            </wp:positionV>
            <wp:extent cx="20574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-625475</wp:posOffset>
            </wp:positionV>
            <wp:extent cx="20574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-325120</wp:posOffset>
            </wp:positionV>
            <wp:extent cx="257175"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-290830</wp:posOffset>
            </wp:positionV>
            <wp:extent cx="205740"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-290830</wp:posOffset>
            </wp:positionV>
            <wp:extent cx="205740"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-290830</wp:posOffset>
            </wp:positionV>
            <wp:extent cx="20574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-290830</wp:posOffset>
            </wp:positionV>
            <wp:extent cx="20574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-290830</wp:posOffset>
            </wp:positionV>
            <wp:extent cx="20574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-290830</wp:posOffset>
            </wp:positionV>
            <wp:extent cx="20574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-290830</wp:posOffset>
            </wp:positionV>
            <wp:extent cx="20574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-290830</wp:posOffset>
            </wp:positionV>
            <wp:extent cx="20574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-290830</wp:posOffset>
            </wp:positionV>
            <wp:extent cx="20574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5740" cy="18859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1560195</wp:posOffset>
            </wp:positionV>
            <wp:extent cx="394335"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 xml:space="preserve">Director Biographies - </w:t>
      </w:r>
      <w:r>
        <w:rPr>
          <w:rFonts w:ascii="Arial" w:cs="Arial" w:eastAsia="Arial" w:hAnsi="Arial"/>
          <w:sz w:val="25"/>
          <w:szCs w:val="25"/>
          <w:b w:val="1"/>
          <w:bCs w:val="1"/>
          <w:color w:val="FFC03C"/>
        </w:rPr>
        <w:t>Class 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1602740" cy="3454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02740" cy="3454400"/>
                    </a:xfrm>
                    <a:prstGeom prst="rect">
                      <a:avLst/>
                    </a:prstGeom>
                    <a:noFill/>
                  </pic:spPr>
                </pic:pic>
              </a:graphicData>
            </a:graphic>
          </wp:anchor>
        </w:drawing>
      </w:r>
    </w:p>
    <w:p>
      <w:pPr>
        <w:spacing w:after="0" w:line="385" w:lineRule="exact"/>
        <w:rPr>
          <w:sz w:val="20"/>
          <w:szCs w:val="20"/>
          <w:color w:val="auto"/>
        </w:rPr>
      </w:pPr>
    </w:p>
    <w:p>
      <w:pPr>
        <w:ind w:left="2780"/>
        <w:spacing w:after="0"/>
        <w:rPr>
          <w:sz w:val="20"/>
          <w:szCs w:val="20"/>
          <w:color w:val="auto"/>
        </w:rPr>
      </w:pPr>
      <w:r>
        <w:rPr>
          <w:rFonts w:ascii="Arial" w:cs="Arial" w:eastAsia="Arial" w:hAnsi="Arial"/>
          <w:sz w:val="25"/>
          <w:szCs w:val="25"/>
          <w:b w:val="1"/>
          <w:bCs w:val="1"/>
          <w:color w:val="006DB6"/>
        </w:rPr>
        <w:t>C. Ronald Blankenship</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7" w:lineRule="auto"/>
        <w:rPr>
          <w:sz w:val="20"/>
          <w:szCs w:val="20"/>
          <w:color w:val="auto"/>
        </w:rPr>
      </w:pPr>
      <w:r>
        <w:rPr>
          <w:rFonts w:ascii="Arial" w:cs="Arial" w:eastAsia="Arial" w:hAnsi="Arial"/>
          <w:sz w:val="16"/>
          <w:szCs w:val="16"/>
          <w:b w:val="1"/>
          <w:bCs w:val="1"/>
          <w:color w:val="auto"/>
        </w:rPr>
        <w:t>Audit Committee, Finance and Investment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1596390</wp:posOffset>
            </wp:positionV>
            <wp:extent cx="1602740" cy="3008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02740" cy="3008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Chief Executive Officer, Verde Realty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Mr. Blankenship served as President and Chief Executive Officer of Verde Realty, a real estate investment trust specializing in the ownership, acquisition and management of institutional-quality multifamily rental properties and industrial facilities, from January 2009 and Chairman of the Board from January 2012 until his retirement in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w:t>
      </w:r>
    </w:p>
    <w:p>
      <w:pPr>
        <w:ind w:right="160"/>
        <w:spacing w:after="0" w:line="258" w:lineRule="auto"/>
        <w:rPr>
          <w:sz w:val="20"/>
          <w:szCs w:val="20"/>
          <w:color w:val="auto"/>
        </w:rPr>
      </w:pPr>
      <w:r>
        <w:rPr>
          <w:rFonts w:ascii="Arial" w:cs="Arial" w:eastAsia="Arial" w:hAnsi="Arial"/>
          <w:sz w:val="16"/>
          <w:szCs w:val="16"/>
          <w:color w:val="auto"/>
        </w:rPr>
        <w:t>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(Chairman), Berkshire Residential Investments, a private investment management company (Chairman), and Merit Hill, a privately owned and operated real estate company.</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Blankenship is a Certified Public Accountant and a graduate of the University of Texas at Austin.</w:t>
      </w:r>
    </w:p>
    <w:p>
      <w:pPr>
        <w:spacing w:after="0" w:line="11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68</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Environmental, Social,</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Governance and</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and Compensation</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Michael Montelongo</w:t>
      </w:r>
    </w:p>
    <w:p>
      <w:pPr>
        <w:spacing w:after="0" w:line="130" w:lineRule="exact"/>
        <w:rPr>
          <w:sz w:val="20"/>
          <w:szCs w:val="20"/>
          <w:color w:val="auto"/>
        </w:rPr>
      </w:pPr>
    </w:p>
    <w:p>
      <w:pPr>
        <w:ind w:right="3460"/>
        <w:spacing w:after="0" w:line="283" w:lineRule="auto"/>
        <w:rPr>
          <w:sz w:val="20"/>
          <w:szCs w:val="20"/>
          <w:color w:val="auto"/>
        </w:rPr>
      </w:pPr>
      <w:r>
        <w:rPr>
          <w:rFonts w:ascii="Arial" w:cs="Arial" w:eastAsia="Arial" w:hAnsi="Arial"/>
          <w:sz w:val="16"/>
          <w:szCs w:val="16"/>
          <w:i w:val="1"/>
          <w:iCs w:val="1"/>
          <w:color w:val="706F6F"/>
        </w:rPr>
        <w:t xml:space="preserve">President and Chief Executive Officer of GRC Advisory Services, LLC </w:t>
      </w:r>
      <w:r>
        <w:rPr>
          <w:rFonts w:ascii="Arial" w:cs="Arial" w:eastAsia="Arial" w:hAnsi="Arial"/>
          <w:sz w:val="16"/>
          <w:szCs w:val="16"/>
          <w:color w:val="706F6F"/>
        </w:rPr>
        <w:t>Independent Director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Mr. Montelongo has served as President and Chief Executive Officer of GRC Advisory Services, LLC, a board governance firm, since July 2016, and was previously Chief Administrative Officer and Senior Vice President, Public Policy and Corporate Affairs for Sodexo, Inc. (Euronext:SW), a facilities and hospitality outsourcing solutions enterprise, from January 2008 to July 2016. He is a former George W. Bush White House appointee serving as the 19th Assistant Secretary for Financial Management and Chief Financial Officer of the U.S. Air Force from August 2001 to March 2005. Mr. Montelongo is a lifetime member of the Council on Foreign Relations and was an executive with a global management consulting firm and a regional telecommunications company. He completed a career in the U.S. Army that included line and staff assignments, a Congressional Fellowship in the U.S. Senate and service as an assistant professor teaching economics and political science at West Point. Mr. Montelongo also serves as a Lecturer of Business Administration on the Harvard Business School faculty and on the boards of Conduent Incorporated (NASDAQ: CNDT), an IT business process outsourcing company where he chairs the audit committee, the privately-held Palmex I Ltd, a multinational snack pellet producer, and the National Association of Corporate Directors (NACD).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Montelongo earned his B.S from West Point and an M.B.A. from Harvard Business School.</w:t>
      </w:r>
    </w:p>
    <w:p>
      <w:pPr>
        <w:spacing w:after="0" w:line="111"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We believe that Mr. Montelongo's extensive background in corporate governance, as well as his experience in the hospitality industry,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99060</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60"/>
          </w:cols>
          <w:pgMar w:left="320" w:top="125" w:right="3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2562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256286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75</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spacing w:after="0" w:line="259" w:lineRule="auto"/>
        <w:rPr>
          <w:sz w:val="20"/>
          <w:szCs w:val="20"/>
          <w:color w:val="auto"/>
        </w:rPr>
      </w:pPr>
      <w:r>
        <w:rPr>
          <w:rFonts w:ascii="Arial" w:cs="Arial" w:eastAsia="Arial" w:hAnsi="Arial"/>
          <w:sz w:val="16"/>
          <w:szCs w:val="16"/>
          <w:b w:val="1"/>
          <w:bCs w:val="1"/>
          <w:color w:val="auto"/>
        </w:rPr>
        <w:t>Audit Committee, Environmental, Social, Governance and Nominating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Charles Szalkowski</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Partner and General Counsel, Baker Botts L.L.P.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380"/>
        <w:spacing w:after="0" w:line="246" w:lineRule="auto"/>
        <w:rPr>
          <w:sz w:val="20"/>
          <w:szCs w:val="20"/>
          <w:color w:val="auto"/>
        </w:rPr>
      </w:pPr>
      <w:r>
        <w:rPr>
          <w:rFonts w:ascii="Arial" w:cs="Arial" w:eastAsia="Arial" w:hAnsi="Arial"/>
          <w:sz w:val="16"/>
          <w:szCs w:val="16"/>
          <w:color w:val="auto"/>
        </w:rPr>
        <w:t>Mr. Szalkowski worked with the law firm of Baker Botts L.L.P. from 1975 until he retired as a partner and general counsel of the firm in December 2012. Since his retirement, Mr. Szalkowski has pursued his personal interests.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Mr. Szalkowski is an emeritus member of the Rice University Board of Trustees, where he had previously chaired the Board’s audit committee and served on the compensation committee. Over the years, he has served on the boards of several non-profit organizations and continues as a board member of an aviation museum.</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8" w:lineRule="exact"/>
        <w:rPr>
          <w:sz w:val="20"/>
          <w:szCs w:val="20"/>
          <w:color w:val="auto"/>
        </w:rPr>
      </w:pPr>
    </w:p>
    <w:p>
      <w:pPr>
        <w:ind w:right="460"/>
        <w:spacing w:after="0" w:line="265" w:lineRule="auto"/>
        <w:rPr>
          <w:sz w:val="20"/>
          <w:szCs w:val="20"/>
          <w:color w:val="auto"/>
        </w:rPr>
      </w:pPr>
      <w:r>
        <w:rPr>
          <w:rFonts w:ascii="Arial" w:cs="Arial" w:eastAsia="Arial" w:hAnsi="Arial"/>
          <w:sz w:val="16"/>
          <w:szCs w:val="16"/>
          <w:color w:val="auto"/>
        </w:rPr>
        <w:t>Mr. Szalkowski became a Certified Public Accountant in 1971. He received his J.D. and M.B.A. degrees from Harvard University and his B.S. in Accounting and B.A. in economics and political science from Rice University.</w:t>
      </w:r>
    </w:p>
    <w:p>
      <w:pPr>
        <w:spacing w:after="0" w:line="6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believe that Mr. Szalkowski's experience obtained over decades of representing private and public companies and their boards of directors, including public companies in the energy, energy services, accommodations, and technology sectors, as well as his extensive corporate governance expertise,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150495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00"/>
          </w:cols>
          <w:pgMar w:left="320" w:top="125" w:right="39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Class II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02740" cy="31375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02740" cy="313753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63</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4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1382395</wp:posOffset>
            </wp:positionV>
            <wp:extent cx="394335"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Richard A. Navarre</w:t>
      </w:r>
    </w:p>
    <w:p>
      <w:pPr>
        <w:spacing w:after="0" w:line="130" w:lineRule="exact"/>
        <w:rPr>
          <w:sz w:val="20"/>
          <w:szCs w:val="20"/>
          <w:color w:val="auto"/>
        </w:rPr>
      </w:pPr>
    </w:p>
    <w:p>
      <w:pPr>
        <w:ind w:right="3620"/>
        <w:spacing w:after="0" w:line="301" w:lineRule="auto"/>
        <w:rPr>
          <w:sz w:val="20"/>
          <w:szCs w:val="20"/>
          <w:color w:val="auto"/>
        </w:rPr>
      </w:pPr>
      <w:r>
        <w:rPr>
          <w:rFonts w:ascii="Arial" w:cs="Arial" w:eastAsia="Arial" w:hAnsi="Arial"/>
          <w:sz w:val="16"/>
          <w:szCs w:val="16"/>
          <w:i w:val="1"/>
          <w:iCs w:val="1"/>
          <w:color w:val="706F6F"/>
        </w:rPr>
        <w:t xml:space="preserve">Former President and Chief Executive Officer of Covia Corporation </w:t>
      </w:r>
      <w:r>
        <w:rPr>
          <w:rFonts w:ascii="Arial" w:cs="Arial" w:eastAsia="Arial" w:hAnsi="Arial"/>
          <w:sz w:val="16"/>
          <w:szCs w:val="16"/>
          <w:color w:val="706F6F"/>
        </w:rPr>
        <w:t>Independent Chairman of the Board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Mr. Navarre served as President and Chief Executive Officer of Covia Corporation, a privately held, leading provider of high-quality minerals and material solutions for the industrial and energy markets from May 2019 until May 2021. From 2012 to 2019, Mr. Navarre served as an independent strategic business advisor to leading investment firms and the energy industry. From 1993 until 2012, Mr. Navarre held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currently an independent director, chairman of the conflicts committee, member of the audit, compensation and nominating and governance committees for Natural Resource Partners LP (NYSE:NRP); and independent director, chairman of the personnel and compensation committee and member of the ESG and Nominating committees for Arch Resources (NYSE:ARCH). He is a member of the Board of Advisors and the Hall of Fame of the College of Business and Analytics at Southern Illinois University-Carbondale.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Mr. Navarre is a Certified Public Accountant and received his B.S. in Accounting from Southern Illinois University-Carbondale.</w:t>
      </w:r>
    </w:p>
    <w:p>
      <w:pPr>
        <w:spacing w:after="0" w:line="5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believe that Mr. Navarre's over 35 years of diverse international business and finance experience, which include extensive governance, financial, operating, strategic planning, public company and coal and energy industry experience,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00"/>
          </w:cols>
          <w:pgMar w:left="320" w:top="125" w:right="39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6" w:name="page17"/>
    <w:bookmarkEnd w:id="16"/>
    <w:p>
      <w:pPr>
        <w:ind w:left="9480"/>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2434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68</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400"/>
        <w:spacing w:after="0" w:line="257" w:lineRule="auto"/>
        <w:rPr>
          <w:sz w:val="20"/>
          <w:szCs w:val="20"/>
          <w:color w:val="auto"/>
        </w:rPr>
      </w:pPr>
      <w:r>
        <w:rPr>
          <w:rFonts w:ascii="Arial" w:cs="Arial" w:eastAsia="Arial" w:hAnsi="Arial"/>
          <w:sz w:val="16"/>
          <w:szCs w:val="16"/>
          <w:b w:val="1"/>
          <w:bCs w:val="1"/>
          <w:color w:val="auto"/>
        </w:rPr>
        <w:t>Compensation Committee (Chair),</w:t>
      </w:r>
    </w:p>
    <w:p>
      <w:pPr>
        <w:spacing w:after="0" w:line="1" w:lineRule="exact"/>
        <w:rPr>
          <w:sz w:val="20"/>
          <w:szCs w:val="20"/>
          <w:color w:val="auto"/>
        </w:rPr>
      </w:pPr>
    </w:p>
    <w:p>
      <w:pPr>
        <w:ind w:left="280"/>
        <w:spacing w:after="0" w:line="276" w:lineRule="auto"/>
        <w:rPr>
          <w:sz w:val="20"/>
          <w:szCs w:val="20"/>
          <w:color w:val="auto"/>
        </w:rPr>
      </w:pPr>
      <w:r>
        <w:rPr>
          <w:rFonts w:ascii="Arial" w:cs="Arial" w:eastAsia="Arial" w:hAnsi="Arial"/>
          <w:sz w:val="16"/>
          <w:szCs w:val="16"/>
          <w:b w:val="1"/>
          <w:bCs w:val="1"/>
          <w:color w:val="auto"/>
        </w:rPr>
        <w:t>Finance and Investment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1602740" cy="36690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02740" cy="3669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Martin A. Lambert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Chief Executive Officer, Swan Hills Synfuels LP</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Lambert received his LLB degree from the University of Alberta.</w:t>
      </w:r>
    </w:p>
    <w:p>
      <w:pPr>
        <w:spacing w:after="0" w:line="11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that Mr. Lambert's Canadian industry experience and deep knowledge of Canadian law, as well as being one of the original board members of Civeo from the Oil States board of directors,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143510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68</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Audit Committee (Chair),</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Compensation</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Constance B. Moore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and Chief Executive Officer, BRE Properties, Inc.</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Ms. Moore has served as a director of TriPointe Homes (NYSE: TPH) since July 2014 and is currently the Chairman of the compensation committee as well as a member of its audit committee. She has served as a director of Healthcare Realty Trust (NYSE:HR) since March 2022 and is a member of its Nominating and Governance Committee. She served as a director of Columbia Property Trust (NYSE: CXP), including as chair of its board of directors in 2021, from November 2017 until it was acquired in December 2021. Ms. Moore was a director of BRE Properties, Inc.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40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Currently, she is chair of the Fisher Center for Real Estate and Urban Economics Policy Advisory Board at UC Berkeley; serves on the board of Haas School of Business, UC Berkeley; serves as Vice Chair the board of Bridge Housing Corporation; is a Governor and Lifetime Trustee of the Urban Land Institute (ULI); and serves on the board of the Tower Foundation at San Jose State University.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Ms. Moore holds an M.B.A. from the University of California, Berkeley, Haas School of Business, and a bachelor’s degree from San Jose State University.</w:t>
      </w:r>
    </w:p>
    <w:p>
      <w:pPr>
        <w:spacing w:after="0" w:line="5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We believe that Ms. Moore's over 40 years of real estate experience, 20 of which were as a public company director, as well as her extensive experience and valuable insight in public company accounting and reporting issues,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139065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580"/>
            <w:col w:w="8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Class III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602740" cy="27686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02740" cy="276860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50</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2014</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None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Bradley J. Dodson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President and Chief Executive Officer, Civeo Corporation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5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2682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268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720"/>
            <w:col w:w="8420"/>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64</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2021</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Audit Committee,</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Finance and Investment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962025</wp:posOffset>
            </wp:positionV>
            <wp:extent cx="394335" cy="1968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Jay K. Grewal</w:t>
      </w:r>
    </w:p>
    <w:p>
      <w:pPr>
        <w:spacing w:after="0" w:line="143" w:lineRule="exact"/>
        <w:rPr>
          <w:sz w:val="20"/>
          <w:szCs w:val="20"/>
          <w:color w:val="auto"/>
        </w:rPr>
      </w:pPr>
    </w:p>
    <w:p>
      <w:pPr>
        <w:ind w:right="3800"/>
        <w:spacing w:after="0" w:line="283" w:lineRule="auto"/>
        <w:rPr>
          <w:sz w:val="20"/>
          <w:szCs w:val="20"/>
          <w:color w:val="auto"/>
        </w:rPr>
      </w:pPr>
      <w:r>
        <w:rPr>
          <w:rFonts w:ascii="Arial" w:cs="Arial" w:eastAsia="Arial" w:hAnsi="Arial"/>
          <w:sz w:val="16"/>
          <w:szCs w:val="16"/>
          <w:i w:val="1"/>
          <w:iCs w:val="1"/>
          <w:color w:val="706F6F"/>
        </w:rPr>
        <w:t xml:space="preserve">Former President and Chief Executive Officer of Manitoba Hydro </w:t>
      </w:r>
      <w:r>
        <w:rPr>
          <w:rFonts w:ascii="Arial" w:cs="Arial" w:eastAsia="Arial" w:hAnsi="Arial"/>
          <w:sz w:val="16"/>
          <w:szCs w:val="16"/>
          <w:color w:val="706F6F"/>
        </w:rPr>
        <w:t>Independent Director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Ms. Grewal served as President and Chief Executive Officer of Manitoba Hydro, one of the largest integrated electric and natural gas utilities in Canada, from February 2019 to February 2024. Ms. Grewal joined Manitoba Hydro from the Northwest Territories Power Corporation where she held the position of President and CEO from June 2017 to February 2019. Before then, Ms. Grewal held senior executive roles with Capstone Mining Corporation (from 2011 to 2014), Accenture, Inc. (from 2006 to 2010) and CIBC World Markets (from 1996 to 2000). Ms. Grewal sits on the board of a number of industry associations including the Canadian Gas Association and the Canadian Electricity Association.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2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Ms. Grewal earned both a B.A. (honors) from the University of British Columbia as well as a M.B.A, finance from the Richard Ivey School of Business, University of Western Ontario.</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believe that Ms. Grewal's over 25 years of leadership and corporate management experience, including at executive levels in the utility, resource, finance and consulting sectors, make her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130175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20"/>
          </w:cols>
          <w:pgMar w:left="320" w:top="125" w:right="37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8" w:name="page19"/>
    <w:bookmarkEnd w:id="18"/>
    <w:p>
      <w:pPr>
        <w:ind w:left="9480"/>
        <w:spacing w:after="0"/>
        <w:rPr>
          <w:sz w:val="20"/>
          <w:szCs w:val="20"/>
          <w:color w:val="auto"/>
        </w:rPr>
      </w:pPr>
      <w:r>
        <w:rPr>
          <w:rFonts w:ascii="Arial" w:cs="Arial" w:eastAsia="Arial" w:hAnsi="Arial"/>
          <w:sz w:val="16"/>
          <w:szCs w:val="16"/>
          <w:b w:val="1"/>
          <w:bCs w:val="1"/>
          <w:color w:val="006DB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29146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29146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62</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auto"/>
        </w:rPr>
        <w:t>2017</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Committees:</w:t>
      </w:r>
    </w:p>
    <w:p>
      <w:pPr>
        <w:spacing w:after="0" w:line="31" w:lineRule="exact"/>
        <w:rPr>
          <w:sz w:val="20"/>
          <w:szCs w:val="20"/>
          <w:color w:val="auto"/>
        </w:rPr>
      </w:pPr>
    </w:p>
    <w:p>
      <w:pPr>
        <w:ind w:left="280" w:right="120"/>
        <w:spacing w:after="0" w:line="257" w:lineRule="auto"/>
        <w:rPr>
          <w:sz w:val="20"/>
          <w:szCs w:val="20"/>
          <w:color w:val="auto"/>
        </w:rPr>
      </w:pPr>
      <w:r>
        <w:rPr>
          <w:rFonts w:ascii="Arial" w:cs="Arial" w:eastAsia="Arial" w:hAnsi="Arial"/>
          <w:sz w:val="16"/>
          <w:szCs w:val="16"/>
          <w:b w:val="1"/>
          <w:bCs w:val="1"/>
          <w:color w:val="auto"/>
        </w:rPr>
        <w:t>Environmental, Social, Governance and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Nominating Committee,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Finance and Investment</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Timothy O. Wall</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706F6F"/>
        </w:rPr>
        <w:t>Former President, Kitimat LNG Upstream Operations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706F6F"/>
        </w:rPr>
        <w:t>Independent Director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Mr. Wall has served as President and Chief Executive Officer of Cycle Petroleum, LLC, an energy advisory firm, since 2016 and was previously President of Apache Kitimat Limited, an LNG development division of Apache Canada Limited (a subsidiary of APA Corporation, an oil and gas exploration and production company), from 2013 to 2015. He served as President of Apache Canada Limited (a subsidiary of APA Corporation) from 2009 to 2013 and as Managing Director, Apache Energy Limited (a subsidiary of APA Corporation) in Western Australia from 2005 to 2009. From 2005 until 2015, Mr. Wall also served as a Corporate Officer and Regional Vice-President of APA Corporation. Prior thereto, Mr. Wall served in various positions within APA Corporation in the United States, P.R. China, and Scotland, U.K. from 1990 to 2005. Mr. Wall previously served as a director for several industry organizations, including the Canadian Association of Petroleum Producers (CAPP), the Australian Petroleum Production and Exploration Association (APPEA), and the Australian Mines and Metals Association (AMMA).</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Other Qualifications: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Mr. Wall received his B.S. in Petroleum Engineering from Texas A&amp;M University.</w:t>
      </w:r>
    </w:p>
    <w:p>
      <w:pPr>
        <w:spacing w:after="0" w:line="9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believe that Mr. Wall's vast energy knowledge in Australia and Canada, his experience working with First Nations partners and his understanding of Canadian rules and regulations make him well qualified to serve as a director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121920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40" w:space="640"/>
            <w:col w:w="8460"/>
          </w:cols>
          <w:pgMar w:left="320" w:top="125"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w:t>
      </w:r>
      <w:r>
        <w:rPr>
          <w:rFonts w:ascii="Arial" w:cs="Arial" w:eastAsia="Arial" w:hAnsi="Arial"/>
          <w:sz w:val="32"/>
          <w:szCs w:val="32"/>
          <w:b w:val="1"/>
          <w:bCs w:val="1"/>
          <w:color w:val="0A2299"/>
        </w:rPr>
        <w:t>—</w:t>
      </w:r>
      <w:r>
        <w:rPr>
          <w:rFonts w:ascii="Arial" w:cs="Arial" w:eastAsia="Arial" w:hAnsi="Arial"/>
          <w:sz w:val="29"/>
          <w:szCs w:val="29"/>
          <w:b w:val="1"/>
          <w:bCs w:val="1"/>
          <w:color w:val="006DB6"/>
        </w:rPr>
        <w:t>Refreshment/Succession Planning</w:t>
      </w:r>
    </w:p>
    <w:p>
      <w:pPr>
        <w:spacing w:after="0" w:line="13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selecting nominees for the board of directors, the Environmental, Social, Governance and Nominating Committee considers, among other things, the diversity of the board of directors in terms of educational background, business industry experience, and knowledge of different geographic markets and the accommodations industry. Further, in considering nominees for director, diversity of viewpoints, expertise and experience are taken into account as well as gender, ethnicity and background. These factors are considered by the board of directors when identifying individuals for board membership. In the case of each current director being considered for renomination, the Environmental, Social, Governance and Nominating Committee took into account the director’s history of attendance at board of directors and committee meetings, the director’s tenure as a member of the board of directors and the director’s preparation for and participation in such meetings.</w:t>
      </w:r>
    </w:p>
    <w:p>
      <w:pPr>
        <w:spacing w:after="0" w:line="8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Because Civeo operates across the globe and serves customers and guests from different nations and backgrounds, we have always sought directors who, in addition to their integrity, experience, and acumen, have diverse backgrounds and points of view. Through purposeful refreshment, the Environmental, Social, Governance and Nominating Committee is committed to seeking highly qualified women and individuals from ethnically diverse groups to include in the pool of potential director candidates and has provided this instruction to the third-party search firm that it uses to assist in the identification of potential director candidates.</w:t>
      </w:r>
    </w:p>
    <w:p>
      <w:pPr>
        <w:sectPr>
          <w:pgSz w:w="11900" w:h="16838" w:orient="portrait"/>
          <w:cols w:equalWidth="0" w:num="1">
            <w:col w:w="11240"/>
          </w:cols>
          <w:pgMar w:left="320" w:top="125" w:right="339" w:bottom="1051"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 PROCESS</w:t>
      </w:r>
    </w:p>
    <w:p>
      <w:pPr>
        <w:spacing w:after="0" w:line="141"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Candidate Search</w:t>
      </w:r>
    </w:p>
    <w:p>
      <w:pPr>
        <w:spacing w:after="0" w:line="123" w:lineRule="exact"/>
        <w:rPr>
          <w:sz w:val="20"/>
          <w:szCs w:val="20"/>
          <w:color w:val="auto"/>
        </w:rPr>
      </w:pPr>
    </w:p>
    <w:p>
      <w:pPr>
        <w:ind w:left="580" w:right="180" w:hanging="203"/>
        <w:spacing w:after="0" w:line="275" w:lineRule="auto"/>
        <w:tabs>
          <w:tab w:leader="none" w:pos="550" w:val="left"/>
        </w:tabs>
        <w:numPr>
          <w:ilvl w:val="0"/>
          <w:numId w:val="12"/>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may seek referrals from other members of the board of directors, management, shareholders and other sources.</w:t>
      </w:r>
    </w:p>
    <w:p>
      <w:pPr>
        <w:spacing w:after="0" w:line="29" w:lineRule="exact"/>
        <w:rPr>
          <w:rFonts w:ascii="Arial" w:cs="Arial" w:eastAsia="Arial" w:hAnsi="Arial"/>
          <w:sz w:val="16"/>
          <w:szCs w:val="16"/>
          <w:color w:val="006DB6"/>
        </w:rPr>
      </w:pPr>
    </w:p>
    <w:p>
      <w:pPr>
        <w:ind w:left="580" w:right="140" w:hanging="203"/>
        <w:spacing w:after="0" w:line="275" w:lineRule="auto"/>
        <w:tabs>
          <w:tab w:leader="none" w:pos="550" w:val="left"/>
        </w:tabs>
        <w:numPr>
          <w:ilvl w:val="0"/>
          <w:numId w:val="12"/>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also may, but need not, retain a professional search firm in order to identify, recruit and evaluate qualified candidates for the board of directors.</w:t>
      </w:r>
    </w:p>
    <w:p>
      <w:pPr>
        <w:spacing w:after="0" w:line="192"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Consideration of Diversity and Other Relevant Factors</w:t>
      </w:r>
    </w:p>
    <w:p>
      <w:pPr>
        <w:spacing w:after="0" w:line="191" w:lineRule="exact"/>
        <w:rPr>
          <w:sz w:val="20"/>
          <w:szCs w:val="20"/>
          <w:color w:val="auto"/>
        </w:rPr>
      </w:pPr>
    </w:p>
    <w:p>
      <w:pPr>
        <w:ind w:left="580" w:hanging="203"/>
        <w:spacing w:after="0" w:line="259" w:lineRule="auto"/>
        <w:tabs>
          <w:tab w:leader="none" w:pos="550" w:val="left"/>
        </w:tabs>
        <w:numPr>
          <w:ilvl w:val="0"/>
          <w:numId w:val="13"/>
        </w:numPr>
        <w:rPr>
          <w:rFonts w:ascii="Arial" w:cs="Arial" w:eastAsia="Arial" w:hAnsi="Arial"/>
          <w:sz w:val="16"/>
          <w:szCs w:val="16"/>
          <w:color w:val="006DB6"/>
        </w:rPr>
      </w:pPr>
      <w:r>
        <w:rPr>
          <w:rFonts w:ascii="Arial" w:cs="Arial" w:eastAsia="Arial" w:hAnsi="Arial"/>
          <w:sz w:val="16"/>
          <w:szCs w:val="16"/>
          <w:color w:val="auto"/>
        </w:rPr>
        <w:t>The board of directors and the Environmental, Social, Governance and Nominating Committee are committed to actively seeking new and diverse members whose expertise lend to the greater needs of the board of directors. In that regard, the Environmental, Social, Governance and Nominating Committee considers race and gender of prospective director candidates, as well as the factors identified above, in order to achieve an overall variety and mix of diversity among our directors. The effectiveness of this policy is assessed in connection with the board of directors’ annual evaluation.</w:t>
      </w:r>
    </w:p>
    <w:p>
      <w:pPr>
        <w:spacing w:after="0" w:line="320" w:lineRule="exact"/>
        <w:rPr>
          <w:sz w:val="20"/>
          <w:szCs w:val="20"/>
          <w:color w:val="auto"/>
        </w:rPr>
      </w:pPr>
    </w:p>
    <w:p>
      <w:pPr>
        <w:ind w:left="380" w:right="500"/>
        <w:spacing w:after="0" w:line="296" w:lineRule="auto"/>
        <w:rPr>
          <w:sz w:val="20"/>
          <w:szCs w:val="20"/>
          <w:color w:val="auto"/>
        </w:rPr>
      </w:pPr>
      <w:r>
        <w:rPr>
          <w:rFonts w:ascii="Arial" w:cs="Arial" w:eastAsia="Arial" w:hAnsi="Arial"/>
          <w:sz w:val="18"/>
          <w:szCs w:val="18"/>
          <w:b w:val="1"/>
          <w:bCs w:val="1"/>
          <w:color w:val="006DB6"/>
        </w:rPr>
        <w:t>Assessment of the Environmental, Social,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-268605</wp:posOffset>
            </wp:positionV>
            <wp:extent cx="1797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9705" cy="128905"/>
                    </a:xfrm>
                    <a:prstGeom prst="rect">
                      <a:avLst/>
                    </a:prstGeom>
                    <a:noFill/>
                  </pic:spPr>
                </pic:pic>
              </a:graphicData>
            </a:graphic>
          </wp:anchor>
        </w:drawing>
      </w:r>
    </w:p>
    <w:p>
      <w:pPr>
        <w:spacing w:after="0" w:line="68" w:lineRule="exact"/>
        <w:rPr>
          <w:sz w:val="20"/>
          <w:szCs w:val="20"/>
          <w:color w:val="auto"/>
        </w:rPr>
      </w:pPr>
    </w:p>
    <w:p>
      <w:pPr>
        <w:ind w:left="580" w:right="200" w:hanging="203"/>
        <w:spacing w:after="0" w:line="286" w:lineRule="auto"/>
        <w:tabs>
          <w:tab w:leader="none" w:pos="550" w:val="left"/>
        </w:tabs>
        <w:numPr>
          <w:ilvl w:val="0"/>
          <w:numId w:val="14"/>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reviews the candidate’s experience, independence and understanding of the Company’s business.</w:t>
      </w:r>
    </w:p>
    <w:p>
      <w:pPr>
        <w:spacing w:after="0" w:line="291"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Interviews</w:t>
      </w:r>
    </w:p>
    <w:p>
      <w:pPr>
        <w:spacing w:after="0" w:line="96" w:lineRule="exact"/>
        <w:rPr>
          <w:sz w:val="20"/>
          <w:szCs w:val="20"/>
          <w:color w:val="auto"/>
        </w:rPr>
      </w:pPr>
    </w:p>
    <w:p>
      <w:pPr>
        <w:ind w:left="580" w:right="620" w:hanging="203"/>
        <w:spacing w:after="0" w:line="299" w:lineRule="auto"/>
        <w:tabs>
          <w:tab w:leader="none" w:pos="55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The Environmental, Social, Governance and Nominating Committee conducts an interview with each candidate.</w:t>
      </w:r>
    </w:p>
    <w:p>
      <w:pPr>
        <w:ind w:left="540" w:hanging="163"/>
        <w:spacing w:after="0"/>
        <w:tabs>
          <w:tab w:leader="none" w:pos="540" w:val="left"/>
        </w:tabs>
        <w:numPr>
          <w:ilvl w:val="0"/>
          <w:numId w:val="15"/>
        </w:numPr>
        <w:rPr>
          <w:rFonts w:ascii="Arial" w:cs="Arial" w:eastAsia="Arial" w:hAnsi="Arial"/>
          <w:sz w:val="16"/>
          <w:szCs w:val="16"/>
          <w:color w:val="006DB6"/>
        </w:rPr>
      </w:pPr>
      <w:r>
        <w:rPr>
          <w:rFonts w:ascii="Arial" w:cs="Arial" w:eastAsia="Arial" w:hAnsi="Arial"/>
          <w:sz w:val="16"/>
          <w:szCs w:val="16"/>
          <w:color w:val="auto"/>
        </w:rPr>
        <w:t>Further interviews are conducted with other directors as well as senior management.</w:t>
      </w:r>
    </w:p>
    <w:p>
      <w:pPr>
        <w:spacing w:after="0" w:line="127" w:lineRule="exact"/>
        <w:rPr>
          <w:sz w:val="20"/>
          <w:szCs w:val="20"/>
          <w:color w:val="auto"/>
        </w:rPr>
      </w:pPr>
    </w:p>
    <w:p>
      <w:pPr>
        <w:ind w:left="20"/>
        <w:spacing w:after="0"/>
        <w:rPr>
          <w:sz w:val="20"/>
          <w:szCs w:val="20"/>
          <w:color w:val="auto"/>
        </w:rPr>
      </w:pPr>
      <w:r>
        <w:rPr>
          <w:sz w:val="1"/>
          <w:szCs w:val="1"/>
          <w:color w:val="auto"/>
        </w:rPr>
        <w:drawing>
          <wp:inline distT="0" distB="0" distL="0" distR="0">
            <wp:extent cx="1797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9705" cy="128905"/>
                    </a:xfrm>
                    <a:prstGeom prst="rect">
                      <a:avLst/>
                    </a:prstGeom>
                    <a:noFill/>
                    <a:ln>
                      <a:noFill/>
                    </a:ln>
                  </pic:spPr>
                </pic:pic>
              </a:graphicData>
            </a:graphic>
          </wp:inline>
        </w:drawing>
      </w:r>
      <w:r>
        <w:rPr>
          <w:rFonts w:ascii="Arial" w:cs="Arial" w:eastAsia="Arial" w:hAnsi="Arial"/>
          <w:sz w:val="18"/>
          <w:szCs w:val="18"/>
          <w:b w:val="1"/>
          <w:bCs w:val="1"/>
          <w:color w:val="006DB6"/>
        </w:rPr>
        <w:t xml:space="preserve"> Recommendations</w:t>
      </w:r>
    </w:p>
    <w:p>
      <w:pPr>
        <w:spacing w:after="0" w:line="191" w:lineRule="exact"/>
        <w:rPr>
          <w:sz w:val="20"/>
          <w:szCs w:val="20"/>
          <w:color w:val="auto"/>
        </w:rPr>
      </w:pPr>
    </w:p>
    <w:p>
      <w:pPr>
        <w:jc w:val="both"/>
        <w:ind w:left="580" w:right="20" w:hanging="203"/>
        <w:spacing w:after="0" w:line="275" w:lineRule="auto"/>
        <w:tabs>
          <w:tab w:leader="none" w:pos="550" w:val="left"/>
        </w:tabs>
        <w:numPr>
          <w:ilvl w:val="0"/>
          <w:numId w:val="16"/>
        </w:numPr>
        <w:rPr>
          <w:rFonts w:ascii="Arial" w:cs="Arial" w:eastAsia="Arial" w:hAnsi="Arial"/>
          <w:sz w:val="16"/>
          <w:szCs w:val="16"/>
          <w:color w:val="006DB6"/>
        </w:rPr>
      </w:pPr>
      <w:r>
        <w:rPr>
          <w:rFonts w:ascii="Arial" w:cs="Arial" w:eastAsia="Arial" w:hAnsi="Arial"/>
          <w:sz w:val="16"/>
          <w:szCs w:val="16"/>
          <w:color w:val="auto"/>
        </w:rPr>
        <w:t>After the assessment and interview process, the Environmental, Social, Governance and Nominating Committee submits a recommendation of nominees to the board of directors, and the board of directors selects the nominees.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2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-158750</wp:posOffset>
            </wp:positionV>
            <wp:extent cx="968375" cy="4877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68375" cy="487743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were added in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last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Jay K. Grewal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620"/>
        <w:spacing w:after="0"/>
        <w:rPr>
          <w:sz w:val="20"/>
          <w:szCs w:val="20"/>
          <w:color w:val="auto"/>
        </w:rPr>
      </w:pPr>
      <w:r>
        <w:rPr>
          <w:rFonts w:ascii="Arial" w:cs="Arial" w:eastAsia="Arial" w:hAnsi="Arial"/>
          <w:sz w:val="16"/>
          <w:szCs w:val="16"/>
          <w:color w:val="auto"/>
        </w:rPr>
        <w:t>Michael</w:t>
      </w:r>
    </w:p>
    <w:p>
      <w:pPr>
        <w:spacing w:after="0" w:line="21" w:lineRule="exact"/>
        <w:rPr>
          <w:sz w:val="20"/>
          <w:szCs w:val="20"/>
          <w:color w:val="auto"/>
        </w:rPr>
      </w:pPr>
    </w:p>
    <w:p>
      <w:pPr>
        <w:jc w:val="center"/>
        <w:ind w:right="2620"/>
        <w:spacing w:after="0"/>
        <w:rPr>
          <w:sz w:val="20"/>
          <w:szCs w:val="20"/>
          <w:color w:val="auto"/>
        </w:rPr>
      </w:pPr>
      <w:r>
        <w:rPr>
          <w:rFonts w:ascii="Arial" w:cs="Arial" w:eastAsia="Arial" w:hAnsi="Arial"/>
          <w:sz w:val="16"/>
          <w:szCs w:val="16"/>
          <w:color w:val="auto"/>
        </w:rPr>
        <w:t>Montelongo</w:t>
      </w:r>
    </w:p>
    <w:p>
      <w:pPr>
        <w:spacing w:after="0" w:line="4061" w:lineRule="exact"/>
        <w:rPr>
          <w:sz w:val="20"/>
          <w:szCs w:val="20"/>
          <w:color w:val="auto"/>
        </w:rPr>
      </w:pPr>
    </w:p>
    <w:p>
      <w:pPr>
        <w:sectPr>
          <w:pgSz w:w="11900" w:h="16838" w:orient="portrait"/>
          <w:cols w:equalWidth="0" w:num="2">
            <w:col w:w="6960" w:space="340"/>
            <w:col w:w="3940"/>
          </w:cols>
          <w:pgMar w:left="320" w:top="125" w:right="339" w:bottom="1051" w:gutter="0" w:footer="0" w:header="0"/>
          <w:type w:val="continuous"/>
        </w:sectPr>
      </w:pPr>
    </w:p>
    <w:p>
      <w:pPr>
        <w:spacing w:after="0" w:line="8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Environmental, Social, Governance and Nominating Committee will consider recommendations from various sources, including from shareholders, regarding possible candidates for director. To submit a recommendation to the Environmental, Social, Governance and Nominating Committee, a shareholder should send a written request to the attention of Civeo’s Corporate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8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Civeo’s Corporate Governance Guidelines reflect our belief that directors should not be subject to term limits or age-based limits. While such limits could facilitate fresh ideas and viewpoints being consistently brought to the board of directors, we believe they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142240</wp:posOffset>
            </wp:positionV>
            <wp:extent cx="394335" cy="1974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ectPr>
          <w:pgSz w:w="11900" w:h="16838" w:orient="portrait"/>
          <w:cols w:equalWidth="0" w:num="1">
            <w:col w:w="11240"/>
          </w:cols>
          <w:pgMar w:left="320" w:top="125" w:right="339" w:bottom="1051"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051"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are counterbalanced by the disadvantage of causing the loss of a director who over a period of time has developed insight into our strategies, operations and risks and continues to provide valuable contributions to board of directors deliberations. Civeo has been a separate public company since May 2014, and during that time, 16 different individuals have served on our now 9-seat board of directors. As a result, the Environmental, Social, Governance and Nominating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professional time commitments, retirement or, in one case, a job opportunity in South Asia, or because particular shareholders who had proposed them as directors had changed their ownership positions in the Company. The board of directors regularly evaluates committee composition and whether to add new directors.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Director Resignation Policy</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Environmental, Social, Governance and Nominating Committee for consideration. The Environmental, Social, Governance and Nominating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Environmental, Social, Governance and Nominating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spacing w:after="0" w:line="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Civeo’s Corporate Governance Guidelines also provide that, if a director changes his or her employer or otherwise has a significant change in job responsibilities during his or her tenure as a director, that director is required to inform the Environmental, Social, Governance and Nominating Committee of the change and tender his or her resignation to the board of directors for consideration. Such resignation shall not be effective unless and until the board of directors chooses to accept the resignation. The board of directors, through the Environmental, Social, Governance and Nominating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Directors—Role and Responsibilities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Overview</w:t>
      </w:r>
    </w:p>
    <w:p>
      <w:pPr>
        <w:spacing w:after="0" w:line="13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Oversight of Enterprise Risk</w:t>
      </w:r>
    </w:p>
    <w:p>
      <w:pPr>
        <w:spacing w:after="0" w:line="132"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Risk oversight is a responsibility of the board of directors. The board of directors has delegated responsibility for monitoring certain enterprise risks to its standing committees. The board of directors and its committees utilize our Enterprise Risk Management process to assist in the oversight of our risks. Management and employees are responsible for day-to-day risk management, and management conducts an extensive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spacing w:after="0" w:line="8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 manager is identified to manage the risk, monitor potential impact of the risk and execute initiatives to mitigate the risk. In addition, the oversight of each key risk is allocated to a board committee or the entire board for oversight and monitoring.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7654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7654925"/>
                    </a:xfrm>
                    <a:prstGeom prst="rect">
                      <a:avLst/>
                    </a:prstGeom>
                    <a:noFill/>
                  </pic:spPr>
                </pic:pic>
              </a:graphicData>
            </a:graphic>
          </wp:anchor>
        </w:drawing>
      </w:r>
    </w:p>
    <w:p>
      <w:pPr>
        <w:spacing w:after="0" w:line="3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6DB6"/>
        </w:rPr>
        <w:t>Board of Directors</w:t>
      </w:r>
    </w:p>
    <w:p>
      <w:pPr>
        <w:spacing w:after="0" w:line="248" w:lineRule="exact"/>
        <w:rPr>
          <w:sz w:val="20"/>
          <w:szCs w:val="20"/>
          <w:color w:val="auto"/>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Is primarily responsible for the oversight of risk.</w:t>
      </w:r>
    </w:p>
    <w:p>
      <w:pPr>
        <w:spacing w:after="0" w:line="30" w:lineRule="exact"/>
        <w:rPr>
          <w:rFonts w:ascii="Arial" w:cs="Arial" w:eastAsia="Arial" w:hAnsi="Arial"/>
          <w:sz w:val="16"/>
          <w:szCs w:val="16"/>
          <w:color w:val="006DB6"/>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Delegates responsibility for monitoring certain risks to its standing committees.</w:t>
      </w:r>
    </w:p>
    <w:p>
      <w:pPr>
        <w:spacing w:after="0" w:line="8" w:lineRule="exact"/>
        <w:rPr>
          <w:rFonts w:ascii="Arial" w:cs="Arial" w:eastAsia="Arial" w:hAnsi="Arial"/>
          <w:sz w:val="16"/>
          <w:szCs w:val="16"/>
          <w:color w:val="006DB6"/>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Maintains responsibility for oversight of safety and food safety risks.</w:t>
      </w:r>
    </w:p>
    <w:p>
      <w:pPr>
        <w:spacing w:after="0" w:line="14" w:lineRule="exact"/>
        <w:rPr>
          <w:rFonts w:ascii="Arial" w:cs="Arial" w:eastAsia="Arial" w:hAnsi="Arial"/>
          <w:sz w:val="16"/>
          <w:szCs w:val="16"/>
          <w:color w:val="006DB6"/>
        </w:rPr>
      </w:pPr>
    </w:p>
    <w:p>
      <w:pPr>
        <w:ind w:left="460" w:hanging="168"/>
        <w:spacing w:after="0"/>
        <w:tabs>
          <w:tab w:leader="none" w:pos="460" w:val="left"/>
        </w:tabs>
        <w:numPr>
          <w:ilvl w:val="0"/>
          <w:numId w:val="17"/>
        </w:numPr>
        <w:rPr>
          <w:rFonts w:ascii="Arial" w:cs="Arial" w:eastAsia="Arial" w:hAnsi="Arial"/>
          <w:sz w:val="16"/>
          <w:szCs w:val="16"/>
          <w:color w:val="006DB6"/>
        </w:rPr>
      </w:pPr>
      <w:r>
        <w:rPr>
          <w:rFonts w:ascii="Arial" w:cs="Arial" w:eastAsia="Arial" w:hAnsi="Arial"/>
          <w:sz w:val="16"/>
          <w:szCs w:val="16"/>
          <w:color w:val="auto"/>
        </w:rPr>
        <w:t>Receives regular reports from committees and management concerning identified risks and mitigation or management of such risks.</w:t>
      </w:r>
    </w:p>
    <w:p>
      <w:pPr>
        <w:spacing w:after="0" w:line="344" w:lineRule="exact"/>
        <w:rPr>
          <w:sz w:val="20"/>
          <w:szCs w:val="20"/>
          <w:color w:val="auto"/>
        </w:rPr>
      </w:pPr>
    </w:p>
    <w:tbl>
      <w:tblPr>
        <w:tblLayout w:type="fixed"/>
        <w:tblInd w:w="2200" w:type="dxa"/>
        <w:tblCellMar>
          <w:top w:w="0" w:type="dxa"/>
          <w:left w:w="0" w:type="dxa"/>
          <w:bottom w:w="0" w:type="dxa"/>
          <w:right w:w="0" w:type="dxa"/>
        </w:tblCellMar>
      </w:tblPr>
      <w:tr>
        <w:trPr>
          <w:trHeight w:val="223"/>
        </w:trPr>
        <w:tc>
          <w:tcPr>
            <w:tcW w:w="324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3940" w:type="dxa"/>
            <w:vAlign w:val="bottom"/>
          </w:tcPr>
          <w:p>
            <w:pPr>
              <w:ind w:left="1940"/>
              <w:spacing w:after="0"/>
              <w:rPr>
                <w:sz w:val="20"/>
                <w:szCs w:val="20"/>
                <w:color w:val="auto"/>
              </w:rPr>
            </w:pPr>
            <w:r>
              <w:rPr>
                <w:rFonts w:ascii="Arial" w:cs="Arial" w:eastAsia="Arial" w:hAnsi="Arial"/>
                <w:sz w:val="16"/>
                <w:szCs w:val="16"/>
                <w:b w:val="1"/>
                <w:bCs w:val="1"/>
                <w:color w:val="auto"/>
                <w:w w:val="99"/>
              </w:rPr>
              <w:t>Compensation Committee</w:t>
            </w:r>
          </w:p>
        </w:tc>
      </w:tr>
    </w:tbl>
    <w:p>
      <w:pPr>
        <w:spacing w:after="0" w:line="200" w:lineRule="exact"/>
        <w:rPr>
          <w:sz w:val="20"/>
          <w:szCs w:val="20"/>
          <w:color w:val="auto"/>
        </w:rPr>
      </w:pPr>
    </w:p>
    <w:p>
      <w:pPr>
        <w:sectPr>
          <w:pgSz w:w="11900" w:h="16838" w:orient="portrait"/>
          <w:cols w:equalWidth="0" w:num="1">
            <w:col w:w="11020"/>
          </w:cols>
          <w:pgMar w:left="320" w:top="125" w:right="559" w:bottom="1440" w:gutter="0" w:footer="0" w:header="0"/>
        </w:sectPr>
      </w:pPr>
    </w:p>
    <w:p>
      <w:pPr>
        <w:spacing w:after="0" w:line="90" w:lineRule="exact"/>
        <w:rPr>
          <w:sz w:val="20"/>
          <w:szCs w:val="20"/>
          <w:color w:val="auto"/>
        </w:rPr>
      </w:pPr>
    </w:p>
    <w:p>
      <w:pPr>
        <w:ind w:left="460" w:hanging="168"/>
        <w:spacing w:after="0"/>
        <w:tabs>
          <w:tab w:leader="none" w:pos="46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72" w:lineRule="exact"/>
        <w:rPr>
          <w:rFonts w:ascii="Arial" w:cs="Arial" w:eastAsia="Arial" w:hAnsi="Arial"/>
          <w:sz w:val="16"/>
          <w:szCs w:val="16"/>
          <w:color w:val="006DB6"/>
        </w:rPr>
      </w:pPr>
    </w:p>
    <w:p>
      <w:pPr>
        <w:ind w:left="700" w:right="140" w:hanging="193"/>
        <w:spacing w:after="0" w:line="265" w:lineRule="auto"/>
        <w:tabs>
          <w:tab w:leader="none" w:pos="698" w:val="left"/>
        </w:tabs>
        <w:numPr>
          <w:ilvl w:val="1"/>
          <w:numId w:val="18"/>
        </w:numPr>
        <w:rPr>
          <w:rFonts w:ascii="Arial" w:cs="Arial" w:eastAsia="Arial" w:hAnsi="Arial"/>
          <w:sz w:val="16"/>
          <w:szCs w:val="16"/>
          <w:color w:val="auto"/>
        </w:rPr>
      </w:pPr>
      <w:r>
        <w:rPr>
          <w:rFonts w:ascii="Arial" w:cs="Arial" w:eastAsia="Arial" w:hAnsi="Arial"/>
          <w:sz w:val="16"/>
          <w:szCs w:val="16"/>
          <w:color w:val="auto"/>
        </w:rPr>
        <w:t>Financial statements, financial reporting process and internal controls over financial reporting;</w:t>
      </w:r>
    </w:p>
    <w:p>
      <w:pPr>
        <w:spacing w:after="0" w:line="1"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Regulatory and accounting compliance;</w:t>
      </w:r>
    </w:p>
    <w:p>
      <w:pPr>
        <w:spacing w:after="0" w:line="14"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Litigation risks;</w:t>
      </w:r>
    </w:p>
    <w:p>
      <w:pPr>
        <w:spacing w:after="0" w:line="8"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Technology and cybersecurity risks; and</w:t>
      </w:r>
    </w:p>
    <w:p>
      <w:pPr>
        <w:spacing w:after="0" w:line="5" w:lineRule="exact"/>
        <w:rPr>
          <w:rFonts w:ascii="Arial" w:cs="Arial" w:eastAsia="Arial" w:hAnsi="Arial"/>
          <w:sz w:val="16"/>
          <w:szCs w:val="16"/>
          <w:color w:val="auto"/>
        </w:rPr>
      </w:pPr>
    </w:p>
    <w:p>
      <w:pPr>
        <w:ind w:left="700" w:hanging="193"/>
        <w:spacing w:after="0"/>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Succession of accounting and finance personnel.</w:t>
      </w:r>
    </w:p>
    <w:p>
      <w:pPr>
        <w:spacing w:after="0" w:line="70" w:lineRule="exact"/>
        <w:rPr>
          <w:rFonts w:ascii="Arial" w:cs="Arial" w:eastAsia="Arial" w:hAnsi="Arial"/>
          <w:sz w:val="16"/>
          <w:szCs w:val="16"/>
          <w:color w:val="auto"/>
        </w:rPr>
      </w:pPr>
    </w:p>
    <w:p>
      <w:pPr>
        <w:ind w:left="480" w:right="20" w:hanging="188"/>
        <w:spacing w:after="0" w:line="299" w:lineRule="auto"/>
        <w:tabs>
          <w:tab w:leader="none" w:pos="45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Oversees the internal audit function, including an annual review of scope and duties.</w:t>
      </w:r>
    </w:p>
    <w:p>
      <w:pPr>
        <w:ind w:left="460" w:hanging="168"/>
        <w:spacing w:after="0"/>
        <w:tabs>
          <w:tab w:leader="none" w:pos="460" w:val="left"/>
        </w:tabs>
        <w:numPr>
          <w:ilvl w:val="0"/>
          <w:numId w:val="18"/>
        </w:numPr>
        <w:rPr>
          <w:rFonts w:ascii="Arial" w:cs="Arial" w:eastAsia="Arial" w:hAnsi="Arial"/>
          <w:sz w:val="16"/>
          <w:szCs w:val="16"/>
          <w:color w:val="006DB6"/>
        </w:rPr>
      </w:pPr>
      <w:r>
        <w:rPr>
          <w:rFonts w:ascii="Arial" w:cs="Arial" w:eastAsia="Arial" w:hAnsi="Arial"/>
          <w:sz w:val="16"/>
          <w:szCs w:val="16"/>
          <w:color w:val="auto"/>
        </w:rPr>
        <w:t>Reviews results of management's risk assessment.</w:t>
      </w:r>
    </w:p>
    <w:p>
      <w:pPr>
        <w:spacing w:after="0" w:line="200" w:lineRule="exact"/>
        <w:rPr>
          <w:sz w:val="20"/>
          <w:szCs w:val="20"/>
          <w:color w:val="auto"/>
        </w:rPr>
      </w:pPr>
    </w:p>
    <w:p>
      <w:pPr>
        <w:spacing w:after="0" w:line="21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Environmental, Social, Governance &amp; Nominating Committee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166" w:hanging="166"/>
        <w:spacing w:after="0"/>
        <w:tabs>
          <w:tab w:leader="none" w:pos="166"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Oversees risks related to:</w:t>
      </w:r>
    </w:p>
    <w:p>
      <w:pPr>
        <w:spacing w:after="0" w:line="72" w:lineRule="exact"/>
        <w:rPr>
          <w:rFonts w:ascii="Arial" w:cs="Arial" w:eastAsia="Arial" w:hAnsi="Arial"/>
          <w:sz w:val="16"/>
          <w:szCs w:val="16"/>
          <w:color w:val="006DB6"/>
        </w:rPr>
      </w:pPr>
    </w:p>
    <w:p>
      <w:pPr>
        <w:ind w:left="406" w:hanging="192"/>
        <w:spacing w:after="0"/>
        <w:tabs>
          <w:tab w:leader="none" w:pos="40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Executive compensation; and</w:t>
      </w:r>
    </w:p>
    <w:p>
      <w:pPr>
        <w:spacing w:after="0" w:line="30" w:lineRule="exact"/>
        <w:rPr>
          <w:rFonts w:ascii="Arial" w:cs="Arial" w:eastAsia="Arial" w:hAnsi="Arial"/>
          <w:sz w:val="16"/>
          <w:szCs w:val="16"/>
          <w:color w:val="auto"/>
        </w:rPr>
      </w:pPr>
    </w:p>
    <w:p>
      <w:pPr>
        <w:ind w:left="406" w:hanging="192"/>
        <w:spacing w:after="0"/>
        <w:tabs>
          <w:tab w:leader="none" w:pos="406" w:val="left"/>
        </w:tabs>
        <w:numPr>
          <w:ilvl w:val="1"/>
          <w:numId w:val="19"/>
        </w:numPr>
        <w:rPr>
          <w:rFonts w:ascii="Arial" w:cs="Arial" w:eastAsia="Arial" w:hAnsi="Arial"/>
          <w:sz w:val="16"/>
          <w:szCs w:val="16"/>
          <w:color w:val="auto"/>
        </w:rPr>
      </w:pPr>
      <w:r>
        <w:rPr>
          <w:rFonts w:ascii="Arial" w:cs="Arial" w:eastAsia="Arial" w:hAnsi="Arial"/>
          <w:sz w:val="16"/>
          <w:szCs w:val="16"/>
          <w:color w:val="auto"/>
        </w:rPr>
        <w:t>Succession of key personnel.</w:t>
      </w:r>
    </w:p>
    <w:p>
      <w:pPr>
        <w:spacing w:after="0" w:line="73" w:lineRule="exact"/>
        <w:rPr>
          <w:rFonts w:ascii="Arial" w:cs="Arial" w:eastAsia="Arial" w:hAnsi="Arial"/>
          <w:sz w:val="16"/>
          <w:szCs w:val="16"/>
          <w:color w:val="auto"/>
        </w:rPr>
      </w:pPr>
    </w:p>
    <w:p>
      <w:pPr>
        <w:ind w:left="186" w:right="240" w:hanging="186"/>
        <w:spacing w:after="0" w:line="265" w:lineRule="auto"/>
        <w:tabs>
          <w:tab w:leader="none" w:pos="156" w:val="left"/>
        </w:tabs>
        <w:numPr>
          <w:ilvl w:val="0"/>
          <w:numId w:val="19"/>
        </w:numPr>
        <w:rPr>
          <w:rFonts w:ascii="Arial" w:cs="Arial" w:eastAsia="Arial" w:hAnsi="Arial"/>
          <w:sz w:val="16"/>
          <w:szCs w:val="16"/>
          <w:color w:val="006DB6"/>
        </w:rPr>
      </w:pPr>
      <w:r>
        <w:rPr>
          <w:rFonts w:ascii="Arial" w:cs="Arial" w:eastAsia="Arial" w:hAnsi="Arial"/>
          <w:sz w:val="16"/>
          <w:szCs w:val="16"/>
          <w:color w:val="auto"/>
        </w:rPr>
        <w:t>Reviews our compensation policies to help ensure they do not encourage excessive or unnecessary risk-taking, and that the level of risk that they do encourage is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6"/>
        <w:spacing w:after="0"/>
        <w:rPr>
          <w:sz w:val="20"/>
          <w:szCs w:val="20"/>
          <w:color w:val="auto"/>
        </w:rPr>
      </w:pPr>
      <w:r>
        <w:rPr>
          <w:rFonts w:ascii="Arial" w:cs="Arial" w:eastAsia="Arial" w:hAnsi="Arial"/>
          <w:sz w:val="16"/>
          <w:szCs w:val="16"/>
          <w:b w:val="1"/>
          <w:bCs w:val="1"/>
          <w:color w:val="auto"/>
        </w:rPr>
        <w:t>Finance and Investment Committee</w:t>
      </w:r>
    </w:p>
    <w:p>
      <w:pPr>
        <w:spacing w:after="0" w:line="200" w:lineRule="exact"/>
        <w:rPr>
          <w:sz w:val="20"/>
          <w:szCs w:val="20"/>
          <w:color w:val="auto"/>
        </w:rPr>
      </w:pPr>
    </w:p>
    <w:p>
      <w:pPr>
        <w:sectPr>
          <w:pgSz w:w="11900" w:h="16838" w:orient="portrait"/>
          <w:cols w:equalWidth="0" w:num="2">
            <w:col w:w="5200" w:space="614"/>
            <w:col w:w="5206"/>
          </w:cols>
          <w:pgMar w:left="320" w:top="125" w:right="559" w:bottom="1440" w:gutter="0" w:footer="0" w:header="0"/>
          <w:type w:val="continuous"/>
        </w:sectPr>
      </w:pP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140" w:type="dxa"/>
            <w:vAlign w:val="bottom"/>
            <w:gridSpan w:val="2"/>
          </w:tcPr>
          <w:p>
            <w:pPr>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Oversees risks related to:</w:t>
            </w:r>
          </w:p>
        </w:tc>
        <w:tc>
          <w:tcPr>
            <w:tcW w:w="4120" w:type="dxa"/>
            <w:vAlign w:val="bottom"/>
            <w:gridSpan w:val="2"/>
          </w:tcPr>
          <w:p>
            <w:pPr>
              <w:ind w:left="380"/>
              <w:spacing w:after="0"/>
              <w:rPr>
                <w:sz w:val="20"/>
                <w:szCs w:val="20"/>
                <w:color w:val="auto"/>
              </w:rPr>
            </w:pPr>
            <w:r>
              <w:rPr>
                <w:rFonts w:ascii="Arial" w:cs="Arial" w:eastAsia="Arial" w:hAnsi="Arial"/>
                <w:sz w:val="16"/>
                <w:szCs w:val="16"/>
                <w:color w:val="006DB6"/>
              </w:rPr>
              <w:t xml:space="preserve">• </w:t>
            </w:r>
            <w:r>
              <w:rPr>
                <w:rFonts w:ascii="Arial" w:cs="Arial" w:eastAsia="Arial" w:hAnsi="Arial"/>
                <w:sz w:val="16"/>
                <w:szCs w:val="16"/>
                <w:color w:val="000000"/>
              </w:rPr>
              <w:t>Involved in risk considerations related to:</w:t>
            </w:r>
          </w:p>
        </w:tc>
      </w:tr>
      <w:tr>
        <w:trPr>
          <w:trHeight w:val="244"/>
        </w:trPr>
        <w:tc>
          <w:tcPr>
            <w:tcW w:w="420" w:type="dxa"/>
            <w:vAlign w:val="bottom"/>
          </w:tcPr>
          <w:p>
            <w:pPr>
              <w:ind w:left="280"/>
              <w:spacing w:after="0"/>
              <w:rPr>
                <w:sz w:val="20"/>
                <w:szCs w:val="20"/>
                <w:color w:val="auto"/>
              </w:rPr>
            </w:pPr>
            <w:r>
              <w:rPr>
                <w:rFonts w:ascii="Arial" w:cs="Arial" w:eastAsia="Arial" w:hAnsi="Arial"/>
                <w:sz w:val="16"/>
                <w:szCs w:val="16"/>
                <w:color w:val="006DB6"/>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Independence of board of directors and potential conflicts of</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Civeo's strategic objectives;</w:t>
            </w:r>
          </w:p>
        </w:tc>
      </w:tr>
      <w:tr>
        <w:trPr>
          <w:trHeight w:val="189"/>
        </w:trPr>
        <w:tc>
          <w:tcPr>
            <w:tcW w:w="420" w:type="dxa"/>
            <w:vAlign w:val="bottom"/>
          </w:tcPr>
          <w:p>
            <w:pPr>
              <w:spacing w:after="0"/>
              <w:rPr>
                <w:sz w:val="16"/>
                <w:szCs w:val="16"/>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interest;</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Capital allocation policies;</w:t>
            </w:r>
          </w:p>
        </w:tc>
      </w:tr>
      <w:tr>
        <w:trPr>
          <w:trHeight w:val="203"/>
        </w:trPr>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of board of directors and related committee</w:t>
            </w:r>
          </w:p>
        </w:tc>
        <w:tc>
          <w:tcPr>
            <w:tcW w:w="720" w:type="dxa"/>
            <w:vAlign w:val="bottom"/>
          </w:tcPr>
          <w:p>
            <w:pPr>
              <w:ind w:left="580"/>
              <w:spacing w:after="0"/>
              <w:rPr>
                <w:sz w:val="20"/>
                <w:szCs w:val="20"/>
                <w:color w:val="auto"/>
              </w:rPr>
            </w:pPr>
            <w:r>
              <w:rPr>
                <w:rFonts w:ascii="Arial" w:cs="Arial" w:eastAsia="Arial" w:hAnsi="Arial"/>
                <w:sz w:val="16"/>
                <w:szCs w:val="16"/>
                <w:color w:val="auto"/>
              </w:rPr>
              <w:t>◦</w:t>
            </w:r>
          </w:p>
        </w:tc>
        <w:tc>
          <w:tcPr>
            <w:tcW w:w="3400" w:type="dxa"/>
            <w:vAlign w:val="bottom"/>
          </w:tcPr>
          <w:p>
            <w:pPr>
              <w:ind w:left="60"/>
              <w:spacing w:after="0"/>
              <w:rPr>
                <w:sz w:val="20"/>
                <w:szCs w:val="20"/>
                <w:color w:val="auto"/>
              </w:rPr>
            </w:pPr>
            <w:r>
              <w:rPr>
                <w:rFonts w:ascii="Arial" w:cs="Arial" w:eastAsia="Arial" w:hAnsi="Arial"/>
                <w:sz w:val="16"/>
                <w:szCs w:val="16"/>
                <w:color w:val="auto"/>
              </w:rPr>
              <w:t>Debt strategies; and</w:t>
            </w:r>
          </w:p>
        </w:tc>
      </w:tr>
      <w:tr>
        <w:trPr>
          <w:trHeight w:val="205"/>
        </w:trPr>
        <w:tc>
          <w:tcPr>
            <w:tcW w:w="420" w:type="dxa"/>
            <w:vAlign w:val="bottom"/>
          </w:tcPr>
          <w:p>
            <w:pPr>
              <w:spacing w:after="0"/>
              <w:rPr>
                <w:sz w:val="17"/>
                <w:szCs w:val="17"/>
                <w:color w:val="auto"/>
              </w:rPr>
            </w:pPr>
          </w:p>
        </w:tc>
        <w:tc>
          <w:tcPr>
            <w:tcW w:w="4720" w:type="dxa"/>
            <w:vAlign w:val="bottom"/>
          </w:tcPr>
          <w:p>
            <w:pPr>
              <w:ind w:left="60"/>
              <w:spacing w:after="0"/>
              <w:rPr>
                <w:sz w:val="20"/>
                <w:szCs w:val="20"/>
                <w:color w:val="auto"/>
              </w:rPr>
            </w:pPr>
            <w:r>
              <w:rPr>
                <w:rFonts w:ascii="Arial" w:cs="Arial" w:eastAsia="Arial" w:hAnsi="Arial"/>
                <w:sz w:val="16"/>
                <w:szCs w:val="16"/>
                <w:color w:val="auto"/>
              </w:rPr>
              <w:t>composition; and</w:t>
            </w:r>
          </w:p>
        </w:tc>
        <w:tc>
          <w:tcPr>
            <w:tcW w:w="4120" w:type="dxa"/>
            <w:vAlign w:val="bottom"/>
            <w:gridSpan w:val="2"/>
          </w:tcPr>
          <w:p>
            <w:pPr>
              <w:ind w:left="580"/>
              <w:spacing w:after="0"/>
              <w:rPr>
                <w:sz w:val="20"/>
                <w:szCs w:val="20"/>
                <w:color w:val="auto"/>
              </w:rPr>
            </w:pPr>
            <w:r>
              <w:rPr>
                <w:rFonts w:ascii="Arial" w:cs="Arial" w:eastAsia="Arial" w:hAnsi="Arial"/>
                <w:sz w:val="16"/>
                <w:szCs w:val="16"/>
                <w:color w:val="auto"/>
              </w:rPr>
              <w:t>◦  Distributions and return of capital transactions.</w:t>
            </w:r>
          </w:p>
        </w:tc>
      </w:tr>
    </w:tbl>
    <w:p>
      <w:pPr>
        <w:ind w:left="780" w:hanging="192"/>
        <w:spacing w:after="0"/>
        <w:tabs>
          <w:tab w:leader="none" w:pos="7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Corporate governance.</w:t>
      </w:r>
    </w:p>
    <w:p>
      <w:pPr>
        <w:spacing w:after="0" w:line="5" w:lineRule="exact"/>
        <w:rPr>
          <w:rFonts w:ascii="Arial" w:cs="Arial" w:eastAsia="Arial" w:hAnsi="Arial"/>
          <w:sz w:val="16"/>
          <w:szCs w:val="16"/>
          <w:color w:val="auto"/>
        </w:rPr>
      </w:pPr>
    </w:p>
    <w:p>
      <w:pPr>
        <w:ind w:left="420" w:hanging="156"/>
        <w:spacing w:after="0"/>
        <w:tabs>
          <w:tab w:leader="none" w:pos="420" w:val="left"/>
        </w:tabs>
        <w:numPr>
          <w:ilvl w:val="0"/>
          <w:numId w:val="20"/>
        </w:numPr>
        <w:rPr>
          <w:rFonts w:ascii="Arial" w:cs="Arial" w:eastAsia="Arial" w:hAnsi="Arial"/>
          <w:sz w:val="16"/>
          <w:szCs w:val="16"/>
          <w:color w:val="006DB6"/>
        </w:rPr>
      </w:pPr>
      <w:r>
        <w:rPr>
          <w:rFonts w:ascii="Arial" w:cs="Arial" w:eastAsia="Arial" w:hAnsi="Arial"/>
          <w:sz w:val="16"/>
          <w:szCs w:val="16"/>
          <w:color w:val="auto"/>
        </w:rPr>
        <w:t>Performs annual evaluation of the board of directors, each individual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 and each committee.</w:t>
      </w:r>
    </w:p>
    <w:p>
      <w:pPr>
        <w:spacing w:after="0" w:line="9" w:lineRule="exact"/>
        <w:rPr>
          <w:sz w:val="20"/>
          <w:szCs w:val="20"/>
          <w:color w:val="auto"/>
        </w:rPr>
      </w:pPr>
    </w:p>
    <w:p>
      <w:pPr>
        <w:ind w:left="420" w:hanging="156"/>
        <w:spacing w:after="0"/>
        <w:tabs>
          <w:tab w:leader="none" w:pos="420" w:val="left"/>
        </w:tabs>
        <w:numPr>
          <w:ilvl w:val="0"/>
          <w:numId w:val="21"/>
        </w:numPr>
        <w:rPr>
          <w:rFonts w:ascii="Arial" w:cs="Arial" w:eastAsia="Arial" w:hAnsi="Arial"/>
          <w:sz w:val="16"/>
          <w:szCs w:val="16"/>
          <w:color w:val="006DB6"/>
        </w:rPr>
      </w:pPr>
      <w:r>
        <w:rPr>
          <w:rFonts w:ascii="Arial" w:cs="Arial" w:eastAsia="Arial" w:hAnsi="Arial"/>
          <w:sz w:val="16"/>
          <w:szCs w:val="16"/>
          <w:color w:val="auto"/>
        </w:rPr>
        <w:t>Oversees Civeo's strategy and initiatives with regard to ESG matters.</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6DB6"/>
        </w:rPr>
        <w:t>Management</w:t>
      </w:r>
    </w:p>
    <w:p>
      <w:pPr>
        <w:spacing w:after="0" w:line="59" w:lineRule="exact"/>
        <w:rPr>
          <w:sz w:val="20"/>
          <w:szCs w:val="20"/>
          <w:color w:val="auto"/>
        </w:rPr>
      </w:pPr>
    </w:p>
    <w:p>
      <w:pPr>
        <w:ind w:left="380" w:hanging="165"/>
        <w:spacing w:after="0"/>
        <w:tabs>
          <w:tab w:leader="none" w:pos="3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Is responsible for day-to-day risk management.</w:t>
      </w:r>
    </w:p>
    <w:p>
      <w:pPr>
        <w:spacing w:after="0" w:line="30" w:lineRule="exact"/>
        <w:rPr>
          <w:rFonts w:ascii="Arial" w:cs="Arial" w:eastAsia="Arial" w:hAnsi="Arial"/>
          <w:sz w:val="16"/>
          <w:szCs w:val="16"/>
          <w:color w:val="006DB6"/>
        </w:rPr>
      </w:pPr>
    </w:p>
    <w:p>
      <w:pPr>
        <w:ind w:left="380" w:hanging="165"/>
        <w:spacing w:after="0"/>
        <w:tabs>
          <w:tab w:leader="none" w:pos="3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Conducts an annual risk assessment of our business that is reviewed by the board of directors.</w:t>
      </w:r>
    </w:p>
    <w:p>
      <w:pPr>
        <w:spacing w:after="0" w:line="8" w:lineRule="exact"/>
        <w:rPr>
          <w:rFonts w:ascii="Arial" w:cs="Arial" w:eastAsia="Arial" w:hAnsi="Arial"/>
          <w:sz w:val="16"/>
          <w:szCs w:val="16"/>
          <w:color w:val="006DB6"/>
        </w:rPr>
      </w:pPr>
    </w:p>
    <w:p>
      <w:pPr>
        <w:ind w:left="380" w:hanging="165"/>
        <w:spacing w:after="0"/>
        <w:tabs>
          <w:tab w:leader="none" w:pos="380" w:val="left"/>
        </w:tabs>
        <w:numPr>
          <w:ilvl w:val="0"/>
          <w:numId w:val="22"/>
        </w:numPr>
        <w:rPr>
          <w:rFonts w:ascii="Arial" w:cs="Arial" w:eastAsia="Arial" w:hAnsi="Arial"/>
          <w:sz w:val="16"/>
          <w:szCs w:val="16"/>
          <w:color w:val="006DB6"/>
        </w:rPr>
      </w:pPr>
      <w:r>
        <w:rPr>
          <w:rFonts w:ascii="Arial" w:cs="Arial" w:eastAsia="Arial" w:hAnsi="Arial"/>
          <w:sz w:val="16"/>
          <w:szCs w:val="16"/>
          <w:color w:val="auto"/>
        </w:rPr>
        <w:t>Incorporates risk assessment into the annual internal audit plan.</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006DB6"/>
        </w:rPr>
        <w:t>Cybersecurity Risk Oversight Strategy</w:t>
      </w:r>
    </w:p>
    <w:p>
      <w:pPr>
        <w:spacing w:after="0" w:line="356" w:lineRule="exact"/>
        <w:rPr>
          <w:sz w:val="20"/>
          <w:szCs w:val="20"/>
          <w:color w:val="auto"/>
        </w:rPr>
      </w:pPr>
    </w:p>
    <w:p>
      <w:pPr>
        <w:ind w:left="220" w:right="280"/>
        <w:spacing w:after="0" w:line="271" w:lineRule="auto"/>
        <w:rPr>
          <w:sz w:val="20"/>
          <w:szCs w:val="20"/>
          <w:color w:val="auto"/>
        </w:rPr>
      </w:pPr>
      <w:r>
        <w:rPr>
          <w:rFonts w:ascii="Arial" w:cs="Arial" w:eastAsia="Arial" w:hAnsi="Arial"/>
          <w:sz w:val="16"/>
          <w:szCs w:val="16"/>
          <w:color w:val="auto"/>
        </w:rPr>
        <w:t>Cybersecurity risks are continuously monitored and evaluated by management through an internal compliance program with oversight by internal audit. Civeo engages a variety of cybersecurity partners to perform penetration testing and quarterly audits on our cyber security profile. In order to promote a company-wide culture of cybersecurity risk management, management has also implemented a variety of required programs to both test and train our employees on cybersecurity fundamentals, including both annual and ongoing information security awareness training.</w:t>
      </w:r>
    </w:p>
    <w:p>
      <w:pPr>
        <w:spacing w:after="0" w:line="60" w:lineRule="exact"/>
        <w:rPr>
          <w:sz w:val="20"/>
          <w:szCs w:val="20"/>
          <w:color w:val="auto"/>
        </w:rPr>
      </w:pPr>
    </w:p>
    <w:p>
      <w:pPr>
        <w:ind w:left="220" w:right="140"/>
        <w:spacing w:after="0" w:line="275" w:lineRule="auto"/>
        <w:rPr>
          <w:sz w:val="20"/>
          <w:szCs w:val="20"/>
          <w:color w:val="auto"/>
        </w:rPr>
      </w:pPr>
      <w:r>
        <w:rPr>
          <w:rFonts w:ascii="Arial" w:cs="Arial" w:eastAsia="Arial" w:hAnsi="Arial"/>
          <w:sz w:val="16"/>
          <w:szCs w:val="16"/>
          <w:color w:val="auto"/>
        </w:rPr>
        <w:t>In 2023, the Company conducted a cyber breach simulation exercise with the assistance of a third party cybersecurity consultant. The exercise focused on incident management and communication processes. Company business functions, executive management and members of the board of directors participated. The goal was to identify opportunities for greater efficiency, coordination, and alignment.</w:t>
      </w:r>
    </w:p>
    <w:p>
      <w:pPr>
        <w:spacing w:after="0" w:line="43" w:lineRule="exact"/>
        <w:rPr>
          <w:sz w:val="20"/>
          <w:szCs w:val="20"/>
          <w:color w:val="auto"/>
        </w:rPr>
      </w:pPr>
    </w:p>
    <w:p>
      <w:pPr>
        <w:ind w:left="220"/>
        <w:spacing w:after="0" w:line="259" w:lineRule="auto"/>
        <w:rPr>
          <w:sz w:val="20"/>
          <w:szCs w:val="20"/>
          <w:color w:val="auto"/>
        </w:rPr>
      </w:pPr>
      <w:r>
        <w:rPr>
          <w:rFonts w:ascii="Arial" w:cs="Arial" w:eastAsia="Arial" w:hAnsi="Arial"/>
          <w:sz w:val="16"/>
          <w:szCs w:val="16"/>
          <w:color w:val="auto"/>
        </w:rPr>
        <w:t>The board of directors reviews the Company's cybersecurity risk posture, strategy and execution on at least an annual basis while the Audit Committee receives cybersecurity updates quarterly. Executive management regularly meets with the Audit Committee to discuss cybersecurity risks, review quarterly cyber metrics and oversee progress against our annual action plans. In addition to scheduled meetings, the Audit Committee and executive management maintain ongoing dialogue regarding emerging or potential cybersecurity risks.</w:t>
      </w:r>
    </w:p>
    <w:p>
      <w:pPr>
        <w:spacing w:after="0" w:line="191" w:lineRule="exact"/>
        <w:rPr>
          <w:sz w:val="20"/>
          <w:szCs w:val="20"/>
          <w:color w:val="auto"/>
        </w:rPr>
      </w:pPr>
    </w:p>
    <w:p>
      <w:pPr>
        <w:ind w:left="220" w:right="20"/>
        <w:spacing w:after="0" w:line="286" w:lineRule="auto"/>
        <w:rPr>
          <w:sz w:val="20"/>
          <w:szCs w:val="20"/>
          <w:color w:val="auto"/>
        </w:rPr>
      </w:pPr>
      <w:r>
        <w:rPr>
          <w:rFonts w:ascii="Arial" w:cs="Arial" w:eastAsia="Arial" w:hAnsi="Arial"/>
          <w:sz w:val="16"/>
          <w:szCs w:val="16"/>
          <w:color w:val="auto"/>
        </w:rPr>
        <w:t>For more information on our cybersecurity risk management, strategy and governance, see "Item 1C. Cybersecurity" of our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219075</wp:posOffset>
            </wp:positionV>
            <wp:extent cx="394335" cy="1968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Management Succession Planning</w:t>
      </w:r>
    </w:p>
    <w:p>
      <w:pPr>
        <w:spacing w:after="0" w:line="146"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annually reviews the Company's succession planning for accounting and finance personnel.</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of Human Capital Management</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strive to offer competitive compensation, benefits and services that meet the needs of our employees, including short and long-term incentive programs, various defined contribution plans, healthcare benefits, and wellness and employee assistance programs.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Oversight and Commitment to Diversity and Inclusion</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Diversity and inclusion are an essential part of our company's success. Our diversity helps us service our employees, clients and communities better, leading to greater success for everyone. Management has full support from our board of directors to advance diversity and inclusion initiatives across the business including our relationships with our Indigenous partners.</w:t>
      </w:r>
    </w:p>
    <w:p>
      <w:pPr>
        <w:spacing w:after="0" w:line="5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As a company, we recognize the importance of a diverse workforce represented by people from different backgrounds, experiences and ways of looking at the world. In Canada, we are committed to hiring Indigenous Peoples and expanding our Indigenous workforce to 10%. In 2023, we reached 7% Indigenous employment in Canada despite challenging market conditions that resulted in reduced hiring in the region. Approximately 6% of our total new hires in Canada were of Indigenous background during 2023. In addition, our Indigenous Procurement Policy in Canada helps foster strong community relationships while ensuring a local and diverse supply chain of business partners. In 2023, we purchased more than C$64 million in goods and services from the Indigenous business community, representing 27% of our total Canadian local spending. In Australia, all of our food suppliers are Australian companies and, where possible, are based locally. Through our membership with Supply Nation, a non-profit organization committed to supplier diversity and Indigenous business development, we were able to direct approximately A$12.3 million in 2023 into Indigenous-owned and operated companies, representing a 29% year over year increase, and we are always looking for more opportunities to partner with these businesses.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Role in Corporate Responsibility and Corporate Citizenship</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Code of Business Conduct and Ethics</w:t>
      </w:r>
    </w:p>
    <w:p>
      <w:pPr>
        <w:spacing w:after="0" w:line="14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Civeo has adopted a Corporate Code of Business Conduct and Ethics (the “Code of Conduct”), which requires that all directors, officers and employees of Civeo act ethically at all times. This Code of Conduct is available at Civeo’s website civeo.com by first clicking “ESG”, then selecting "Governance Documents" from the "Governance" drop-down menu, and then "Corporate Code of Business Conduct and Ethics."</w:t>
      </w:r>
    </w:p>
    <w:p>
      <w:pPr>
        <w:spacing w:after="0" w:line="5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Substantially all of our employees are required annually to complete online training which includes a review of our Corporate Code of Conduct and an acknowledgment that the employee has read and understands the policy.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Financial Code of Ethics for Senior Officers</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civeo.com by first clicking “ESG”, then selecting "Governance Documents" from the "Governance" drop-down menu, and then “Financial Code of Ethics for Senior Officers.”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Ethical principles set forth in the Financial Code of Ethics include, among other principles, matters such as:</w:t>
      </w:r>
    </w:p>
    <w:p>
      <w:pPr>
        <w:spacing w:after="0" w:line="113"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Acting ethically with honesty and integrity;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Avoiding conflicts of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Complying with disclosure and reporting obligations with full, fair, accurate, timely and understandable disclosures;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Complying with applicable laws, rules and regulations;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Acting in good faith, responsibly with due care, competence and diligence;</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Promoting honest and ethical behavior by others in the work environment;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Respecting confidentiality of information acquired in the course of his or her work;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3"/>
        </w:numPr>
        <w:rPr>
          <w:rFonts w:ascii="Arial" w:cs="Arial" w:eastAsia="Arial" w:hAnsi="Arial"/>
          <w:sz w:val="16"/>
          <w:szCs w:val="16"/>
          <w:color w:val="006DB6"/>
        </w:rPr>
      </w:pPr>
      <w:r>
        <w:rPr>
          <w:rFonts w:ascii="Arial" w:cs="Arial" w:eastAsia="Arial" w:hAnsi="Arial"/>
          <w:sz w:val="16"/>
          <w:szCs w:val="16"/>
          <w:color w:val="auto"/>
        </w:rPr>
        <w:t>Responsibly using and maintaining assets and resources employed or entrusted to the Senior Officer.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Senior Officers must also comply with the Code of Conduct.</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Oversight of Commitment to ESG and Sustainability</w:t>
      </w:r>
    </w:p>
    <w:p>
      <w:pPr>
        <w:spacing w:after="0" w:line="11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believe that sound corporate citizenship and attention to ESG principles are essential to our success. Oversight of ESG matters is directly assigned to our Environmental, Social, Governance and Nominating Committee. Please see "Board of Directors - Committees - Environmental, Social, Governance and Nominating Committee" for further information with respect to the Committee's responsibilities.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lodges and villages.</w:t>
      </w:r>
    </w:p>
    <w:p>
      <w:pPr>
        <w:spacing w:after="0" w:line="75"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Recently, to lend a more formalized structure to our ESG efforts, we have established a global Steering Committee at the Executive Management level. The Steering Committee, led by our CEO and composed of members of our Executive Management team, is charged with the development of our ESG Roadmap. The ESG Roadmap specifies strategies, and the accompanying actions, linked to measurable Key Performance Indicators. Supporting the ESG</w:t>
      </w:r>
    </w:p>
    <w:p>
      <w:pPr>
        <w:spacing w:after="0" w:line="2"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Steering Committee are separate Working Groups made up of the appropriate technical experts in the areas of 'Environmental', 'Social' and 'Governance', who are responsible for execution of the respective strategies. The Environmental, Social, Governance and Nominating Committee provides oversight to the</w:t>
      </w:r>
    </w:p>
    <w:p>
      <w:pPr>
        <w:spacing w:after="0"/>
        <w:rPr>
          <w:sz w:val="20"/>
          <w:szCs w:val="20"/>
          <w:color w:val="auto"/>
        </w:rPr>
      </w:pPr>
      <w:r>
        <w:rPr>
          <w:rFonts w:ascii="Arial" w:cs="Arial" w:eastAsia="Arial" w:hAnsi="Arial"/>
          <w:sz w:val="16"/>
          <w:szCs w:val="16"/>
          <w:color w:val="auto"/>
        </w:rPr>
        <w:t>Steering Committee.</w:t>
      </w:r>
    </w:p>
    <w:p>
      <w:pPr>
        <w:spacing w:after="0" w:line="8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As noted above, through the Environmental, Social, Governance and Nominating Committee, 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w:t>
      </w: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Shareholder Engagement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Through the year, we meet with analysts and institutional investors to inform and share our perspective, and to solicit their feedback on our performance.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This includes participation in investor conferences and other formal events, and group and one-on-one meetings throughout the year.</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SHAREHOLDER OUTREACH</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880" w:type="dxa"/>
            <w:vAlign w:val="bottom"/>
            <w:vMerge w:val="restart"/>
          </w:tcPr>
          <w:p>
            <w:pPr>
              <w:jc w:val="right"/>
              <w:ind w:right="2283"/>
              <w:spacing w:after="0"/>
              <w:rPr>
                <w:sz w:val="20"/>
                <w:szCs w:val="20"/>
                <w:color w:val="auto"/>
              </w:rPr>
            </w:pPr>
            <w:r>
              <w:rPr>
                <w:rFonts w:ascii="Arial" w:cs="Arial" w:eastAsia="Arial" w:hAnsi="Arial"/>
                <w:sz w:val="23"/>
                <w:szCs w:val="23"/>
                <w:color w:val="FFC03C"/>
                <w:w w:val="99"/>
              </w:rPr>
              <w:t>58%</w:t>
            </w:r>
          </w:p>
        </w:tc>
        <w:tc>
          <w:tcPr>
            <w:tcW w:w="7480" w:type="dxa"/>
            <w:vAlign w:val="bottom"/>
          </w:tcPr>
          <w:p>
            <w:pPr>
              <w:ind w:left="2420"/>
              <w:spacing w:after="0"/>
              <w:rPr>
                <w:sz w:val="20"/>
                <w:szCs w:val="20"/>
                <w:color w:val="auto"/>
              </w:rPr>
            </w:pPr>
            <w:r>
              <w:rPr>
                <w:rFonts w:ascii="Arial" w:cs="Arial" w:eastAsia="Arial" w:hAnsi="Arial"/>
                <w:sz w:val="15"/>
                <w:szCs w:val="15"/>
                <w:color w:val="auto"/>
              </w:rPr>
              <w:t>During 2023, we conducted shareholder engagement with shareholders</w:t>
            </w:r>
          </w:p>
        </w:tc>
        <w:tc>
          <w:tcPr>
            <w:tcW w:w="0" w:type="dxa"/>
            <w:vAlign w:val="bottom"/>
          </w:tcPr>
          <w:p>
            <w:pPr>
              <w:spacing w:after="0"/>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7480" w:type="dxa"/>
            <w:vAlign w:val="bottom"/>
          </w:tcPr>
          <w:p>
            <w:pPr>
              <w:ind w:left="2420"/>
              <w:spacing w:after="0"/>
              <w:rPr>
                <w:sz w:val="20"/>
                <w:szCs w:val="20"/>
                <w:color w:val="auto"/>
              </w:rPr>
            </w:pPr>
            <w:r>
              <w:rPr>
                <w:rFonts w:ascii="Arial" w:cs="Arial" w:eastAsia="Arial" w:hAnsi="Arial"/>
                <w:sz w:val="15"/>
                <w:szCs w:val="15"/>
                <w:color w:val="auto"/>
              </w:rPr>
              <w:t xml:space="preserve">representing over </w:t>
            </w:r>
            <w:r>
              <w:rPr>
                <w:rFonts w:ascii="Arial" w:cs="Arial" w:eastAsia="Arial" w:hAnsi="Arial"/>
                <w:sz w:val="15"/>
                <w:szCs w:val="15"/>
                <w:color w:val="FBC150"/>
              </w:rPr>
              <w:t>58%</w:t>
            </w:r>
            <w:r>
              <w:rPr>
                <w:rFonts w:ascii="Arial" w:cs="Arial" w:eastAsia="Arial" w:hAnsi="Arial"/>
                <w:sz w:val="15"/>
                <w:szCs w:val="15"/>
                <w:color w:val="auto"/>
              </w:rPr>
              <w:t xml:space="preserve"> of our outstanding shares regarding the Company’s</w:t>
            </w:r>
          </w:p>
        </w:tc>
        <w:tc>
          <w:tcPr>
            <w:tcW w:w="0" w:type="dxa"/>
            <w:vAlign w:val="bottom"/>
          </w:tcPr>
          <w:p>
            <w:pPr>
              <w:spacing w:after="0"/>
              <w:rPr>
                <w:sz w:val="1"/>
                <w:szCs w:val="1"/>
                <w:color w:val="auto"/>
              </w:rPr>
            </w:pPr>
          </w:p>
        </w:tc>
      </w:tr>
    </w:tbl>
    <w:p>
      <w:pPr>
        <w:ind w:left="5320"/>
        <w:spacing w:after="0"/>
        <w:rPr>
          <w:sz w:val="20"/>
          <w:szCs w:val="20"/>
          <w:color w:val="auto"/>
        </w:rPr>
      </w:pPr>
      <w:r>
        <w:rPr>
          <w:rFonts w:ascii="Arial" w:cs="Arial" w:eastAsia="Arial" w:hAnsi="Arial"/>
          <w:sz w:val="15"/>
          <w:szCs w:val="15"/>
          <w:color w:val="auto"/>
        </w:rPr>
        <w:t>operations, financial results, strategy and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270891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08910" cy="18859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527050</wp:posOffset>
            </wp:positionV>
            <wp:extent cx="394335"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Directors—Structure</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Currently, the Civeo board of directors is divided into three classes, with three directors in each class. The members of each class serve for three years following their election, with one class being elected each year. The directors designated as Class I directors will have terms expiring at the annual general meeting this year. If elected at the annual general meeting, Messrs. Blankenship, Montelongo and Szalkowski, as Class I directors, will have terms expiring in 2027. The directors designated as Class II directors have terms expiring in 2025, and the directors designated as Class III directors have terms expiring in 2026. At the annual general meeting, the board of directors is seeking shareholder approval of the proposed Declassification Amendment, which, if approved, would have the effect of declassifying our board of directors and phasing in annual director elections. Our board of directors believes that the proposed amendments to our Articles set forth in the Declassification Amendment are in the best interests of Civeo and its shareholders. For additional information on the Declassification Amendment, see page </w:t>
      </w:r>
      <w:r>
        <w:rPr>
          <w:rFonts w:ascii="Arial" w:cs="Arial" w:eastAsia="Arial" w:hAnsi="Arial"/>
          <w:sz w:val="16"/>
          <w:szCs w:val="16"/>
          <w:u w:val="single" w:color="auto"/>
          <w:color w:val="0000FF"/>
        </w:rPr>
        <w:t>62</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 Leadership</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board of directors is led by our independent Chair of the Board, and the Chief Executive Officer position is currently separate from the Chair role. The Chair presides over board meetings and executive sessions of the independent directors, works with management and the independent directors to approve agendas and schedules, and is available to engage directly with shareholders where appropriate.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Independence</w:t>
      </w:r>
    </w:p>
    <w:p>
      <w:pPr>
        <w:spacing w:after="0" w:line="146"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Civeo board of directors has determined that, except for Bradley Dodson, our President and Chief Executive Officer, all of Civeo's current directors (Richard A. Navarre, C. Ronald Blankenship, Jay K. Grewal, Martin A. Lambert, Michael Montelongo, Constance B. Moore, Charles Szalkowski, and Timothy O. Wall) qualify as “independent” in accordance with the applicable NYSE listing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Sessions</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independent directors regularly meet in executive session with no members of management present, generally at each board of directors and committee meeting. Our Chair of the Board, Richard Navarre, who is an independent director, or each Committee Chair, who is independent, presides at these sessions.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Directors—Committees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Civeo board of directors has established several standing committees in connection with the discharge of its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05610" cy="3206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05610" cy="320611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75" w:lineRule="exact"/>
        <w:rPr>
          <w:sz w:val="20"/>
          <w:szCs w:val="20"/>
          <w:color w:val="auto"/>
        </w:rPr>
      </w:pPr>
    </w:p>
    <w:p>
      <w:pPr>
        <w:ind w:left="100" w:right="720"/>
        <w:spacing w:after="0" w:line="314" w:lineRule="auto"/>
        <w:rPr>
          <w:sz w:val="20"/>
          <w:szCs w:val="20"/>
          <w:color w:val="auto"/>
        </w:rPr>
      </w:pPr>
      <w:r>
        <w:rPr>
          <w:rFonts w:ascii="Arial" w:cs="Arial" w:eastAsia="Arial" w:hAnsi="Arial"/>
          <w:sz w:val="16"/>
          <w:szCs w:val="16"/>
          <w:b w:val="1"/>
          <w:bCs w:val="1"/>
          <w:color w:val="auto"/>
        </w:rPr>
        <w:t>Constance B. Moore (Chair)</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 Ronald Blankenship Jay K.</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Grewal Charles Szalkowski</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2412365</wp:posOffset>
            </wp:positionV>
            <wp:extent cx="1705610" cy="29832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05610" cy="29832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Audit Committee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480" w:hanging="192"/>
        <w:spacing w:after="0" w:line="286"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Oversees the integrity of Civeo's financial statements and effectiveness of our internal control over financial reporting.</w:t>
      </w:r>
    </w:p>
    <w:p>
      <w:pPr>
        <w:spacing w:after="0" w:line="20" w:lineRule="exact"/>
        <w:rPr>
          <w:rFonts w:ascii="Arial" w:cs="Arial" w:eastAsia="Arial" w:hAnsi="Arial"/>
          <w:sz w:val="16"/>
          <w:szCs w:val="16"/>
          <w:color w:val="006DB6"/>
        </w:rPr>
      </w:pPr>
    </w:p>
    <w:p>
      <w:pPr>
        <w:ind w:left="200" w:right="300" w:hanging="192"/>
        <w:spacing w:after="0" w:line="275"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Appoints our independent auditors and reviews the general scope of audit coverage, the fees charged by the independent auditors, matters relating to internal control systems and other matters related to accounting and reporting functions.</w:t>
      </w:r>
    </w:p>
    <w:p>
      <w:pPr>
        <w:spacing w:after="0" w:line="29" w:lineRule="exact"/>
        <w:rPr>
          <w:rFonts w:ascii="Arial" w:cs="Arial" w:eastAsia="Arial" w:hAnsi="Arial"/>
          <w:sz w:val="16"/>
          <w:szCs w:val="16"/>
          <w:color w:val="006DB6"/>
        </w:rPr>
      </w:pPr>
    </w:p>
    <w:p>
      <w:pPr>
        <w:ind w:left="200" w:right="1040" w:hanging="192"/>
        <w:spacing w:after="0" w:line="286" w:lineRule="auto"/>
        <w:tabs>
          <w:tab w:leader="none" w:pos="170" w:val="left"/>
        </w:tabs>
        <w:numPr>
          <w:ilvl w:val="0"/>
          <w:numId w:val="24"/>
        </w:numPr>
        <w:rPr>
          <w:rFonts w:ascii="Arial" w:cs="Arial" w:eastAsia="Arial" w:hAnsi="Arial"/>
          <w:sz w:val="16"/>
          <w:szCs w:val="16"/>
          <w:color w:val="006DB6"/>
        </w:rPr>
      </w:pPr>
      <w:r>
        <w:rPr>
          <w:rFonts w:ascii="Arial" w:cs="Arial" w:eastAsia="Arial" w:hAnsi="Arial"/>
          <w:sz w:val="16"/>
          <w:szCs w:val="16"/>
          <w:color w:val="auto"/>
        </w:rPr>
        <w:t>Meets separately with representatives of our independent auditors, our internal audit personnel and representatives of senior management in performing its functions.</w:t>
      </w:r>
    </w:p>
    <w:p>
      <w:pPr>
        <w:spacing w:after="0" w:line="48"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board of directors has determined that each of Messrs. Blankenship and Szalkowski and Mses. Grewal and Moore is independent under applicable NYSE and SEC rules for board of director and audit committee independence.</w:t>
      </w:r>
    </w:p>
    <w:p>
      <w:pPr>
        <w:spacing w:after="0" w:line="7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board of directors has determined that each of Messrs. Blankenship and Szalkowski and Mses. Grewal and Moore is financially literate and has accounting or related financial management expertise, each as required by the applicable NYSE listing standards. The board of directors also has determined that Mr. Blankenship and Mses. Grewal and Moore qualify as audit committee financial experts under the applicable rules of the SEC.</w:t>
      </w:r>
    </w:p>
    <w:p>
      <w:pPr>
        <w:spacing w:after="0" w:line="6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 more detailed discussion of the Audit Committee’s mission, composition and responsibilities is contained in the Audit Committee charter, which is available on our website, civeo.com, by first clicking “ESG”, then selecting “Governance Documents” from the "Governance" drop-down menu, and then “Audit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67310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480"/>
            <w:col w:w="8320"/>
          </w:cols>
          <w:pgMar w:left="320" w:top="125" w:right="379" w:bottom="1440" w:gutter="0" w:footer="0" w:header="0"/>
          <w:type w:val="continuous"/>
        </w:sect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Martin A. Lambert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(Chair)</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b w:val="1"/>
          <w:bCs w:val="1"/>
          <w:color w:val="auto"/>
        </w:rPr>
        <w:t>Michael Montelongo Constance B. Moore</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2266950</wp:posOffset>
            </wp:positionV>
            <wp:extent cx="394335" cy="1974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27"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Determines the compensation of our chief executive officer and other executive officers.</w:t>
      </w:r>
    </w:p>
    <w:p>
      <w:pPr>
        <w:spacing w:after="0" w:line="72" w:lineRule="exact"/>
        <w:rPr>
          <w:rFonts w:ascii="Arial" w:cs="Arial" w:eastAsia="Arial" w:hAnsi="Arial"/>
          <w:sz w:val="16"/>
          <w:szCs w:val="16"/>
          <w:color w:val="006DB6"/>
        </w:rPr>
      </w:pPr>
    </w:p>
    <w:p>
      <w:pPr>
        <w:jc w:val="both"/>
        <w:ind w:left="200" w:right="420" w:hanging="192"/>
        <w:spacing w:after="0" w:line="275" w:lineRule="auto"/>
        <w:tabs>
          <w:tab w:leader="none" w:pos="17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Oversees and approves compensation and employee benefit policies as well as oversees policies related to human capital management with regards to diversity and inclusion, workplace environment and culture, and talent development and retention.</w:t>
      </w:r>
    </w:p>
    <w:p>
      <w:pPr>
        <w:spacing w:after="0" w:line="29" w:lineRule="exact"/>
        <w:rPr>
          <w:rFonts w:ascii="Arial" w:cs="Arial" w:eastAsia="Arial" w:hAnsi="Arial"/>
          <w:sz w:val="16"/>
          <w:szCs w:val="16"/>
          <w:color w:val="006DB6"/>
        </w:rPr>
      </w:pPr>
    </w:p>
    <w:p>
      <w:pPr>
        <w:ind w:left="180" w:hanging="172"/>
        <w:spacing w:after="0"/>
        <w:tabs>
          <w:tab w:leader="none" w:pos="18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Meets on succession planning with respect to Company's key executive positions.</w:t>
      </w:r>
    </w:p>
    <w:p>
      <w:pPr>
        <w:spacing w:after="0" w:line="86" w:lineRule="exact"/>
        <w:rPr>
          <w:rFonts w:ascii="Arial" w:cs="Arial" w:eastAsia="Arial" w:hAnsi="Arial"/>
          <w:sz w:val="16"/>
          <w:szCs w:val="16"/>
          <w:color w:val="006DB6"/>
        </w:rPr>
      </w:pPr>
    </w:p>
    <w:p>
      <w:pPr>
        <w:ind w:left="200" w:right="200" w:hanging="192"/>
        <w:spacing w:after="0" w:line="266" w:lineRule="auto"/>
        <w:tabs>
          <w:tab w:leader="none" w:pos="17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Administers the EPP, and in this capacity makes a recommendation to the full board of directors concerning the aggregate amount of all equity awards to employees as well as specific awards to executive officers under the EPP.</w:t>
      </w:r>
    </w:p>
    <w:p>
      <w:pPr>
        <w:spacing w:after="0" w:line="36" w:lineRule="exact"/>
        <w:rPr>
          <w:rFonts w:ascii="Arial" w:cs="Arial" w:eastAsia="Arial" w:hAnsi="Arial"/>
          <w:sz w:val="16"/>
          <w:szCs w:val="16"/>
          <w:color w:val="006DB6"/>
        </w:rPr>
      </w:pPr>
    </w:p>
    <w:p>
      <w:pPr>
        <w:ind w:left="200" w:right="80" w:hanging="192"/>
        <w:spacing w:after="0" w:line="304" w:lineRule="auto"/>
        <w:tabs>
          <w:tab w:leader="none" w:pos="170" w:val="left"/>
        </w:tabs>
        <w:numPr>
          <w:ilvl w:val="0"/>
          <w:numId w:val="25"/>
        </w:numPr>
        <w:rPr>
          <w:rFonts w:ascii="Arial" w:cs="Arial" w:eastAsia="Arial" w:hAnsi="Arial"/>
          <w:sz w:val="16"/>
          <w:szCs w:val="16"/>
          <w:color w:val="006DB6"/>
        </w:rPr>
      </w:pPr>
      <w:r>
        <w:rPr>
          <w:rFonts w:ascii="Arial" w:cs="Arial" w:eastAsia="Arial" w:hAnsi="Arial"/>
          <w:sz w:val="16"/>
          <w:szCs w:val="16"/>
          <w:color w:val="auto"/>
        </w:rPr>
        <w:t>Reviews and discusses with our management the Compensation Discussion and Analysis and related disclosure included in our annual proxy statement.</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board of directors has determined that each of Messrs. Lambert and Montelongo and Ms. Moore is independent under applicable NYSE and SEC rules for board of director and compensation committee independence.</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 more detailed discussion of the Compensation Committee’s mission, composition and responsibilities is contained in the Compensation Committee charter, which is available on our website, civeo.com, by first clicking “ESG”, then selecting “Governance Documents” from the "Governance" drop-down menu, and then “Compensation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67310</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340"/>
            <w:col w:w="8320"/>
          </w:cols>
          <w:pgMar w:left="320" w:top="125" w:right="37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05610" cy="26149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0561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right="900"/>
        <w:spacing w:after="0" w:line="296" w:lineRule="auto"/>
        <w:rPr>
          <w:sz w:val="20"/>
          <w:szCs w:val="20"/>
          <w:color w:val="auto"/>
        </w:rPr>
      </w:pPr>
      <w:r>
        <w:rPr>
          <w:rFonts w:ascii="Arial" w:cs="Arial" w:eastAsia="Arial" w:hAnsi="Arial"/>
          <w:sz w:val="16"/>
          <w:szCs w:val="16"/>
          <w:b w:val="1"/>
          <w:bCs w:val="1"/>
          <w:color w:val="auto"/>
        </w:rPr>
        <w:t>Charles Szalkowski (Chair)</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21"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b w:val="1"/>
          <w:bCs w:val="1"/>
          <w:color w:val="auto"/>
        </w:rPr>
        <w:t>Michael Montelongo Richard A. Navarre Timothy O. Wall</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1821180</wp:posOffset>
            </wp:positionV>
            <wp:extent cx="1705610" cy="16287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05610" cy="1628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Environmental, Social, Governance and Nominating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27"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Oversees the Company's strategy and initiatives with regard to ESG matters.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Identifies and implements appropriate corporate governance policies.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Advises the board of directors about appropriate composition of the board of directors and its committees.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Identifies and implements appropriate corporate governance policies.</w:t>
      </w:r>
    </w:p>
    <w:p>
      <w:pPr>
        <w:spacing w:after="0" w:line="86" w:lineRule="exact"/>
        <w:rPr>
          <w:rFonts w:ascii="Arial" w:cs="Arial" w:eastAsia="Arial" w:hAnsi="Arial"/>
          <w:sz w:val="16"/>
          <w:szCs w:val="16"/>
          <w:color w:val="006DB6"/>
        </w:rPr>
      </w:pPr>
    </w:p>
    <w:p>
      <w:pPr>
        <w:ind w:left="200" w:right="760" w:hanging="192"/>
        <w:spacing w:after="0" w:line="286" w:lineRule="auto"/>
        <w:tabs>
          <w:tab w:leader="none" w:pos="170" w:val="left"/>
        </w:tabs>
        <w:numPr>
          <w:ilvl w:val="0"/>
          <w:numId w:val="26"/>
        </w:numPr>
        <w:rPr>
          <w:rFonts w:ascii="Arial" w:cs="Arial" w:eastAsia="Arial" w:hAnsi="Arial"/>
          <w:sz w:val="16"/>
          <w:szCs w:val="16"/>
          <w:color w:val="006DB6"/>
        </w:rPr>
      </w:pPr>
      <w:r>
        <w:rPr>
          <w:rFonts w:ascii="Arial" w:cs="Arial" w:eastAsia="Arial" w:hAnsi="Arial"/>
          <w:sz w:val="16"/>
          <w:szCs w:val="16"/>
          <w:color w:val="auto"/>
        </w:rPr>
        <w:t>Makes proposals to the board of directors for candidates to be nominated by the board of directors to fill vacancies or for new directorship positions, if any, which may be created from time to time.</w:t>
      </w:r>
    </w:p>
    <w:p>
      <w:pPr>
        <w:spacing w:after="0" w:line="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board of directors has determined that each Messrs. Montelongo, Navarre, Szalkowski and Wall is independent under applicable NYSE rules.</w:t>
      </w:r>
    </w:p>
    <w:p>
      <w:pPr>
        <w:spacing w:after="0" w:line="3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 more detailed discussion of the Environmental, Social, Governance and Nominating Committee’s mission, composition and responsibilities is contained in the Environmental, Social, Governance and Nominating Committee charter, which is available on our website, civeo.com, by first clicking “ESG”, then selecting “Governance Documents” from the "Governance" drop-down menu, and then “Environmental, Social, Governance and Nominating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66675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60"/>
            <w:col w:w="8360"/>
          </w:cols>
          <w:pgMar w:left="320" w:top="125" w:right="339" w:bottom="1440" w:gutter="0" w:footer="0" w:header="0"/>
        </w:sectPr>
      </w:pPr>
    </w:p>
    <w:p>
      <w:pPr>
        <w:spacing w:after="0" w:line="269" w:lineRule="exact"/>
        <w:rPr>
          <w:sz w:val="20"/>
          <w:szCs w:val="20"/>
          <w:color w:val="auto"/>
        </w:rPr>
      </w:pPr>
    </w:p>
    <w:p>
      <w:pPr>
        <w:ind w:left="100" w:right="720"/>
        <w:spacing w:after="0" w:line="296" w:lineRule="auto"/>
        <w:rPr>
          <w:sz w:val="20"/>
          <w:szCs w:val="20"/>
          <w:color w:val="auto"/>
        </w:rPr>
      </w:pPr>
      <w:r>
        <w:rPr>
          <w:rFonts w:ascii="Arial" w:cs="Arial" w:eastAsia="Arial" w:hAnsi="Arial"/>
          <w:sz w:val="16"/>
          <w:szCs w:val="16"/>
          <w:b w:val="1"/>
          <w:bCs w:val="1"/>
          <w:color w:val="auto"/>
        </w:rPr>
        <w:t>C. Ronald Blankenship (Chair)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Members:</w:t>
      </w:r>
    </w:p>
    <w:p>
      <w:pPr>
        <w:spacing w:after="0" w:line="31" w:lineRule="exact"/>
        <w:rPr>
          <w:sz w:val="20"/>
          <w:szCs w:val="20"/>
          <w:color w:val="auto"/>
        </w:rPr>
      </w:pPr>
    </w:p>
    <w:p>
      <w:pPr>
        <w:ind w:left="100"/>
        <w:spacing w:after="0" w:line="281" w:lineRule="auto"/>
        <w:rPr>
          <w:sz w:val="20"/>
          <w:szCs w:val="20"/>
          <w:color w:val="auto"/>
        </w:rPr>
      </w:pPr>
      <w:r>
        <w:rPr>
          <w:rFonts w:ascii="Arial" w:cs="Arial" w:eastAsia="Arial" w:hAnsi="Arial"/>
          <w:sz w:val="16"/>
          <w:szCs w:val="16"/>
          <w:b w:val="1"/>
          <w:bCs w:val="1"/>
          <w:color w:val="auto"/>
        </w:rPr>
        <w:t>Jay K. Grewal Martin A. Lambert Timothy O. Wall</w:t>
      </w:r>
    </w:p>
    <w:p>
      <w:pPr>
        <w:spacing w:after="0" w:line="5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Number of Meetings: 3</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25"/>
          <w:szCs w:val="25"/>
          <w:b w:val="1"/>
          <w:bCs w:val="1"/>
          <w:color w:val="006DB6"/>
        </w:rPr>
        <w:t>Finance and Investment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706F6F"/>
        </w:rPr>
        <w:t>Responsibilities:</w:t>
      </w:r>
    </w:p>
    <w:p>
      <w:pPr>
        <w:spacing w:after="0" w:line="113" w:lineRule="exact"/>
        <w:rPr>
          <w:sz w:val="20"/>
          <w:szCs w:val="20"/>
          <w:color w:val="auto"/>
        </w:rPr>
      </w:pPr>
    </w:p>
    <w:p>
      <w:pPr>
        <w:ind w:left="200" w:right="60" w:hanging="192"/>
        <w:spacing w:after="0" w:line="275" w:lineRule="auto"/>
        <w:tabs>
          <w:tab w:leader="none" w:pos="170" w:val="left"/>
        </w:tabs>
        <w:numPr>
          <w:ilvl w:val="0"/>
          <w:numId w:val="27"/>
        </w:numPr>
        <w:rPr>
          <w:rFonts w:ascii="Arial" w:cs="Arial" w:eastAsia="Arial" w:hAnsi="Arial"/>
          <w:sz w:val="16"/>
          <w:szCs w:val="16"/>
          <w:color w:val="006DB6"/>
        </w:rPr>
      </w:pPr>
      <w:r>
        <w:rPr>
          <w:rFonts w:ascii="Arial" w:cs="Arial" w:eastAsia="Arial" w:hAnsi="Arial"/>
          <w:sz w:val="16"/>
          <w:szCs w:val="16"/>
          <w:color w:val="auto"/>
        </w:rPr>
        <w:t>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w:t>
      </w:r>
    </w:p>
    <w:p>
      <w:pPr>
        <w:spacing w:after="0" w:line="7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 more detailed discussion of the Finance and Investment Committee’s mission, composition and responsibilities is contained in the Finance and Investment Committee charter, which is available on our website, civeo.com, by first clicking “ESG”, then selecting “Governance Documents” from the "Governance" drop-down menu, and then “Finance and Investment Committee Charter” on the left side of the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76200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80"/>
            <w:col w:w="8360"/>
          </w:cols>
          <w:pgMar w:left="320" w:top="125" w:right="3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Committee Composition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committee structure and membership information.</w:t>
      </w:r>
    </w:p>
    <w:p>
      <w:pPr>
        <w:spacing w:after="0" w:line="180" w:lineRule="exact"/>
        <w:rPr>
          <w:sz w:val="20"/>
          <w:szCs w:val="20"/>
          <w:color w:val="auto"/>
        </w:rPr>
      </w:pPr>
    </w:p>
    <w:tbl>
      <w:tblPr>
        <w:tblLayout w:type="fixed"/>
        <w:tblInd w:w="522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Environmental, Social,</w:t>
            </w:r>
          </w:p>
        </w:tc>
        <w:tc>
          <w:tcPr>
            <w:tcW w:w="1040" w:type="dxa"/>
            <w:vAlign w:val="bottom"/>
          </w:tcPr>
          <w:p>
            <w:pPr>
              <w:spacing w:after="0"/>
              <w:rPr>
                <w:sz w:val="14"/>
                <w:szCs w:val="14"/>
                <w:color w:val="auto"/>
              </w:rPr>
            </w:pPr>
          </w:p>
        </w:tc>
      </w:tr>
      <w:tr>
        <w:trPr>
          <w:trHeight w:val="162"/>
        </w:trPr>
        <w:tc>
          <w:tcPr>
            <w:tcW w:w="1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Governance and</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Finance and</w:t>
            </w:r>
          </w:p>
        </w:tc>
      </w:tr>
      <w:tr>
        <w:trPr>
          <w:trHeight w:val="162"/>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Audit</w:t>
            </w:r>
          </w:p>
        </w:tc>
        <w:tc>
          <w:tcPr>
            <w:tcW w:w="156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Compensation</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Nominating</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Investment</w:t>
            </w:r>
          </w:p>
        </w:tc>
      </w:tr>
      <w:tr>
        <w:trPr>
          <w:trHeight w:val="186"/>
        </w:trPr>
        <w:tc>
          <w:tcPr>
            <w:tcW w:w="1100" w:type="dxa"/>
            <w:vAlign w:val="bottom"/>
          </w:tcPr>
          <w:p>
            <w:pPr>
              <w:jc w:val="center"/>
              <w:ind w:right="333"/>
              <w:spacing w:after="0"/>
              <w:rPr>
                <w:sz w:val="20"/>
                <w:szCs w:val="20"/>
                <w:color w:val="auto"/>
              </w:rPr>
            </w:pPr>
            <w:r>
              <w:rPr>
                <w:rFonts w:ascii="Arial" w:cs="Arial" w:eastAsia="Arial" w:hAnsi="Arial"/>
                <w:sz w:val="13"/>
                <w:szCs w:val="13"/>
                <w:b w:val="1"/>
                <w:bCs w:val="1"/>
                <w:color w:val="706F6F"/>
              </w:rPr>
              <w:t>Committee</w:t>
            </w:r>
          </w:p>
        </w:tc>
        <w:tc>
          <w:tcPr>
            <w:tcW w:w="1560" w:type="dxa"/>
            <w:vAlign w:val="bottom"/>
          </w:tcPr>
          <w:p>
            <w:pPr>
              <w:jc w:val="center"/>
              <w:ind w:left="113"/>
              <w:spacing w:after="0"/>
              <w:rPr>
                <w:sz w:val="20"/>
                <w:szCs w:val="20"/>
                <w:color w:val="auto"/>
              </w:rPr>
            </w:pPr>
            <w:r>
              <w:rPr>
                <w:rFonts w:ascii="Arial" w:cs="Arial" w:eastAsia="Arial" w:hAnsi="Arial"/>
                <w:sz w:val="13"/>
                <w:szCs w:val="13"/>
                <w:b w:val="1"/>
                <w:bCs w:val="1"/>
                <w:color w:val="706F6F"/>
              </w:rPr>
              <w:t>Committee</w:t>
            </w:r>
          </w:p>
        </w:tc>
        <w:tc>
          <w:tcPr>
            <w:tcW w:w="1900" w:type="dxa"/>
            <w:vAlign w:val="bottom"/>
          </w:tcPr>
          <w:p>
            <w:pPr>
              <w:jc w:val="center"/>
              <w:spacing w:after="0"/>
              <w:rPr>
                <w:sz w:val="20"/>
                <w:szCs w:val="20"/>
                <w:color w:val="auto"/>
              </w:rPr>
            </w:pPr>
            <w:r>
              <w:rPr>
                <w:rFonts w:ascii="Arial" w:cs="Arial" w:eastAsia="Arial" w:hAnsi="Arial"/>
                <w:sz w:val="13"/>
                <w:szCs w:val="13"/>
                <w:b w:val="1"/>
                <w:bCs w:val="1"/>
                <w:color w:val="706F6F"/>
              </w:rPr>
              <w:t>Committee</w:t>
            </w:r>
          </w:p>
        </w:tc>
        <w:tc>
          <w:tcPr>
            <w:tcW w:w="1040" w:type="dxa"/>
            <w:vAlign w:val="bottom"/>
          </w:tcPr>
          <w:p>
            <w:pPr>
              <w:jc w:val="center"/>
              <w:ind w:left="193"/>
              <w:spacing w:after="0"/>
              <w:rPr>
                <w:sz w:val="20"/>
                <w:szCs w:val="20"/>
                <w:color w:val="auto"/>
              </w:rPr>
            </w:pPr>
            <w:r>
              <w:rPr>
                <w:rFonts w:ascii="Arial" w:cs="Arial" w:eastAsia="Arial" w:hAnsi="Arial"/>
                <w:sz w:val="13"/>
                <w:szCs w:val="13"/>
                <w:b w:val="1"/>
                <w:bCs w:val="1"/>
                <w:color w:val="706F6F"/>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Jay K. Grewal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Michael Montelongo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111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6"/>
        </w:rPr>
        <w:t>Timothy O.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10287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61" w:lineRule="exact"/>
        <w:rPr>
          <w:sz w:val="20"/>
          <w:szCs w:val="20"/>
          <w:color w:val="auto"/>
        </w:rPr>
      </w:pPr>
    </w:p>
    <w:p>
      <w:pPr>
        <w:ind w:left="400"/>
        <w:spacing w:after="0"/>
        <w:tabs>
          <w:tab w:leader="none" w:pos="1891" w:val="left"/>
          <w:tab w:leader="none" w:pos="3320" w:val="left"/>
          <w:tab w:leader="none" w:pos="3720" w:val="left"/>
        </w:tabs>
        <w:rPr>
          <w:sz w:val="20"/>
          <w:szCs w:val="20"/>
          <w:color w:val="auto"/>
        </w:rPr>
      </w:pPr>
      <w:r>
        <w:rPr>
          <w:rFonts w:ascii="Arial" w:cs="Arial" w:eastAsia="Arial" w:hAnsi="Arial"/>
          <w:sz w:val="14"/>
          <w:szCs w:val="14"/>
          <w:color w:val="auto"/>
        </w:rPr>
        <w:t>Chair</w:t>
      </w:r>
      <w:r>
        <w:rPr>
          <w:sz w:val="20"/>
          <w:szCs w:val="20"/>
          <w:color w:val="auto"/>
        </w:rPr>
        <w:tab/>
      </w:r>
      <w:r>
        <w:rPr>
          <w:sz w:val="1"/>
          <w:szCs w:val="1"/>
          <w:color w:val="auto"/>
        </w:rPr>
        <w:drawing>
          <wp:inline distT="0" distB="0" distL="0" distR="0">
            <wp:extent cx="111760" cy="1117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4"/>
          <w:szCs w:val="14"/>
          <w:color w:val="auto"/>
        </w:rPr>
        <w:t xml:space="preserve">   Member</w:t>
      </w:r>
      <w:r>
        <w:rPr>
          <w:sz w:val="20"/>
          <w:szCs w:val="20"/>
          <w:color w:val="auto"/>
        </w:rPr>
        <w:tab/>
      </w:r>
      <w:r>
        <w:rPr>
          <w:rFonts w:ascii="Arial" w:cs="Arial" w:eastAsia="Arial" w:hAnsi="Arial"/>
          <w:sz w:val="14"/>
          <w:szCs w:val="14"/>
          <w:b w:val="1"/>
          <w:bCs w:val="1"/>
          <w:color w:val="auto"/>
        </w:rPr>
        <w:t>F</w:t>
      </w:r>
      <w:r>
        <w:rPr>
          <w:sz w:val="20"/>
          <w:szCs w:val="20"/>
          <w:color w:val="auto"/>
        </w:rPr>
        <w:tab/>
      </w:r>
      <w:r>
        <w:rPr>
          <w:rFonts w:ascii="Arial" w:cs="Arial" w:eastAsia="Arial" w:hAnsi="Arial"/>
          <w:sz w:val="14"/>
          <w:szCs w:val="14"/>
          <w:color w:val="auto"/>
        </w:rPr>
        <w:t>Financial Expert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of Directors—Practices, Policies and Processes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Commitment to Good Governance Practices</w:t>
      </w:r>
    </w:p>
    <w:p>
      <w:pPr>
        <w:sectPr>
          <w:pgSz w:w="11900" w:h="16838" w:orient="portrait"/>
          <w:cols w:equalWidth="0" w:num="1">
            <w:col w:w="11200"/>
          </w:cols>
          <w:pgMar w:left="320" w:top="125" w:right="379"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566160" cy="2554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66160" cy="2554605"/>
                    </a:xfrm>
                    <a:prstGeom prst="rect">
                      <a:avLst/>
                    </a:prstGeom>
                    <a:noFill/>
                  </pic:spPr>
                </pic:pic>
              </a:graphicData>
            </a:graphic>
          </wp:anchor>
        </w:drawing>
      </w:r>
    </w:p>
    <w:p>
      <w:pPr>
        <w:spacing w:after="0" w:line="234"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BOARD OF DIRECTORS PRACTICES AND STRUCTURE</w:t>
      </w:r>
    </w:p>
    <w:p>
      <w:pPr>
        <w:spacing w:after="0" w:line="131" w:lineRule="exact"/>
        <w:rPr>
          <w:sz w:val="20"/>
          <w:szCs w:val="20"/>
          <w:color w:val="auto"/>
        </w:rPr>
      </w:pPr>
    </w:p>
    <w:p>
      <w:pPr>
        <w:ind w:left="220" w:right="1860"/>
        <w:spacing w:after="0" w:line="352" w:lineRule="auto"/>
        <w:rPr>
          <w:sz w:val="20"/>
          <w:szCs w:val="20"/>
          <w:color w:val="auto"/>
        </w:rPr>
      </w:pPr>
      <w:r>
        <w:rPr>
          <w:sz w:val="1"/>
          <w:szCs w:val="1"/>
          <w:color w:val="auto"/>
        </w:rPr>
        <w:drawing>
          <wp:inline distT="0" distB="0" distL="0" distR="0">
            <wp:extent cx="68580" cy="5969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directors are independent except the CEO </w:t>
      </w:r>
      <w:r>
        <w:rPr>
          <w:sz w:val="1"/>
          <w:szCs w:val="1"/>
          <w:color w:val="auto"/>
        </w:rPr>
        <w:drawing>
          <wp:inline distT="0" distB="0" distL="0" distR="0">
            <wp:extent cx="68580" cy="5969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Separate Chair and CEO roles</w:t>
      </w:r>
    </w:p>
    <w:p>
      <w:pPr>
        <w:ind w:left="420" w:right="80" w:hanging="203"/>
        <w:spacing w:after="0"/>
        <w:rPr>
          <w:sz w:val="20"/>
          <w:szCs w:val="20"/>
          <w:color w:val="auto"/>
        </w:rPr>
      </w:pPr>
      <w:r>
        <w:rPr>
          <w:sz w:val="1"/>
          <w:szCs w:val="1"/>
          <w:color w:val="auto"/>
        </w:rPr>
        <w:drawing>
          <wp:inline distT="0" distB="0" distL="0" distR="0">
            <wp:extent cx="68580" cy="5969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Highly skilled board of directors with diversity in skills, background and experience</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5969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comprised of independent directors</w:t>
      </w:r>
    </w:p>
    <w:p>
      <w:pPr>
        <w:spacing w:after="0" w:line="73" w:lineRule="exact"/>
        <w:rPr>
          <w:sz w:val="20"/>
          <w:szCs w:val="20"/>
          <w:color w:val="auto"/>
        </w:rPr>
      </w:pPr>
    </w:p>
    <w:p>
      <w:pPr>
        <w:ind w:left="420" w:hanging="203"/>
        <w:spacing w:after="0"/>
        <w:rPr>
          <w:sz w:val="20"/>
          <w:szCs w:val="20"/>
          <w:color w:val="auto"/>
        </w:rPr>
      </w:pPr>
      <w:r>
        <w:rPr>
          <w:sz w:val="1"/>
          <w:szCs w:val="1"/>
          <w:color w:val="auto"/>
        </w:rPr>
        <w:drawing>
          <wp:inline distT="0" distB="0" distL="0" distR="0">
            <wp:extent cx="68580" cy="5969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directors regularly meet in executive session with no members of management present, generally at each board of directors meeting</w:t>
      </w:r>
    </w:p>
    <w:p>
      <w:pPr>
        <w:spacing w:after="0" w:line="55" w:lineRule="exact"/>
        <w:rPr>
          <w:sz w:val="20"/>
          <w:szCs w:val="20"/>
          <w:color w:val="auto"/>
        </w:rPr>
      </w:pPr>
    </w:p>
    <w:p>
      <w:pPr>
        <w:ind w:left="420" w:right="780" w:hanging="203"/>
        <w:spacing w:after="0"/>
        <w:rPr>
          <w:sz w:val="20"/>
          <w:szCs w:val="20"/>
          <w:color w:val="auto"/>
        </w:rPr>
      </w:pPr>
      <w:r>
        <w:rPr>
          <w:sz w:val="1"/>
          <w:szCs w:val="1"/>
          <w:color w:val="auto"/>
        </w:rPr>
        <w:drawing>
          <wp:inline distT="0" distB="0" distL="0" distR="0">
            <wp:extent cx="68580" cy="6032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Consistent and frequent director access to management and independent advisors</w:t>
      </w:r>
    </w:p>
    <w:p>
      <w:pPr>
        <w:spacing w:after="0" w:line="55" w:lineRule="exact"/>
        <w:rPr>
          <w:sz w:val="20"/>
          <w:szCs w:val="20"/>
          <w:color w:val="auto"/>
        </w:rPr>
      </w:pPr>
    </w:p>
    <w:p>
      <w:pPr>
        <w:ind w:left="220"/>
        <w:spacing w:after="0"/>
        <w:rPr>
          <w:sz w:val="20"/>
          <w:szCs w:val="20"/>
          <w:color w:val="auto"/>
        </w:rPr>
      </w:pPr>
      <w:r>
        <w:rPr>
          <w:sz w:val="1"/>
          <w:szCs w:val="1"/>
          <w:color w:val="auto"/>
        </w:rPr>
        <w:drawing>
          <wp:inline distT="0" distB="0" distL="0" distR="0">
            <wp:extent cx="68580" cy="603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enterprise risk</w:t>
      </w:r>
    </w:p>
    <w:p>
      <w:pPr>
        <w:spacing w:after="0" w:line="86" w:lineRule="exact"/>
        <w:rPr>
          <w:sz w:val="20"/>
          <w:szCs w:val="20"/>
          <w:color w:val="auto"/>
        </w:rPr>
      </w:pPr>
    </w:p>
    <w:p>
      <w:pPr>
        <w:ind w:left="420" w:right="380" w:hanging="203"/>
        <w:spacing w:after="0"/>
        <w:rPr>
          <w:sz w:val="20"/>
          <w:szCs w:val="20"/>
          <w:color w:val="auto"/>
        </w:rPr>
      </w:pPr>
      <w:r>
        <w:rPr>
          <w:sz w:val="1"/>
          <w:szCs w:val="1"/>
          <w:color w:val="auto"/>
        </w:rPr>
        <w:drawing>
          <wp:inline distT="0" distB="0" distL="0" distR="0">
            <wp:extent cx="68580" cy="60325"/>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Annual performance self-evaluation of the board of directors, each individual director and each committee</w:t>
      </w:r>
    </w:p>
    <w:p>
      <w:pPr>
        <w:spacing w:after="0" w:line="55" w:lineRule="exact"/>
        <w:rPr>
          <w:sz w:val="20"/>
          <w:szCs w:val="20"/>
          <w:color w:val="auto"/>
        </w:rPr>
      </w:pPr>
    </w:p>
    <w:p>
      <w:pPr>
        <w:ind w:left="420" w:right="180" w:hanging="203"/>
        <w:spacing w:after="0"/>
        <w:rPr>
          <w:sz w:val="20"/>
          <w:szCs w:val="20"/>
          <w:color w:val="auto"/>
        </w:rPr>
      </w:pPr>
      <w:r>
        <w:rPr>
          <w:sz w:val="1"/>
          <w:szCs w:val="1"/>
          <w:color w:val="auto"/>
        </w:rPr>
        <w:drawing>
          <wp:inline distT="0" distB="0" distL="0" distR="0">
            <wp:extent cx="68580" cy="5969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Oversight of ESG matters directly assigned to Environmental, Social,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OTHER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-147320</wp:posOffset>
            </wp:positionV>
            <wp:extent cx="3566160" cy="25546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566160" cy="2554605"/>
                    </a:xfrm>
                    <a:prstGeom prst="rect">
                      <a:avLst/>
                    </a:prstGeom>
                    <a:noFill/>
                  </pic:spPr>
                </pic:pic>
              </a:graphicData>
            </a:graphic>
          </wp:anchor>
        </w:drawing>
      </w:r>
    </w:p>
    <w:p>
      <w:pPr>
        <w:spacing w:after="0" w:line="111"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5969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Prohibition on hedging, pledging and trading transactions by executive officers or directors</w:t>
      </w:r>
    </w:p>
    <w:p>
      <w:pPr>
        <w:spacing w:after="0" w:line="55" w:lineRule="exact"/>
        <w:rPr>
          <w:sz w:val="20"/>
          <w:szCs w:val="20"/>
          <w:color w:val="auto"/>
        </w:rPr>
      </w:pPr>
    </w:p>
    <w:p>
      <w:pPr>
        <w:ind w:left="220" w:right="700" w:hanging="203"/>
        <w:spacing w:after="0"/>
        <w:rPr>
          <w:sz w:val="20"/>
          <w:szCs w:val="20"/>
          <w:color w:val="auto"/>
        </w:rPr>
      </w:pPr>
      <w:r>
        <w:rPr>
          <w:sz w:val="1"/>
          <w:szCs w:val="1"/>
          <w:color w:val="auto"/>
        </w:rPr>
        <w:drawing>
          <wp:inline distT="0" distB="0" distL="0" distR="0">
            <wp:extent cx="68580" cy="5969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Stock ownership guidelines applicable to executive officers and directors</w:t>
      </w:r>
    </w:p>
    <w:p>
      <w:pPr>
        <w:spacing w:after="0" w:line="42" w:lineRule="exact"/>
        <w:rPr>
          <w:sz w:val="20"/>
          <w:szCs w:val="20"/>
          <w:color w:val="auto"/>
        </w:rPr>
      </w:pPr>
    </w:p>
    <w:p>
      <w:pPr>
        <w:ind w:left="220" w:right="140" w:hanging="203"/>
        <w:spacing w:after="0"/>
        <w:rPr>
          <w:sz w:val="20"/>
          <w:szCs w:val="20"/>
          <w:color w:val="auto"/>
        </w:rPr>
      </w:pPr>
      <w:r>
        <w:rPr>
          <w:sz w:val="1"/>
          <w:szCs w:val="1"/>
          <w:color w:val="auto"/>
        </w:rPr>
        <w:drawing>
          <wp:inline distT="0" distB="0" distL="0" distR="0">
            <wp:extent cx="68580" cy="5969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Independent executive compensation consultant hired by and reporting to the Compensation Committee</w:t>
      </w:r>
    </w:p>
    <w:p>
      <w:pPr>
        <w:spacing w:after="0" w:line="42" w:lineRule="exact"/>
        <w:rPr>
          <w:sz w:val="20"/>
          <w:szCs w:val="20"/>
          <w:color w:val="auto"/>
        </w:rPr>
      </w:pPr>
    </w:p>
    <w:p>
      <w:pPr>
        <w:ind w:left="220" w:right="180" w:hanging="203"/>
        <w:spacing w:after="0"/>
        <w:rPr>
          <w:sz w:val="20"/>
          <w:szCs w:val="20"/>
          <w:color w:val="auto"/>
        </w:rPr>
      </w:pPr>
      <w:r>
        <w:rPr>
          <w:sz w:val="1"/>
          <w:szCs w:val="1"/>
          <w:color w:val="auto"/>
        </w:rPr>
        <w:drawing>
          <wp:inline distT="0" distB="0" distL="0" distR="0">
            <wp:extent cx="68580" cy="596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Change in control and severance benefits that are subject to a "double trigger"</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Robust Code of Conduct and third-party hotline reporting</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68580" cy="6032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Active board of directors oversight of executive succession planning</w:t>
      </w:r>
    </w:p>
    <w:p>
      <w:pPr>
        <w:spacing w:after="0" w:line="86" w:lineRule="exact"/>
        <w:rPr>
          <w:sz w:val="20"/>
          <w:szCs w:val="20"/>
          <w:color w:val="auto"/>
        </w:rPr>
      </w:pPr>
    </w:p>
    <w:p>
      <w:pPr>
        <w:ind w:left="220" w:right="460" w:hanging="203"/>
        <w:spacing w:after="0"/>
        <w:rPr>
          <w:sz w:val="20"/>
          <w:szCs w:val="20"/>
          <w:color w:val="auto"/>
        </w:rPr>
      </w:pPr>
      <w:r>
        <w:rPr>
          <w:sz w:val="1"/>
          <w:szCs w:val="1"/>
          <w:color w:val="auto"/>
        </w:rPr>
        <w:drawing>
          <wp:inline distT="0" distB="0" distL="0" distR="0">
            <wp:extent cx="68580" cy="6032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Clawback policy consistent with the requirements of Exchange Act Rule 10D-1 and applicable NYSE listing standards</w:t>
      </w:r>
    </w:p>
    <w:p>
      <w:pPr>
        <w:spacing w:after="0" w:line="55" w:lineRule="exact"/>
        <w:rPr>
          <w:sz w:val="20"/>
          <w:szCs w:val="20"/>
          <w:color w:val="auto"/>
        </w:rPr>
      </w:pPr>
    </w:p>
    <w:p>
      <w:pPr>
        <w:ind w:left="220" w:right="500" w:hanging="203"/>
        <w:spacing w:after="0"/>
        <w:rPr>
          <w:sz w:val="20"/>
          <w:szCs w:val="20"/>
          <w:color w:val="auto"/>
        </w:rPr>
      </w:pPr>
      <w:r>
        <w:rPr>
          <w:sz w:val="1"/>
          <w:szCs w:val="1"/>
          <w:color w:val="auto"/>
        </w:rPr>
        <w:drawing>
          <wp:inline distT="0" distB="0" distL="0" distR="0">
            <wp:extent cx="68580" cy="5969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Enterprise risk management program, including relevant ESG and cyber related risks</w:t>
      </w:r>
    </w:p>
    <w:p>
      <w:pPr>
        <w:spacing w:after="0" w:line="470" w:lineRule="exact"/>
        <w:rPr>
          <w:sz w:val="20"/>
          <w:szCs w:val="20"/>
          <w:color w:val="auto"/>
        </w:rPr>
      </w:pPr>
    </w:p>
    <w:p>
      <w:pPr>
        <w:sectPr>
          <w:pgSz w:w="11900" w:h="16838" w:orient="portrait"/>
          <w:cols w:equalWidth="0" w:num="2">
            <w:col w:w="5480" w:space="340"/>
            <w:col w:w="5380"/>
          </w:cols>
          <w:pgMar w:left="320" w:top="125" w:right="37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Board of Directors and Committee Meetings</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During 2023, the Civeo board of directors held six meetings, the Audit Committee held seven meetings, the Compensation Committee held five meetings, the Environmental, Social, Governance and Nominating Committee held four meetings and the Finance and Investment Committee held three meetings. In total, each director attended 100% of the total meetings of the board of directors. Additionally, each director attended 100% of the total committee meetings for which he or she served, with the exception of one director who attended 87.5% of the total committee meetings. While we understand that scheduling conflicts may arise, we expect directors to make reasonable efforts to attend the annual general meeting of shareholders, meetings of the board of directors and meetings of the committees on which they serve. All of our directors attended the 2023 annual general meeting of shareholders.</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Board of Directors—Performance Evaluations</w:t>
      </w:r>
    </w:p>
    <w:p>
      <w:pPr>
        <w:spacing w:after="0" w:line="14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Annually, the board of directors conducts a self-evaluation to determine whether it and its committees are functioning effectively. The Environmental, Social, Governance and Nominating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spacing w:after="0" w:line="2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the Environmental, Social, Governance and Nominating Committee leads the board of directors in the annual performance review of each of the board's committees. As part of this process, the chair of each committee reports to the Environmental, Social, Governance and Nominating Committee Chair who then reports the results of the self-evaluations to the full board of directors about the committee’s annual evaluation of its performance and evaluation of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153035</wp:posOffset>
            </wp:positionV>
            <wp:extent cx="394335" cy="196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Orientation and Continuing Education</w:t>
      </w:r>
    </w:p>
    <w:p>
      <w:pPr>
        <w:spacing w:after="0" w:line="146"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 During 2023, certain directors completed a two-hour cybersecurity training. Additionally, during 2023, certain directors visited various operational sites of the Company in the Australian Bowen Basin.</w:t>
      </w: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Corporate Governance Guidelines</w:t>
      </w:r>
    </w:p>
    <w:p>
      <w:pPr>
        <w:spacing w:after="0" w:line="14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Civeo has adopted Corporate Governance Guidelines to provide the board of directors with the necessary authority and practices in place to make decisions that are independent from management, that the board of directors adequately performs its function as the overseer of management and to align the interests of the board of directors and management with the interests of the shareholders. Civeo’s Corporate Governance Guidelines are available at civeo.com, by first clicking “ESG”, then selecting “Governance Documents” from the "Governance" drop-down menu, then “Corporate Governance Guidelines.”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Communications with Directors; Accounting and Auditing Concerns</w:t>
      </w:r>
    </w:p>
    <w:p>
      <w:pPr>
        <w:spacing w:after="0" w:line="132"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color w:val="auto"/>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Corporate Secretary of Civeo to the addressee without review by management.</w:t>
      </w:r>
    </w:p>
    <w:p>
      <w:pPr>
        <w:spacing w:after="0" w:line="60" w:lineRule="exact"/>
        <w:rPr>
          <w:sz w:val="20"/>
          <w:szCs w:val="20"/>
          <w:color w:val="auto"/>
        </w:rPr>
      </w:pPr>
    </w:p>
    <w:p>
      <w:pPr>
        <w:jc w:val="both"/>
        <w:ind w:right="480"/>
        <w:spacing w:after="0" w:line="286"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Certain Relationships and Related-Party Transactions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There are no transactions or relationships required to be disclosed under Item 404(a) of Regulation S-K since the beginning of the last fiscal year.</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board of directors has adopted written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party has a direct or indirect material interest in the transaction. As required under the rules of the SEC, any related party transaction will be disclosed in filings we make with the SEC when required, including disclosure in our proxy statements.</w:t>
      </w:r>
    </w:p>
    <w:p>
      <w:pPr>
        <w:spacing w:after="0" w:line="6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Our Code of Conduct prohibits conflicts of interest. Any waivers of these guidelines must be approved by the Environmental, Social, Governance and Nominating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37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Environmental, Social, Governance and Nominating Committee, our board of directors or our independent registered public accounting firm, as deemed appropriate, and discussed with management. As part of this review, the following factors will generally be considered:</w:t>
      </w:r>
    </w:p>
    <w:p>
      <w:pPr>
        <w:spacing w:after="0" w:line="6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nature of the related party’s interest in the transaction;</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material terms of the transaction, including, without limitation, the amount and type of the transaction;</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importance of the transaction to the related party;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the importance of the transaction to us;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whether the transaction would impair the judgment of a director or executive officer to act in Civeo’s best interest;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whether the transaction might affect the status of a director as independent under the independence standards of the NYSE;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28"/>
        </w:numPr>
        <w:rPr>
          <w:rFonts w:ascii="Arial" w:cs="Arial" w:eastAsia="Arial" w:hAnsi="Arial"/>
          <w:sz w:val="16"/>
          <w:szCs w:val="16"/>
          <w:color w:val="006DB6"/>
        </w:rPr>
      </w:pPr>
      <w:r>
        <w:rPr>
          <w:rFonts w:ascii="Arial" w:cs="Arial" w:eastAsia="Arial" w:hAnsi="Arial"/>
          <w:sz w:val="16"/>
          <w:szCs w:val="16"/>
          <w:color w:val="auto"/>
        </w:rPr>
        <w:t>any other matters deemed appropriate with respect to the particular transaction.</w:t>
      </w:r>
    </w:p>
    <w:p>
      <w:pPr>
        <w:spacing w:after="0" w:line="127"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Ultimately, all material related-party transactions must be approved or ratified by the Environmental, Social, Governance and Nominating Committee of our board of directors. Any member of the Environmental, Social, Governance and Nominating Committee who is a related party with respect to a transaction would be recused from the review of the transaction.</w:t>
      </w:r>
    </w:p>
    <w:p>
      <w:pPr>
        <w:spacing w:after="0" w:line="77"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spacing w:after="0" w:line="56"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We also have other policies and procedures to prevent conflicts of interest, including related-party transactions. For example, the charter of our Environmental, Social, Governance and Nominating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 Code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Conduct:</w:t>
      </w:r>
    </w:p>
    <w:p>
      <w:pPr>
        <w:spacing w:after="0" w:line="97" w:lineRule="exact"/>
        <w:rPr>
          <w:sz w:val="20"/>
          <w:szCs w:val="20"/>
          <w:color w:val="auto"/>
        </w:rPr>
      </w:pPr>
    </w:p>
    <w:p>
      <w:pPr>
        <w:ind w:left="200" w:right="260" w:hanging="192"/>
        <w:spacing w:after="0" w:line="299" w:lineRule="auto"/>
        <w:tabs>
          <w:tab w:leader="none" w:pos="17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None of Civeo’s funds, assets or services will be used for political contributions, directly or indirectly, unless allowed by applicable foreign and U.S. law and approved in advance by our board of directors.</w:t>
      </w:r>
    </w:p>
    <w:p>
      <w:pPr>
        <w:ind w:left="200" w:right="620" w:hanging="192"/>
        <w:spacing w:after="0" w:line="304" w:lineRule="auto"/>
        <w:tabs>
          <w:tab w:leader="none" w:pos="17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Any contributions by Civeo to support or oppose public referenda or similar ballot issues are only permitted with advance approval of our board of directors.</w:t>
      </w:r>
    </w:p>
    <w:p>
      <w:pPr>
        <w:spacing w:after="0" w:line="6" w:lineRule="exact"/>
        <w:rPr>
          <w:rFonts w:ascii="Arial" w:cs="Arial" w:eastAsia="Arial" w:hAnsi="Arial"/>
          <w:sz w:val="16"/>
          <w:szCs w:val="16"/>
          <w:color w:val="006DB6"/>
        </w:rPr>
      </w:pPr>
    </w:p>
    <w:p>
      <w:pPr>
        <w:ind w:left="200" w:right="60" w:hanging="192"/>
        <w:spacing w:after="0" w:line="260" w:lineRule="auto"/>
        <w:tabs>
          <w:tab w:leader="none" w:pos="170" w:val="left"/>
        </w:tabs>
        <w:numPr>
          <w:ilvl w:val="0"/>
          <w:numId w:val="29"/>
        </w:numPr>
        <w:rPr>
          <w:rFonts w:ascii="Arial" w:cs="Arial" w:eastAsia="Arial" w:hAnsi="Arial"/>
          <w:sz w:val="16"/>
          <w:szCs w:val="16"/>
          <w:color w:val="006DB6"/>
        </w:rPr>
      </w:pPr>
      <w:r>
        <w:rPr>
          <w:rFonts w:ascii="Arial" w:cs="Arial" w:eastAsia="Arial" w:hAnsi="Arial"/>
          <w:sz w:val="16"/>
          <w:szCs w:val="16"/>
          <w:color w:val="auto"/>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379095</wp:posOffset>
            </wp:positionV>
            <wp:extent cx="394335" cy="1968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Process</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non-employee directors receive compensation for their services on the board of directors. The Compensation Committee conducts annual reviews of director compensation, engages Mercer, LLC ("Mercer"), the Compensation Committee's independent compensation consultant, to provide market data bi-annually related to director compensation, and makes a recommendation to the board of directors regarding the form and amount of director compensation. Director compensation should be adequate to compensate directors for their time and effort expended in satisfying their obligations. The Compensation Committee does,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forms of compensation to) a director or an organization with which the director is affiliated.</w:t>
      </w:r>
    </w:p>
    <w:p>
      <w:pPr>
        <w:spacing w:after="0" w:line="68"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Directors who are also our employees do not receive a retainer or fees for service on our board of directors or any committees. Accordingly, Mr. Dodson, a director of Civeo and Civeo’s President and Chief Executive Officer, does not receive separate director compensation.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components of 2023 compensation paid by Civeo to non-employee directors: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8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Component</w:t>
            </w:r>
          </w:p>
        </w:tc>
        <w:tc>
          <w:tcPr>
            <w:tcW w:w="7660" w:type="dxa"/>
            <w:vAlign w:val="bottom"/>
            <w:tcBorders>
              <w:bottom w:val="single" w:sz="8" w:color="006DB6"/>
            </w:tcBorders>
          </w:tcPr>
          <w:p>
            <w:pPr>
              <w:ind w:left="400"/>
              <w:spacing w:after="0"/>
              <w:rPr>
                <w:sz w:val="20"/>
                <w:szCs w:val="20"/>
                <w:color w:val="auto"/>
              </w:rPr>
            </w:pPr>
            <w:r>
              <w:rPr>
                <w:rFonts w:ascii="Arial" w:cs="Arial" w:eastAsia="Arial" w:hAnsi="Arial"/>
                <w:sz w:val="14"/>
                <w:szCs w:val="14"/>
                <w:b w:val="1"/>
                <w:bCs w:val="1"/>
                <w:color w:val="706F6F"/>
              </w:rPr>
              <w:t>Non-Employee Director Compensation</w:t>
            </w:r>
          </w:p>
        </w:tc>
      </w:tr>
      <w:tr>
        <w:trPr>
          <w:trHeight w:val="236"/>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Annual Cash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$75,000</w:t>
            </w:r>
          </w:p>
        </w:tc>
      </w:tr>
      <w:tr>
        <w:trPr>
          <w:trHeight w:val="24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Annual Equity Retainer </w:t>
            </w:r>
            <w:r>
              <w:rPr>
                <w:rFonts w:ascii="Arial" w:cs="Arial" w:eastAsia="Arial" w:hAnsi="Arial"/>
                <w:sz w:val="21"/>
                <w:szCs w:val="21"/>
                <w:color w:val="auto"/>
                <w:vertAlign w:val="superscript"/>
              </w:rPr>
              <w:t>(1)</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Share award equal to $125,000 that vest annually</w:t>
            </w:r>
          </w:p>
        </w:tc>
      </w:tr>
      <w:tr>
        <w:trPr>
          <w:trHeight w:val="230"/>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Chair of the Board Annual Retainer</w:t>
            </w:r>
          </w:p>
        </w:tc>
        <w:tc>
          <w:tcPr>
            <w:tcW w:w="766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$85,000 - 50% in cash and 50% in common shares that vest annually</w:t>
            </w:r>
          </w:p>
        </w:tc>
      </w:tr>
      <w:tr>
        <w:trPr>
          <w:trHeight w:val="202"/>
        </w:trPr>
        <w:tc>
          <w:tcPr>
            <w:tcW w:w="3480" w:type="dxa"/>
            <w:vAlign w:val="bottom"/>
          </w:tcPr>
          <w:p>
            <w:pPr>
              <w:ind w:left="20"/>
              <w:spacing w:after="0"/>
              <w:rPr>
                <w:sz w:val="20"/>
                <w:szCs w:val="20"/>
                <w:color w:val="auto"/>
              </w:rPr>
            </w:pPr>
            <w:r>
              <w:rPr>
                <w:rFonts w:ascii="Arial" w:cs="Arial" w:eastAsia="Arial" w:hAnsi="Arial"/>
                <w:sz w:val="16"/>
                <w:szCs w:val="16"/>
                <w:color w:val="auto"/>
              </w:rPr>
              <w:t>Committee Chair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$27,500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$23,000</w:t>
            </w:r>
          </w:p>
        </w:tc>
      </w:tr>
      <w:tr>
        <w:trPr>
          <w:trHeight w:val="203"/>
        </w:trPr>
        <w:tc>
          <w:tcPr>
            <w:tcW w:w="3480" w:type="dxa"/>
            <w:vAlign w:val="bottom"/>
          </w:tcPr>
          <w:p>
            <w:pPr>
              <w:spacing w:after="0"/>
              <w:rPr>
                <w:sz w:val="17"/>
                <w:szCs w:val="17"/>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$23,000</w:t>
            </w:r>
          </w:p>
        </w:tc>
      </w:tr>
      <w:tr>
        <w:trPr>
          <w:trHeight w:val="215"/>
        </w:trPr>
        <w:tc>
          <w:tcPr>
            <w:tcW w:w="3480" w:type="dxa"/>
            <w:vAlign w:val="bottom"/>
          </w:tcPr>
          <w:p>
            <w:pPr>
              <w:spacing w:after="0"/>
              <w:rPr>
                <w:sz w:val="18"/>
                <w:szCs w:val="18"/>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Finance and Investment - $18,000</w:t>
            </w:r>
          </w:p>
        </w:tc>
      </w:tr>
      <w:tr>
        <w:trPr>
          <w:trHeight w:val="29"/>
        </w:trPr>
        <w:tc>
          <w:tcPr>
            <w:tcW w:w="348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195"/>
        </w:trPr>
        <w:tc>
          <w:tcPr>
            <w:tcW w:w="3480" w:type="dxa"/>
            <w:vAlign w:val="bottom"/>
          </w:tcPr>
          <w:p>
            <w:pPr>
              <w:ind w:left="20"/>
              <w:spacing w:after="0"/>
              <w:rPr>
                <w:sz w:val="20"/>
                <w:szCs w:val="20"/>
                <w:color w:val="auto"/>
              </w:rPr>
            </w:pPr>
            <w:r>
              <w:rPr>
                <w:rFonts w:ascii="Arial" w:cs="Arial" w:eastAsia="Arial" w:hAnsi="Arial"/>
                <w:sz w:val="16"/>
                <w:szCs w:val="16"/>
                <w:color w:val="auto"/>
              </w:rPr>
              <w:t>Committee Member Annual Cash Retainer</w:t>
            </w:r>
          </w:p>
        </w:tc>
        <w:tc>
          <w:tcPr>
            <w:tcW w:w="7660" w:type="dxa"/>
            <w:vAlign w:val="bottom"/>
          </w:tcPr>
          <w:p>
            <w:pPr>
              <w:ind w:left="400"/>
              <w:spacing w:after="0"/>
              <w:rPr>
                <w:sz w:val="20"/>
                <w:szCs w:val="20"/>
                <w:color w:val="auto"/>
              </w:rPr>
            </w:pPr>
            <w:r>
              <w:rPr>
                <w:rFonts w:ascii="Arial" w:cs="Arial" w:eastAsia="Arial" w:hAnsi="Arial"/>
                <w:sz w:val="16"/>
                <w:szCs w:val="16"/>
                <w:color w:val="auto"/>
              </w:rPr>
              <w:t>Audit - $18,000</w:t>
            </w:r>
          </w:p>
        </w:tc>
      </w:tr>
      <w:tr>
        <w:trPr>
          <w:trHeight w:val="189"/>
        </w:trPr>
        <w:tc>
          <w:tcPr>
            <w:tcW w:w="3480" w:type="dxa"/>
            <w:vAlign w:val="bottom"/>
          </w:tcPr>
          <w:p>
            <w:pPr>
              <w:spacing w:after="0"/>
              <w:rPr>
                <w:sz w:val="16"/>
                <w:szCs w:val="16"/>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Compensation - $13,000</w:t>
            </w:r>
          </w:p>
        </w:tc>
      </w:tr>
      <w:tr>
        <w:trPr>
          <w:trHeight w:val="203"/>
        </w:trPr>
        <w:tc>
          <w:tcPr>
            <w:tcW w:w="3480" w:type="dxa"/>
            <w:vAlign w:val="bottom"/>
          </w:tcPr>
          <w:p>
            <w:pPr>
              <w:spacing w:after="0"/>
              <w:rPr>
                <w:sz w:val="17"/>
                <w:szCs w:val="17"/>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Environmental, Social, Governance and Nominating - $13,000</w:t>
            </w:r>
          </w:p>
        </w:tc>
      </w:tr>
      <w:tr>
        <w:trPr>
          <w:trHeight w:val="215"/>
        </w:trPr>
        <w:tc>
          <w:tcPr>
            <w:tcW w:w="3480" w:type="dxa"/>
            <w:vAlign w:val="bottom"/>
          </w:tcPr>
          <w:p>
            <w:pPr>
              <w:spacing w:after="0"/>
              <w:rPr>
                <w:sz w:val="18"/>
                <w:szCs w:val="18"/>
                <w:color w:val="auto"/>
              </w:rPr>
            </w:pPr>
          </w:p>
        </w:tc>
        <w:tc>
          <w:tcPr>
            <w:tcW w:w="7660" w:type="dxa"/>
            <w:vAlign w:val="bottom"/>
          </w:tcPr>
          <w:p>
            <w:pPr>
              <w:ind w:left="400"/>
              <w:spacing w:after="0"/>
              <w:rPr>
                <w:sz w:val="20"/>
                <w:szCs w:val="20"/>
                <w:color w:val="auto"/>
              </w:rPr>
            </w:pPr>
            <w:r>
              <w:rPr>
                <w:rFonts w:ascii="Arial" w:cs="Arial" w:eastAsia="Arial" w:hAnsi="Arial"/>
                <w:sz w:val="16"/>
                <w:szCs w:val="16"/>
                <w:color w:val="auto"/>
              </w:rPr>
              <w:t>Finance and Investment - $13,000</w:t>
            </w:r>
          </w:p>
        </w:tc>
      </w:tr>
      <w:tr>
        <w:trPr>
          <w:trHeight w:val="29"/>
        </w:trPr>
        <w:tc>
          <w:tcPr>
            <w:tcW w:w="348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660" w:hanging="328"/>
        <w:spacing w:after="0" w:line="265"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Newly elected non-employee directors receive restricted share awards valued at $125,000 after their initial appointment. In addition, non-employee directors who have served for not less than six months receive additional restricted share awards valued at $125,000 at each annual shareholders’ meeting after which they continue to serve. The non-employee directors’ restricted share awards are valued on the award date based on the closing share price on the award date and vest on the earlier of one year from the date of grant or the next annual shareholders’ meeting date following the date of grant, subject to continued service through such date.</w:t>
      </w:r>
    </w:p>
    <w:p>
      <w:pPr>
        <w:spacing w:after="0" w:line="10" w:lineRule="exact"/>
        <w:rPr>
          <w:rFonts w:ascii="Arial" w:cs="Arial" w:eastAsia="Arial" w:hAnsi="Arial"/>
          <w:sz w:val="16"/>
          <w:szCs w:val="16"/>
          <w:color w:val="auto"/>
        </w:rPr>
      </w:pPr>
    </w:p>
    <w:p>
      <w:pPr>
        <w:ind w:left="660" w:right="220"/>
        <w:spacing w:after="0" w:line="275" w:lineRule="auto"/>
        <w:rPr>
          <w:rFonts w:ascii="Arial" w:cs="Arial" w:eastAsia="Arial" w:hAnsi="Arial"/>
          <w:sz w:val="16"/>
          <w:szCs w:val="16"/>
          <w:color w:val="auto"/>
        </w:rPr>
      </w:pPr>
      <w:r>
        <w:rPr>
          <w:rFonts w:ascii="Arial" w:cs="Arial" w:eastAsia="Arial" w:hAnsi="Arial"/>
          <w:sz w:val="16"/>
          <w:szCs w:val="16"/>
          <w:color w:val="auto"/>
        </w:rPr>
        <w:t>Our non-employee directors are permitted to elect to receive their annual restricted share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spacing w:after="0" w:line="2"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6083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56" w:lineRule="exact"/>
        <w:rPr>
          <w:sz w:val="20"/>
          <w:szCs w:val="20"/>
          <w:color w:val="auto"/>
        </w:rPr>
      </w:pPr>
    </w:p>
    <w:p>
      <w:pPr>
        <w:ind w:left="20" w:right="200"/>
        <w:spacing w:after="0" w:line="275" w:lineRule="auto"/>
        <w:rPr>
          <w:sz w:val="20"/>
          <w:szCs w:val="20"/>
          <w:color w:val="auto"/>
        </w:rPr>
      </w:pPr>
      <w:r>
        <w:rPr>
          <w:rFonts w:ascii="Arial" w:cs="Arial" w:eastAsia="Arial" w:hAnsi="Arial"/>
          <w:sz w:val="16"/>
          <w:szCs w:val="16"/>
          <w:color w:val="auto"/>
        </w:rPr>
        <w:t>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Environmental, Social, Governance and Nominating Committee annually reviews director compliance with share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006DB6"/>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Director Compensation Table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paid by Civeo to non-employee directors for the fiscal year ended December 31, 2023:</w:t>
      </w:r>
    </w:p>
    <w:p>
      <w:pPr>
        <w:spacing w:after="0" w:line="280" w:lineRule="exact"/>
        <w:rPr>
          <w:sz w:val="20"/>
          <w:szCs w:val="20"/>
          <w:color w:val="auto"/>
        </w:rPr>
      </w:pPr>
    </w:p>
    <w:tbl>
      <w:tblPr>
        <w:tblLayout w:type="fixed"/>
        <w:tblInd w:w="96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306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706F6F"/>
              </w:rPr>
              <w:t>Fees Earned or</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706F6F"/>
              </w:rPr>
              <w:t>Stock</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706F6F"/>
              </w:rPr>
              <w:t>Name</w:t>
            </w:r>
          </w:p>
        </w:tc>
        <w:tc>
          <w:tcPr>
            <w:tcW w:w="3060" w:type="dxa"/>
            <w:vAlign w:val="bottom"/>
            <w:gridSpan w:val="2"/>
            <w:vMerge w:val="continue"/>
          </w:tcPr>
          <w:p>
            <w:pPr>
              <w:spacing w:after="0"/>
              <w:rPr>
                <w:sz w:val="12"/>
                <w:szCs w:val="12"/>
                <w:color w:val="auto"/>
              </w:rPr>
            </w:pPr>
          </w:p>
        </w:tc>
        <w:tc>
          <w:tcPr>
            <w:tcW w:w="13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706F6F"/>
              </w:rPr>
              <w:t xml:space="preserve">Awards </w:t>
            </w:r>
            <w:r>
              <w:rPr>
                <w:rFonts w:ascii="Arial" w:cs="Arial" w:eastAsia="Arial" w:hAnsi="Arial"/>
                <w:sz w:val="17"/>
                <w:szCs w:val="17"/>
                <w:b w:val="1"/>
                <w:bCs w:val="1"/>
                <w:color w:val="706F6F"/>
                <w:vertAlign w:val="superscript"/>
              </w:rPr>
              <w:t>(1)</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706F6F"/>
              </w:rPr>
              <w:t>Total</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006DB6"/>
            </w:tcBorders>
            <w:vMerge w:val="continue"/>
          </w:tcPr>
          <w:p>
            <w:pPr>
              <w:spacing w:after="0"/>
              <w:rPr>
                <w:sz w:val="15"/>
                <w:szCs w:val="15"/>
                <w:color w:val="auto"/>
              </w:rPr>
            </w:pPr>
          </w:p>
        </w:tc>
        <w:tc>
          <w:tcPr>
            <w:tcW w:w="3060" w:type="dxa"/>
            <w:vAlign w:val="bottom"/>
            <w:tcBorders>
              <w:bottom w:val="single" w:sz="8" w:color="006DB6"/>
            </w:tcBorders>
            <w:gridSpan w:val="2"/>
          </w:tcPr>
          <w:p>
            <w:pPr>
              <w:ind w:left="1780"/>
              <w:spacing w:after="0"/>
              <w:rPr>
                <w:sz w:val="20"/>
                <w:szCs w:val="20"/>
                <w:color w:val="auto"/>
              </w:rPr>
            </w:pPr>
            <w:r>
              <w:rPr>
                <w:rFonts w:ascii="Arial" w:cs="Arial" w:eastAsia="Arial" w:hAnsi="Arial"/>
                <w:sz w:val="14"/>
                <w:szCs w:val="14"/>
                <w:b w:val="1"/>
                <w:bCs w:val="1"/>
                <w:color w:val="706F6F"/>
              </w:rPr>
              <w:t>Paid in Cash</w:t>
            </w:r>
          </w:p>
        </w:tc>
        <w:tc>
          <w:tcPr>
            <w:tcW w:w="580" w:type="dxa"/>
            <w:vAlign w:val="bottom"/>
            <w:tcBorders>
              <w:bottom w:val="single" w:sz="8" w:color="006DB6"/>
            </w:tcBorders>
          </w:tcPr>
          <w:p>
            <w:pPr>
              <w:spacing w:after="0"/>
              <w:rPr>
                <w:sz w:val="15"/>
                <w:szCs w:val="15"/>
                <w:color w:val="auto"/>
              </w:rPr>
            </w:pPr>
          </w:p>
        </w:tc>
        <w:tc>
          <w:tcPr>
            <w:tcW w:w="760" w:type="dxa"/>
            <w:vAlign w:val="bottom"/>
            <w:tcBorders>
              <w:bottom w:val="single" w:sz="8" w:color="006DB6"/>
            </w:tcBorders>
          </w:tcPr>
          <w:p>
            <w:pPr>
              <w:spacing w:after="0"/>
              <w:rPr>
                <w:sz w:val="15"/>
                <w:szCs w:val="15"/>
                <w:color w:val="auto"/>
              </w:rPr>
            </w:pPr>
          </w:p>
        </w:tc>
        <w:tc>
          <w:tcPr>
            <w:tcW w:w="540" w:type="dxa"/>
            <w:vAlign w:val="bottom"/>
            <w:tcBorders>
              <w:bottom w:val="single" w:sz="8" w:color="006DB6"/>
            </w:tcBorders>
            <w:vMerge w:val="continue"/>
          </w:tcPr>
          <w:p>
            <w:pPr>
              <w:spacing w:after="0"/>
              <w:rPr>
                <w:sz w:val="15"/>
                <w:szCs w:val="15"/>
                <w:color w:val="auto"/>
              </w:rPr>
            </w:pPr>
          </w:p>
        </w:tc>
        <w:tc>
          <w:tcPr>
            <w:tcW w:w="840" w:type="dxa"/>
            <w:vAlign w:val="bottom"/>
            <w:tcBorders>
              <w:bottom w:val="single" w:sz="8" w:color="006DB6"/>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Richard A. Navarre</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130,500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182,915</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313,415</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 Ronald Blankenship</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236,006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Jay K. Grewal</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106,000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231,006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Martin A. Lambert</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236,006</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Michael Montelongo</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123,750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248,756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Constance B. Moore</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115,500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240,506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Charles Szalkowski</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116,000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241,006</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706F6F"/>
            </w:tcBorders>
          </w:tcPr>
          <w:p>
            <w:pPr>
              <w:spacing w:after="0"/>
              <w:rPr>
                <w:sz w:val="20"/>
                <w:szCs w:val="20"/>
                <w:color w:val="auto"/>
              </w:rPr>
            </w:pPr>
            <w:r>
              <w:rPr>
                <w:rFonts w:ascii="Arial" w:cs="Arial" w:eastAsia="Arial" w:hAnsi="Arial"/>
                <w:sz w:val="16"/>
                <w:szCs w:val="16"/>
                <w:b w:val="1"/>
                <w:bCs w:val="1"/>
                <w:color w:val="006DB6"/>
              </w:rPr>
              <w:t>Timothy O. Wall</w:t>
            </w:r>
          </w:p>
        </w:tc>
        <w:tc>
          <w:tcPr>
            <w:tcW w:w="2160" w:type="dxa"/>
            <w:vAlign w:val="bottom"/>
            <w:tcBorders>
              <w:bottom w:val="single" w:sz="8" w:color="706F6F"/>
            </w:tcBorders>
          </w:tcPr>
          <w:p>
            <w:pPr>
              <w:ind w:left="17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101,000</w:t>
            </w:r>
          </w:p>
        </w:tc>
        <w:tc>
          <w:tcPr>
            <w:tcW w:w="580" w:type="dxa"/>
            <w:vAlign w:val="bottom"/>
            <w:tcBorders>
              <w:bottom w:val="single" w:sz="8" w:color="706F6F"/>
            </w:tcBorders>
          </w:tcPr>
          <w:p>
            <w:pPr>
              <w:ind w:lef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125,006</w:t>
            </w:r>
          </w:p>
        </w:tc>
        <w:tc>
          <w:tcPr>
            <w:tcW w:w="540" w:type="dxa"/>
            <w:vAlign w:val="bottom"/>
            <w:tcBorders>
              <w:bottom w:val="single" w:sz="8" w:color="706F6F"/>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226,006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140" w:hanging="252"/>
        <w:spacing w:after="0" w:line="251" w:lineRule="auto"/>
        <w:tabs>
          <w:tab w:leader="none" w:pos="264"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The amounts in the “Stock Awards” column reflect the aggregate grant date fair value of restricted share awards granted in 2023 calculated in accordance with FASB ASC Topic 718—Stock Compensation. Please see Note 19 to the notes to consolidated financial statements included in Item 8 of Civeo’s Annual Report on Form 10-K for the fiscal year ended December 31, 2023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stock award total includes $15,407 of Civeo common shares as part of his fees as Chair of the Board, which were fully vested on the grant date and $42,502 in restricted shares which will vest at the annual shareholder's meeting.</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the aggregate number of unvested restricted share awards held by each of the non-employee directors were as follows: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Stock Awards</w:t>
            </w:r>
          </w:p>
        </w:tc>
        <w:tc>
          <w:tcPr>
            <w:tcW w:w="280" w:type="dxa"/>
            <w:vAlign w:val="bottom"/>
            <w:tcBorders>
              <w:bottom w:val="single" w:sz="8" w:color="706F6F"/>
            </w:tcBorders>
          </w:tcPr>
          <w:p>
            <w:pPr>
              <w:spacing w:after="0"/>
              <w:rPr>
                <w:sz w:val="17"/>
                <w:szCs w:val="17"/>
                <w:color w:val="auto"/>
              </w:rPr>
            </w:pPr>
          </w:p>
        </w:tc>
      </w:tr>
      <w:tr>
        <w:trPr>
          <w:trHeight w:val="239"/>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7,969</w:t>
            </w:r>
          </w:p>
        </w:tc>
        <w:tc>
          <w:tcPr>
            <w:tcW w:w="280" w:type="dxa"/>
            <w:vAlign w:val="bottom"/>
            <w:tcBorders>
              <w:bottom w:val="single" w:sz="8" w:color="706F6F"/>
            </w:tcBorders>
          </w:tcPr>
          <w:p>
            <w:pPr>
              <w:spacing w:after="0"/>
              <w:rPr>
                <w:sz w:val="20"/>
                <w:szCs w:val="20"/>
                <w:color w:val="auto"/>
              </w:rPr>
            </w:pP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580" w:type="dxa"/>
            <w:vAlign w:val="bottom"/>
            <w:tcBorders>
              <w:bottom w:val="single" w:sz="8" w:color="006DB6"/>
            </w:tcBorders>
          </w:tcPr>
          <w:p>
            <w:pPr>
              <w:jc w:val="right"/>
              <w:spacing w:after="0"/>
              <w:rPr>
                <w:sz w:val="20"/>
                <w:szCs w:val="20"/>
                <w:color w:val="auto"/>
              </w:rPr>
            </w:pPr>
            <w:r>
              <w:rPr>
                <w:rFonts w:ascii="Arial" w:cs="Arial" w:eastAsia="Arial" w:hAnsi="Arial"/>
                <w:sz w:val="16"/>
                <w:szCs w:val="16"/>
                <w:color w:val="auto"/>
              </w:rPr>
              <w:t>5,947</w:t>
            </w:r>
          </w:p>
        </w:tc>
        <w:tc>
          <w:tcPr>
            <w:tcW w:w="280" w:type="dxa"/>
            <w:vAlign w:val="bottom"/>
            <w:tcBorders>
              <w:bottom w:val="single" w:sz="8" w:color="706F6F"/>
            </w:tcBorders>
          </w:tcPr>
          <w:p>
            <w:pPr>
              <w:spacing w:after="0"/>
              <w:rPr>
                <w:sz w:val="20"/>
                <w:szCs w:val="20"/>
                <w:color w:val="auto"/>
              </w:rPr>
            </w:pPr>
          </w:p>
        </w:tc>
      </w:tr>
      <w:tr>
        <w:trPr>
          <w:trHeight w:val="236"/>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5,947</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006DB6"/>
                <w:w w:val="95"/>
              </w:rPr>
              <w:t>*</w:t>
            </w:r>
          </w:p>
        </w:tc>
      </w:tr>
      <w:tr>
        <w:trPr>
          <w:trHeight w:val="237"/>
        </w:trPr>
        <w:tc>
          <w:tcPr>
            <w:tcW w:w="312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580" w:type="dxa"/>
            <w:vAlign w:val="bottom"/>
            <w:tcBorders>
              <w:bottom w:val="single" w:sz="8" w:color="706F6F"/>
            </w:tcBorders>
          </w:tcPr>
          <w:p>
            <w:pPr>
              <w:jc w:val="right"/>
              <w:spacing w:after="0"/>
              <w:rPr>
                <w:sz w:val="20"/>
                <w:szCs w:val="20"/>
                <w:color w:val="auto"/>
              </w:rPr>
            </w:pPr>
            <w:r>
              <w:rPr>
                <w:rFonts w:ascii="Arial" w:cs="Arial" w:eastAsia="Arial" w:hAnsi="Arial"/>
                <w:sz w:val="16"/>
                <w:szCs w:val="16"/>
                <w:color w:val="auto"/>
              </w:rPr>
              <w:t>5,947</w:t>
            </w:r>
          </w:p>
        </w:tc>
        <w:tc>
          <w:tcPr>
            <w:tcW w:w="280" w:type="dxa"/>
            <w:vAlign w:val="bottom"/>
            <w:tcBorders>
              <w:bottom w:val="single" w:sz="8" w:color="706F6F"/>
            </w:tcBorders>
          </w:tcPr>
          <w:p>
            <w:pPr>
              <w:jc w:val="right"/>
              <w:ind w:right="119"/>
              <w:spacing w:after="0"/>
              <w:rPr>
                <w:sz w:val="20"/>
                <w:szCs w:val="20"/>
                <w:color w:val="auto"/>
              </w:rPr>
            </w:pPr>
            <w:r>
              <w:rPr>
                <w:rFonts w:ascii="Arial" w:cs="Arial" w:eastAsia="Arial" w:hAnsi="Arial"/>
                <w:sz w:val="16"/>
                <w:szCs w:val="16"/>
                <w:b w:val="1"/>
                <w:bCs w:val="1"/>
                <w:color w:val="006DB6"/>
                <w:w w:val="95"/>
              </w:rPr>
              <w:t>*</w:t>
            </w:r>
          </w:p>
        </w:tc>
      </w:tr>
    </w:tbl>
    <w:p>
      <w:pPr>
        <w:spacing w:after="0" w:line="180"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Deferred shares to be settled upon separation from service.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Stock Awards</w:t>
            </w:r>
          </w:p>
        </w:tc>
        <w:tc>
          <w:tcPr>
            <w:tcW w:w="200" w:type="dxa"/>
            <w:vAlign w:val="bottom"/>
            <w:tcBorders>
              <w:bottom w:val="single" w:sz="8" w:color="706F6F"/>
            </w:tcBorders>
          </w:tcPr>
          <w:p>
            <w:pPr>
              <w:spacing w:after="0"/>
              <w:rPr>
                <w:sz w:val="17"/>
                <w:szCs w:val="17"/>
                <w:color w:val="auto"/>
              </w:rPr>
            </w:pPr>
          </w:p>
        </w:tc>
      </w:tr>
      <w:tr>
        <w:trPr>
          <w:trHeight w:val="239"/>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5,947</w:t>
            </w:r>
          </w:p>
        </w:tc>
        <w:tc>
          <w:tcPr>
            <w:tcW w:w="200" w:type="dxa"/>
            <w:vAlign w:val="bottom"/>
            <w:tcBorders>
              <w:bottom w:val="single" w:sz="8" w:color="706F6F"/>
            </w:tcBorders>
          </w:tcPr>
          <w:p>
            <w:pPr>
              <w:jc w:val="right"/>
              <w:ind w:right="39"/>
              <w:spacing w:after="0"/>
              <w:rPr>
                <w:sz w:val="20"/>
                <w:szCs w:val="20"/>
                <w:color w:val="auto"/>
              </w:rPr>
            </w:pPr>
            <w:r>
              <w:rPr>
                <w:rFonts w:ascii="Arial" w:cs="Arial" w:eastAsia="Arial" w:hAnsi="Arial"/>
                <w:sz w:val="16"/>
                <w:szCs w:val="16"/>
                <w:b w:val="1"/>
                <w:bCs w:val="1"/>
                <w:color w:val="006DB6"/>
                <w:w w:val="95"/>
              </w:rPr>
              <w:t>*</w:t>
            </w:r>
          </w:p>
        </w:tc>
      </w:tr>
      <w:tr>
        <w:trPr>
          <w:trHeight w:val="237"/>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5,947</w:t>
            </w:r>
          </w:p>
        </w:tc>
        <w:tc>
          <w:tcPr>
            <w:tcW w:w="200" w:type="dxa"/>
            <w:vAlign w:val="bottom"/>
            <w:tcBorders>
              <w:bottom w:val="single" w:sz="8" w:color="706F6F"/>
            </w:tcBorders>
          </w:tcPr>
          <w:p>
            <w:pPr>
              <w:spacing w:after="0"/>
              <w:rPr>
                <w:sz w:val="20"/>
                <w:szCs w:val="20"/>
                <w:color w:val="auto"/>
              </w:rPr>
            </w:pPr>
          </w:p>
        </w:tc>
      </w:tr>
      <w:tr>
        <w:trPr>
          <w:trHeight w:val="236"/>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5,947</w:t>
            </w:r>
          </w:p>
        </w:tc>
        <w:tc>
          <w:tcPr>
            <w:tcW w:w="200" w:type="dxa"/>
            <w:vAlign w:val="bottom"/>
            <w:tcBorders>
              <w:bottom w:val="single" w:sz="8" w:color="706F6F"/>
            </w:tcBorders>
          </w:tcPr>
          <w:p>
            <w:pPr>
              <w:spacing w:after="0"/>
              <w:rPr>
                <w:sz w:val="20"/>
                <w:szCs w:val="20"/>
                <w:color w:val="auto"/>
              </w:rPr>
            </w:pPr>
          </w:p>
        </w:tc>
      </w:tr>
      <w:tr>
        <w:trPr>
          <w:trHeight w:val="237"/>
        </w:trPr>
        <w:tc>
          <w:tcPr>
            <w:tcW w:w="2700" w:type="dxa"/>
            <w:vAlign w:val="bottom"/>
            <w:tcBorders>
              <w:bottom w:val="single" w:sz="8" w:color="706F6F"/>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620" w:type="dxa"/>
            <w:vAlign w:val="bottom"/>
            <w:tcBorders>
              <w:bottom w:val="single" w:sz="8" w:color="706F6F"/>
            </w:tcBorders>
          </w:tcPr>
          <w:p>
            <w:pPr>
              <w:jc w:val="right"/>
              <w:ind w:right="1"/>
              <w:spacing w:after="0"/>
              <w:rPr>
                <w:sz w:val="20"/>
                <w:szCs w:val="20"/>
                <w:color w:val="auto"/>
              </w:rPr>
            </w:pPr>
            <w:r>
              <w:rPr>
                <w:rFonts w:ascii="Arial" w:cs="Arial" w:eastAsia="Arial" w:hAnsi="Arial"/>
                <w:sz w:val="16"/>
                <w:szCs w:val="16"/>
                <w:color w:val="auto"/>
              </w:rPr>
              <w:t>5,947</w:t>
            </w:r>
          </w:p>
        </w:tc>
        <w:tc>
          <w:tcPr>
            <w:tcW w:w="200" w:type="dxa"/>
            <w:vAlign w:val="bottom"/>
            <w:tcBorders>
              <w:bottom w:val="single" w:sz="8" w:color="706F6F"/>
            </w:tcBorders>
          </w:tcPr>
          <w:p>
            <w:pPr>
              <w:jc w:val="right"/>
              <w:ind w:right="39"/>
              <w:spacing w:after="0"/>
              <w:rPr>
                <w:sz w:val="20"/>
                <w:szCs w:val="20"/>
                <w:color w:val="auto"/>
              </w:rPr>
            </w:pPr>
            <w:r>
              <w:rPr>
                <w:rFonts w:ascii="Arial" w:cs="Arial" w:eastAsia="Arial" w:hAnsi="Arial"/>
                <w:sz w:val="16"/>
                <w:szCs w:val="16"/>
                <w:b w:val="1"/>
                <w:bCs w:val="1"/>
                <w:color w:val="006DB6"/>
                <w:w w:val="95"/>
              </w:rPr>
              <w:t>*</w:t>
            </w:r>
          </w:p>
        </w:tc>
      </w:tr>
    </w:tbl>
    <w:p>
      <w:pPr>
        <w:spacing w:after="0" w:line="540" w:lineRule="exact"/>
        <w:rPr>
          <w:sz w:val="20"/>
          <w:szCs w:val="20"/>
          <w:color w:val="auto"/>
        </w:rPr>
      </w:pPr>
    </w:p>
    <w:p>
      <w:pPr>
        <w:sectPr>
          <w:pgSz w:w="11900" w:h="16838" w:orient="portrait"/>
          <w:cols w:equalWidth="0" w:num="2">
            <w:col w:w="4980" w:space="260"/>
            <w:col w:w="6000"/>
          </w:cols>
          <w:pgMar w:left="320" w:top="125" w:right="33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Share Ownership Guidelines</w:t>
      </w:r>
    </w:p>
    <w:p>
      <w:pPr>
        <w:spacing w:after="0" w:line="14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Non-employee directors are subject to Civeo’s share ownership guidelines pursuant to which they are expected to retain shares from restricted share awards, after payment of applicable taxes, valued at five times the annual retainer amount until retirement or until leaving the board of directors. Unvested restricted shares and deferred shares are counted for purposes of this ownership threshold. Once the ownership guideline is established for a director and communicated, the director has five years to attain the targeted level of ownership. All directors have either attained target level ownership or are expected to attain the targeted level of ownership within the five-year period for compliance.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As of March 18, 2024, all non-employee directors were in compliance with the guidelines as demonstrated in the chart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3260" w:type="dxa"/>
            <w:vAlign w:val="bottom"/>
            <w:tcBorders>
              <w:bottom w:val="single" w:sz="8" w:color="006DB6"/>
            </w:tcBorders>
            <w:gridSpan w:val="2"/>
          </w:tcPr>
          <w:p>
            <w:pPr>
              <w:jc w:val="right"/>
              <w:ind w:right="840"/>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36"/>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Non-employee directors</w:t>
            </w:r>
          </w:p>
        </w:tc>
        <w:tc>
          <w:tcPr>
            <w:tcW w:w="1820" w:type="dxa"/>
            <w:vAlign w:val="bottom"/>
            <w:tcBorders>
              <w:bottom w:val="single" w:sz="8" w:color="006DB6"/>
            </w:tcBorders>
          </w:tcPr>
          <w:p>
            <w:pPr>
              <w:jc w:val="right"/>
              <w:ind w:right="161"/>
              <w:spacing w:after="0"/>
              <w:rPr>
                <w:sz w:val="20"/>
                <w:szCs w:val="20"/>
                <w:color w:val="auto"/>
              </w:rPr>
            </w:pPr>
            <w:r>
              <w:rPr>
                <w:rFonts w:ascii="Arial" w:cs="Arial" w:eastAsia="Arial" w:hAnsi="Arial"/>
                <w:sz w:val="14"/>
                <w:szCs w:val="14"/>
                <w:b w:val="1"/>
                <w:bCs w:val="1"/>
                <w:color w:val="706F6F"/>
              </w:rPr>
              <w:t>Target Ownership</w:t>
            </w:r>
          </w:p>
        </w:tc>
        <w:tc>
          <w:tcPr>
            <w:tcW w:w="14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12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Y/N</w:t>
            </w: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51,867</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39,750</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17,084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16,436</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55,106</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17,084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16,436</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35,287</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82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21,552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39,791</w:t>
            </w: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Yes</w:t>
            </w:r>
          </w:p>
        </w:tc>
      </w:tr>
      <w:tr>
        <w:trPr>
          <w:trHeight w:val="233"/>
        </w:trPr>
        <w:tc>
          <w:tcPr>
            <w:tcW w:w="6700" w:type="dxa"/>
            <w:vAlign w:val="bottom"/>
          </w:tcPr>
          <w:p>
            <w:pPr>
              <w:ind w:left="20"/>
              <w:spacing w:after="0"/>
              <w:rPr>
                <w:sz w:val="20"/>
                <w:szCs w:val="20"/>
                <w:color w:val="auto"/>
              </w:rPr>
            </w:pPr>
            <w:r>
              <w:rPr>
                <w:rFonts w:ascii="Arial" w:cs="Arial" w:eastAsia="Arial" w:hAnsi="Arial"/>
                <w:sz w:val="16"/>
                <w:szCs w:val="16"/>
                <w:b w:val="1"/>
                <w:bCs w:val="1"/>
                <w:color w:val="006DB6"/>
              </w:rPr>
              <w:t>Timothy O. Wall</w:t>
            </w:r>
          </w:p>
        </w:tc>
        <w:tc>
          <w:tcPr>
            <w:tcW w:w="1820" w:type="dxa"/>
            <w:vAlign w:val="bottom"/>
          </w:tcPr>
          <w:p>
            <w:pPr>
              <w:jc w:val="right"/>
              <w:ind w:right="221"/>
              <w:spacing w:after="0"/>
              <w:rPr>
                <w:sz w:val="20"/>
                <w:szCs w:val="20"/>
                <w:color w:val="auto"/>
              </w:rPr>
            </w:pPr>
            <w:r>
              <w:rPr>
                <w:rFonts w:ascii="Arial" w:cs="Arial" w:eastAsia="Arial" w:hAnsi="Arial"/>
                <w:sz w:val="16"/>
                <w:szCs w:val="16"/>
                <w:color w:val="auto"/>
              </w:rPr>
              <w:t>14,205</w:t>
            </w:r>
          </w:p>
        </w:tc>
        <w:tc>
          <w:tcPr>
            <w:tcW w:w="1440" w:type="dxa"/>
            <w:vAlign w:val="bottom"/>
          </w:tcPr>
          <w:p>
            <w:pPr>
              <w:jc w:val="right"/>
              <w:spacing w:after="0"/>
              <w:rPr>
                <w:sz w:val="20"/>
                <w:szCs w:val="20"/>
                <w:color w:val="auto"/>
              </w:rPr>
            </w:pPr>
            <w:r>
              <w:rPr>
                <w:rFonts w:ascii="Arial" w:cs="Arial" w:eastAsia="Arial" w:hAnsi="Arial"/>
                <w:sz w:val="16"/>
                <w:szCs w:val="16"/>
                <w:color w:val="auto"/>
              </w:rPr>
              <w:t>31,808</w:t>
            </w:r>
          </w:p>
        </w:tc>
        <w:tc>
          <w:tcPr>
            <w:tcW w:w="1280" w:type="dxa"/>
            <w:vAlign w:val="bottom"/>
          </w:tcPr>
          <w:p>
            <w:pPr>
              <w:jc w:val="right"/>
              <w:ind w:right="141"/>
              <w:spacing w:after="0"/>
              <w:rPr>
                <w:sz w:val="20"/>
                <w:szCs w:val="20"/>
                <w:color w:val="auto"/>
              </w:rPr>
            </w:pPr>
            <w:r>
              <w:rPr>
                <w:rFonts w:ascii="Arial" w:cs="Arial" w:eastAsia="Arial" w:hAnsi="Arial"/>
                <w:sz w:val="16"/>
                <w:szCs w:val="16"/>
                <w:color w:val="auto"/>
              </w:rPr>
              <w:t>Yes</w:t>
            </w:r>
          </w:p>
        </w:tc>
      </w:tr>
    </w:tbl>
    <w:p>
      <w:pPr>
        <w:spacing w:after="0" w:line="93"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Within grace period for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109220</wp:posOffset>
            </wp:positionV>
            <wp:extent cx="394335" cy="1968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45"/>
          <w:szCs w:val="45"/>
          <w:b w:val="1"/>
          <w:bCs w:val="1"/>
          <w:color w:val="006DB6"/>
        </w:rPr>
        <w:t>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59690</wp:posOffset>
            </wp:positionV>
            <wp:extent cx="5837555" cy="6254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837555" cy="625475"/>
                    </a:xfrm>
                    <a:prstGeom prst="rect">
                      <a:avLst/>
                    </a:prstGeom>
                    <a:noFill/>
                  </pic:spPr>
                </pic:pic>
              </a:graphicData>
            </a:graphic>
          </wp:anchor>
        </w:drawing>
      </w:r>
    </w:p>
    <w:p>
      <w:pPr>
        <w:spacing w:after="0" w:line="292"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Bradley J. Dodson, </w:t>
      </w:r>
      <w:r>
        <w:rPr>
          <w:rFonts w:ascii="Arial" w:cs="Arial" w:eastAsia="Arial" w:hAnsi="Arial"/>
          <w:sz w:val="25"/>
          <w:szCs w:val="25"/>
          <w:color w:val="006DB6"/>
        </w:rPr>
        <w:t>50</w:t>
      </w:r>
    </w:p>
    <w:p>
      <w:pPr>
        <w:spacing w:after="0" w:line="49"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951230" cy="9512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51230" cy="95123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35" w:lineRule="exact"/>
        <w:rPr>
          <w:sz w:val="20"/>
          <w:szCs w:val="20"/>
          <w:color w:val="auto"/>
        </w:rPr>
      </w:pPr>
    </w:p>
    <w:p>
      <w:pPr>
        <w:ind w:left="2060" w:right="100"/>
        <w:spacing w:after="0" w:line="256" w:lineRule="auto"/>
        <w:rPr>
          <w:sz w:val="20"/>
          <w:szCs w:val="20"/>
          <w:color w:val="auto"/>
        </w:rPr>
      </w:pPr>
      <w:r>
        <w:rPr>
          <w:rFonts w:ascii="Arial" w:cs="Arial" w:eastAsia="Arial" w:hAnsi="Arial"/>
          <w:sz w:val="16"/>
          <w:szCs w:val="16"/>
          <w:color w:val="auto"/>
        </w:rPr>
        <w:t>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spacing w:after="0" w:line="74" w:lineRule="exact"/>
        <w:rPr>
          <w:sz w:val="20"/>
          <w:szCs w:val="20"/>
          <w:color w:val="auto"/>
        </w:rPr>
      </w:pPr>
    </w:p>
    <w:p>
      <w:pPr>
        <w:ind w:left="2060" w:right="780"/>
        <w:spacing w:after="0" w:line="286" w:lineRule="auto"/>
        <w:rPr>
          <w:sz w:val="20"/>
          <w:szCs w:val="20"/>
          <w:color w:val="auto"/>
        </w:rPr>
      </w:pPr>
      <w:r>
        <w:rPr>
          <w:rFonts w:ascii="Arial" w:cs="Arial" w:eastAsia="Arial" w:hAnsi="Arial"/>
          <w:sz w:val="16"/>
          <w:szCs w:val="16"/>
          <w:color w:val="auto"/>
        </w:rPr>
        <w:t>Mr. Dodson holds a M.B.A. degree from The University of Texas at Austin and a B.A. degree in Economics from Duke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622300</wp:posOffset>
            </wp:positionV>
            <wp:extent cx="5837555" cy="6254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375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Barclay H. Brewer, </w:t>
      </w:r>
      <w:r>
        <w:rPr>
          <w:rFonts w:ascii="Arial" w:cs="Arial" w:eastAsia="Arial" w:hAnsi="Arial"/>
          <w:sz w:val="25"/>
          <w:szCs w:val="25"/>
          <w:color w:val="006DB6"/>
        </w:rPr>
        <w:t>50</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Interim 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960120" cy="8826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960120" cy="8826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ind w:left="2060" w:right="80"/>
        <w:spacing w:after="0" w:line="264" w:lineRule="auto"/>
        <w:rPr>
          <w:sz w:val="20"/>
          <w:szCs w:val="20"/>
          <w:color w:val="auto"/>
        </w:rPr>
      </w:pPr>
      <w:r>
        <w:rPr>
          <w:rFonts w:ascii="Arial" w:cs="Arial" w:eastAsia="Arial" w:hAnsi="Arial"/>
          <w:sz w:val="16"/>
          <w:szCs w:val="16"/>
          <w:color w:val="auto"/>
        </w:rPr>
        <w:t>Barclay H. Brewer currently serves as Interim Chief Financial Officer and Treasurer, a position he has held since March 2024. Prior to his appointment, Mr. Brewer served as Vice President, Corporate Controller from December 2019 to March 2024. From August 2014 to December 2019, Mr. Brewer had the role of Assistant Controller. Mr. Brewer served as Financial Planning and Reporting Manager for The Brock Group from 2012 until 2014.</w:t>
      </w:r>
    </w:p>
    <w:p>
      <w:pPr>
        <w:spacing w:after="0" w:line="65" w:lineRule="exact"/>
        <w:rPr>
          <w:sz w:val="20"/>
          <w:szCs w:val="20"/>
          <w:color w:val="auto"/>
        </w:rPr>
      </w:pPr>
    </w:p>
    <w:p>
      <w:pPr>
        <w:ind w:left="2060" w:right="240"/>
        <w:spacing w:after="0" w:line="286" w:lineRule="auto"/>
        <w:rPr>
          <w:sz w:val="20"/>
          <w:szCs w:val="20"/>
          <w:color w:val="auto"/>
        </w:rPr>
      </w:pPr>
      <w:r>
        <w:rPr>
          <w:rFonts w:ascii="Arial" w:cs="Arial" w:eastAsia="Arial" w:hAnsi="Arial"/>
          <w:sz w:val="16"/>
          <w:szCs w:val="16"/>
          <w:color w:val="auto"/>
        </w:rPr>
        <w:t>Mr. Brewer holds a M.B.A degree from Southeastern Louisiana University and a B.A. degree in Accounting and Finance from Louisiana State University.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339090</wp:posOffset>
            </wp:positionV>
            <wp:extent cx="5837555" cy="6254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83755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006DB6"/>
        </w:rPr>
        <w:t xml:space="preserve">Peter L. McCann, </w:t>
      </w:r>
      <w:r>
        <w:rPr>
          <w:rFonts w:ascii="Arial" w:cs="Arial" w:eastAsia="Arial" w:hAnsi="Arial"/>
          <w:sz w:val="25"/>
          <w:szCs w:val="25"/>
          <w:color w:val="006DB6"/>
        </w:rPr>
        <w:t>57</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Senior Vice President, 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951230" cy="8915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706F6F"/>
        </w:rPr>
        <w:t>Background:</w:t>
      </w:r>
    </w:p>
    <w:p>
      <w:pPr>
        <w:spacing w:after="0" w:line="21" w:lineRule="exact"/>
        <w:rPr>
          <w:sz w:val="20"/>
          <w:szCs w:val="20"/>
          <w:color w:val="auto"/>
        </w:rPr>
      </w:pPr>
    </w:p>
    <w:p>
      <w:pPr>
        <w:jc w:val="both"/>
        <w:ind w:left="2060" w:right="140"/>
        <w:spacing w:after="0" w:line="258" w:lineRule="auto"/>
        <w:rPr>
          <w:sz w:val="20"/>
          <w:szCs w:val="20"/>
          <w:color w:val="auto"/>
        </w:rPr>
      </w:pPr>
      <w:r>
        <w:rPr>
          <w:rFonts w:ascii="Arial" w:cs="Arial" w:eastAsia="Arial" w:hAnsi="Arial"/>
          <w:sz w:val="16"/>
          <w:szCs w:val="16"/>
          <w:color w:val="706F6F"/>
        </w:rPr>
        <w:t>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6"/>
          <w:szCs w:val="16"/>
          <w:color w:val="706F6F"/>
        </w:rPr>
        <w:t>Mr. McCann holds a Bachelor of Commerce degree in Accountancy from the University of New South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ind w:left="2040"/>
        <w:spacing w:after="0"/>
        <w:rPr>
          <w:sz w:val="20"/>
          <w:szCs w:val="20"/>
          <w:color w:val="auto"/>
        </w:rPr>
      </w:pPr>
      <w:r>
        <w:rPr>
          <w:rFonts w:ascii="Arial" w:cs="Arial" w:eastAsia="Arial" w:hAnsi="Arial"/>
          <w:sz w:val="25"/>
          <w:szCs w:val="25"/>
          <w:b w:val="1"/>
          <w:bCs w:val="1"/>
          <w:color w:val="006DB6"/>
        </w:rPr>
        <w:drawing>
          <wp:anchor simplePos="0" relativeHeight="251657728" behindDoc="1" locked="0" layoutInCell="0" allowOverlap="1">
            <wp:simplePos x="0" y="0"/>
            <wp:positionH relativeFrom="page">
              <wp:posOffset>1502410</wp:posOffset>
            </wp:positionH>
            <wp:positionV relativeFrom="page">
              <wp:posOffset>654685</wp:posOffset>
            </wp:positionV>
            <wp:extent cx="5837555" cy="6261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37555" cy="626110"/>
                    </a:xfrm>
                    <a:prstGeom prst="rect">
                      <a:avLst/>
                    </a:prstGeom>
                    <a:noFill/>
                  </pic:spPr>
                </pic:pic>
              </a:graphicData>
            </a:graphic>
          </wp:anchor>
        </w:drawing>
        <w:t xml:space="preserve">Allan D. Schoening, </w:t>
      </w:r>
      <w:r>
        <w:rPr>
          <w:rFonts w:ascii="Arial" w:cs="Arial" w:eastAsia="Arial" w:hAnsi="Arial"/>
          <w:sz w:val="25"/>
          <w:szCs w:val="25"/>
          <w:color w:val="006DB6"/>
        </w:rPr>
        <w:t>65</w:t>
      </w:r>
    </w:p>
    <w:p>
      <w:pPr>
        <w:spacing w:after="0" w:line="36" w:lineRule="exact"/>
        <w:rPr>
          <w:sz w:val="20"/>
          <w:szCs w:val="20"/>
          <w:color w:val="auto"/>
        </w:rPr>
      </w:pPr>
    </w:p>
    <w:p>
      <w:pPr>
        <w:ind w:left="2040"/>
        <w:spacing w:after="0"/>
        <w:rPr>
          <w:sz w:val="20"/>
          <w:szCs w:val="20"/>
          <w:color w:val="auto"/>
        </w:rPr>
      </w:pPr>
      <w:r>
        <w:rPr>
          <w:rFonts w:ascii="Arial" w:cs="Arial" w:eastAsia="Arial" w:hAnsi="Arial"/>
          <w:sz w:val="16"/>
          <w:szCs w:val="16"/>
          <w:color w:val="706F6F"/>
        </w:rPr>
        <w:t>Senior Vice President, Canada</w:t>
      </w:r>
    </w:p>
    <w:p>
      <w:pPr>
        <w:spacing w:after="0" w:line="200" w:lineRule="exact"/>
        <w:rPr>
          <w:sz w:val="20"/>
          <w:szCs w:val="20"/>
          <w:color w:val="auto"/>
        </w:rPr>
      </w:pPr>
    </w:p>
    <w:p>
      <w:pPr>
        <w:spacing w:after="0" w:line="289"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706F6F"/>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-73025</wp:posOffset>
            </wp:positionV>
            <wp:extent cx="951230" cy="8915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951230" cy="891540"/>
                    </a:xfrm>
                    <a:prstGeom prst="rect">
                      <a:avLst/>
                    </a:prstGeom>
                    <a:noFill/>
                  </pic:spPr>
                </pic:pic>
              </a:graphicData>
            </a:graphic>
          </wp:anchor>
        </w:drawing>
      </w:r>
    </w:p>
    <w:p>
      <w:pPr>
        <w:spacing w:after="0" w:line="1" w:lineRule="exact"/>
        <w:rPr>
          <w:sz w:val="20"/>
          <w:szCs w:val="20"/>
          <w:color w:val="auto"/>
        </w:rPr>
      </w:pPr>
    </w:p>
    <w:p>
      <w:pPr>
        <w:ind w:left="2040"/>
        <w:spacing w:after="0" w:line="256" w:lineRule="auto"/>
        <w:rPr>
          <w:sz w:val="20"/>
          <w:szCs w:val="20"/>
          <w:color w:val="auto"/>
        </w:rPr>
      </w:pPr>
      <w:r>
        <w:rPr>
          <w:rFonts w:ascii="Arial" w:cs="Arial" w:eastAsia="Arial" w:hAnsi="Arial"/>
          <w:sz w:val="16"/>
          <w:szCs w:val="16"/>
          <w:color w:val="auto"/>
        </w:rPr>
        <w:t>Allan D. Schoening has served as Senior Vice President, Canada since November 2018. Prior to his appointment, Mr. Schoening served as Senior 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w:t>
      </w:r>
    </w:p>
    <w:p>
      <w:pPr>
        <w:spacing w:after="0" w:line="270"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Mr. Schoening holds a B.A., Psychology (Spec.) from the University of Alberta.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655320</wp:posOffset>
            </wp:positionV>
            <wp:extent cx="394335" cy="1974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147955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249" w:right="379" w:bottom="1440" w:gutter="0" w:footer="0" w:header="0"/>
        </w:sectPr>
      </w:pPr>
    </w:p>
    <w:bookmarkStart w:id="34" w:name="page35"/>
    <w:bookmarkEnd w:id="34"/>
    <w:p>
      <w:pPr>
        <w:spacing w:after="0"/>
        <w:rPr>
          <w:sz w:val="20"/>
          <w:szCs w:val="20"/>
          <w:color w:val="auto"/>
        </w:rPr>
      </w:pPr>
      <w:r>
        <w:rPr>
          <w:rFonts w:ascii="Arial" w:cs="Arial" w:eastAsia="Arial" w:hAnsi="Arial"/>
          <w:sz w:val="45"/>
          <w:szCs w:val="45"/>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4883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2</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5"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are asking that you vote for approval, on an advisory basis, of the compensation of our named executive officers as disclosed in this proxy statement, commonly referred to as a “Say-on-Pay” proposal. As approved by our shareholders at the 2021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2025 annual meeting of shareholders.</w:t>
      </w:r>
    </w:p>
    <w:p>
      <w:pPr>
        <w:spacing w:after="0" w:line="7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are requesting your nonbinding vote on the following resolution:</w:t>
      </w:r>
    </w:p>
    <w:p>
      <w:pPr>
        <w:spacing w:after="0" w:line="11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“RESOLVED, that the shareholders approve, on a non-binding, advisory basis, the compensation of Civeo’s named executive officers as disclosed in Civeo’s proxy statement for its 2024 annual general meeting of shareholders, pursuant to Item 402 of Regulation S-K, including the Compensation Discussion and Analysis, the executive compensation tables and the accompanying narrative discussion.”</w:t>
      </w:r>
    </w:p>
    <w:p>
      <w:pPr>
        <w:spacing w:after="0" w:line="7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As an advisory resolution, our shareholders’ vote on this proposal is not binding on the board of directors or us. Decisions regarding the compensation and benefits of our named executive officers remain with our board of directors and the Compensation Committee. The Compensation Committee values the opinions of our shareholders, however, and therefore, the Compensation Committee will review the voting results on this proposal and give consideration to the outcome when making future decisions regarding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676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315" w:lineRule="exact"/>
        <w:rPr>
          <w:sz w:val="20"/>
          <w:szCs w:val="20"/>
          <w:color w:val="auto"/>
        </w:rPr>
      </w:pPr>
    </w:p>
    <w:p>
      <w:pPr>
        <w:jc w:val="both"/>
        <w:ind w:left="160" w:right="160"/>
        <w:spacing w:after="0" w:line="275" w:lineRule="auto"/>
        <w:rPr>
          <w:sz w:val="20"/>
          <w:szCs w:val="20"/>
          <w:color w:val="auto"/>
        </w:rPr>
      </w:pPr>
      <w:r>
        <w:rPr>
          <w:rFonts w:ascii="Arial" w:cs="Arial" w:eastAsia="Arial" w:hAnsi="Arial"/>
          <w:sz w:val="16"/>
          <w:szCs w:val="16"/>
          <w:color w:val="auto"/>
        </w:rPr>
        <w:t>Civeo’s board of directors recommends a vote “</w:t>
      </w:r>
      <w:r>
        <w:rPr>
          <w:rFonts w:ascii="Arial" w:cs="Arial" w:eastAsia="Arial" w:hAnsi="Arial"/>
          <w:sz w:val="16"/>
          <w:szCs w:val="16"/>
          <w:b w:val="1"/>
          <w:bCs w:val="1"/>
          <w:color w:val="006DB6"/>
        </w:rPr>
        <w:t>FOR</w:t>
      </w:r>
      <w:r>
        <w:rPr>
          <w:rFonts w:ascii="Arial" w:cs="Arial" w:eastAsia="Arial" w:hAnsi="Arial"/>
          <w:sz w:val="16"/>
          <w:szCs w:val="16"/>
          <w:color w:val="auto"/>
        </w:rPr>
        <w:t>” 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148"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("NEOs") for</w:t>
      </w:r>
    </w:p>
    <w:p>
      <w:pPr>
        <w:spacing w:after="0"/>
        <w:rPr>
          <w:sz w:val="20"/>
          <w:szCs w:val="20"/>
          <w:color w:val="auto"/>
        </w:rPr>
      </w:pPr>
      <w:r>
        <w:rPr>
          <w:rFonts w:ascii="Arial" w:cs="Arial" w:eastAsia="Arial" w:hAnsi="Arial"/>
          <w:sz w:val="16"/>
          <w:szCs w:val="16"/>
          <w:color w:val="auto"/>
        </w:rPr>
        <w:t>2023. Our NEOs for 2023 were:</w:t>
      </w:r>
    </w:p>
    <w:p>
      <w:pPr>
        <w:spacing w:after="0" w:line="236"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Bradley J. Dodson, President and Chief Executive Officer;</w:t>
      </w:r>
    </w:p>
    <w:p>
      <w:pPr>
        <w:spacing w:after="0" w:line="21" w:lineRule="exact"/>
        <w:rPr>
          <w:rFonts w:ascii="Arial" w:cs="Arial" w:eastAsia="Arial" w:hAnsi="Arial"/>
          <w:sz w:val="16"/>
          <w:szCs w:val="16"/>
          <w:color w:val="auto"/>
        </w:rPr>
      </w:pPr>
    </w:p>
    <w:p>
      <w:pPr>
        <w:ind w:left="640" w:hanging="308"/>
        <w:spacing w:after="0" w:line="20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Carolyn J. Stone, Former Senior Vice President, Chief Financial Officer and Treasurer </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Peter L. McCann, Senior Vice President, Australia;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Allan D. Schoening, Senior Vice President, Canada</w:t>
      </w:r>
    </w:p>
    <w:p>
      <w:pPr>
        <w:spacing w:after="0" w:line="110" w:lineRule="exact"/>
        <w:rPr>
          <w:rFonts w:ascii="Arial" w:cs="Arial" w:eastAsia="Arial" w:hAnsi="Arial"/>
          <w:sz w:val="16"/>
          <w:szCs w:val="16"/>
          <w:color w:val="auto"/>
        </w:rPr>
      </w:pPr>
    </w:p>
    <w:p>
      <w:pPr>
        <w:ind w:right="540" w:firstLine="656"/>
        <w:spacing w:after="0" w:line="293" w:lineRule="auto"/>
        <w:tabs>
          <w:tab w:leader="none" w:pos="806" w:val="left"/>
        </w:tabs>
        <w:numPr>
          <w:ilvl w:val="1"/>
          <w:numId w:val="34"/>
        </w:numPr>
        <w:rPr>
          <w:rFonts w:ascii="Arial" w:cs="Arial" w:eastAsia="Arial" w:hAnsi="Arial"/>
          <w:sz w:val="18"/>
          <w:szCs w:val="18"/>
          <w:color w:val="auto"/>
          <w:vertAlign w:val="superscript"/>
        </w:rPr>
      </w:pPr>
      <w:r>
        <w:rPr>
          <w:rFonts w:ascii="Arial" w:cs="Arial" w:eastAsia="Arial" w:hAnsi="Arial"/>
          <w:sz w:val="14"/>
          <w:szCs w:val="14"/>
          <w:color w:val="auto"/>
        </w:rPr>
        <w:t>As previously announced, Ms. Stone’s employment was terminated on March 4, 2024. Barclay Brewer, the Company’s Vice President and Controller, was appointed as Interim Chief Financial Officer.</w:t>
      </w: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Executive Overview</w:t>
      </w:r>
    </w:p>
    <w:p>
      <w:pPr>
        <w:spacing w:after="0" w:line="11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2023, we executed on our operational, strategic and financial priorities: operating safely, generating significant operating cash flow, reducing our total debt balance and returning capital to shareholders. For the full year 2023, Civeo generated $97 million in Operating Cash Flow and reduced total debt by</w:t>
      </w:r>
    </w:p>
    <w:p>
      <w:pPr>
        <w:ind w:right="220"/>
        <w:spacing w:after="0" w:line="247" w:lineRule="auto"/>
        <w:rPr>
          <w:sz w:val="20"/>
          <w:szCs w:val="20"/>
          <w:color w:val="auto"/>
        </w:rPr>
      </w:pPr>
      <w:r>
        <w:rPr>
          <w:rFonts w:ascii="Arial" w:cs="Arial" w:eastAsia="Arial" w:hAnsi="Arial"/>
          <w:sz w:val="16"/>
          <w:szCs w:val="16"/>
          <w:color w:val="auto"/>
        </w:rPr>
        <w:t>$66 million to end the year at $66 million of total debt. We also reduced our net leverage ratio to 0.6x at year-end 2023, down from 1.1x at year-end 2022. Due to significant progress made on our debt reduction and the return of $19 million of capital to shareholders we also updated our capital allocation framework in 2023. The new framework was highlighted by the initiation of a quarterly dividend and prioritization of growth opportunities moving forward.</w:t>
      </w: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Specific 2023 Accomplishments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From an operational standpoint, the Company’s primary focus in 2023 was, and continues to be, the safety and well-being of our guests and employees.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Operationally, Mr. Dodson and our global leadership team’s effective operations in a dynamic environment included the following:</w:t>
      </w:r>
    </w:p>
    <w:p>
      <w:pPr>
        <w:spacing w:after="0" w:line="97" w:lineRule="exact"/>
        <w:rPr>
          <w:sz w:val="20"/>
          <w:szCs w:val="20"/>
          <w:color w:val="auto"/>
        </w:rPr>
      </w:pPr>
    </w:p>
    <w:p>
      <w:pPr>
        <w:ind w:left="200" w:right="560" w:hanging="192"/>
        <w:spacing w:after="0" w:line="286" w:lineRule="auto"/>
        <w:tabs>
          <w:tab w:leader="none" w:pos="17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Continued strong safety performance across all regions, resulting in a full year aggregate Total Recordable Incident Rate ("TRIR") of 0.45, which is significantly better than the U.S. accommodation industry average and equal to our TRIR in 2022.</w:t>
      </w:r>
    </w:p>
    <w:p>
      <w:pPr>
        <w:spacing w:after="0" w:line="3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Company’s strategic and financial focus remained the same in 2023 as it was in 2022: continue to focus on operating cash flow generation, debt reduction and returning capital to shareholders. Significant financial achievements in 2023 included:</w:t>
      </w:r>
    </w:p>
    <w:p>
      <w:pPr>
        <w:spacing w:after="0" w:line="3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Generated $97 million of Operating Cash Flow, which represents 103% of the Company's consolidated Operating Cash Flow budget;</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Returned 23% of the company's 2023 free cash flow to shareholders through share repurchases and dividends;</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Reduced total debt by $66 million;</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Decreased our net leverage ratio to 0.6 times at December 31, 2023 from 1.1 times at December 31, 2022;</w:t>
      </w:r>
    </w:p>
    <w:p>
      <w:pPr>
        <w:spacing w:after="0" w:line="86" w:lineRule="exact"/>
        <w:rPr>
          <w:rFonts w:ascii="Arial" w:cs="Arial" w:eastAsia="Arial" w:hAnsi="Arial"/>
          <w:sz w:val="16"/>
          <w:szCs w:val="16"/>
          <w:color w:val="006DB6"/>
        </w:rPr>
      </w:pPr>
    </w:p>
    <w:p>
      <w:pPr>
        <w:ind w:left="200" w:right="800" w:hanging="192"/>
        <w:spacing w:after="0" w:line="286" w:lineRule="auto"/>
        <w:tabs>
          <w:tab w:leader="none" w:pos="17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Successfully sold McClelland Lake Lodge assets for US$36 million, with additional potential associated revenue generating opportunities under consideration; and</w:t>
      </w:r>
    </w:p>
    <w:p>
      <w:pPr>
        <w:spacing w:after="0" w:line="20" w:lineRule="exact"/>
        <w:rPr>
          <w:rFonts w:ascii="Arial" w:cs="Arial" w:eastAsia="Arial" w:hAnsi="Arial"/>
          <w:sz w:val="16"/>
          <w:szCs w:val="16"/>
          <w:color w:val="006DB6"/>
        </w:rPr>
      </w:pPr>
    </w:p>
    <w:p>
      <w:pPr>
        <w:ind w:left="180" w:hanging="172"/>
        <w:spacing w:after="0"/>
        <w:tabs>
          <w:tab w:leader="none" w:pos="180" w:val="left"/>
        </w:tabs>
        <w:numPr>
          <w:ilvl w:val="0"/>
          <w:numId w:val="36"/>
        </w:numPr>
        <w:rPr>
          <w:rFonts w:ascii="Arial" w:cs="Arial" w:eastAsia="Arial" w:hAnsi="Arial"/>
          <w:sz w:val="16"/>
          <w:szCs w:val="16"/>
          <w:color w:val="006DB6"/>
        </w:rPr>
      </w:pPr>
      <w:r>
        <w:rPr>
          <w:rFonts w:ascii="Arial" w:cs="Arial" w:eastAsia="Arial" w:hAnsi="Arial"/>
          <w:sz w:val="16"/>
          <w:szCs w:val="16"/>
          <w:color w:val="auto"/>
        </w:rPr>
        <w:t>Secured long term contract extensions and expansions with key clients in Australia.</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Approach to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Governance</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keeping with our commitment to strong governance standards across our business, our executive compensation governance framework is built around the following:</w:t>
      </w:r>
    </w:p>
    <w:p>
      <w:pPr>
        <w:spacing w:after="0" w:line="48" w:lineRule="exact"/>
        <w:rPr>
          <w:sz w:val="20"/>
          <w:szCs w:val="20"/>
          <w:color w:val="auto"/>
        </w:rPr>
      </w:pPr>
    </w:p>
    <w:p>
      <w:pPr>
        <w:jc w:val="both"/>
        <w:ind w:left="200" w:right="420" w:hanging="192"/>
        <w:spacing w:after="0" w:line="275" w:lineRule="auto"/>
        <w:tabs>
          <w:tab w:leader="none" w:pos="17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A Compensation Committee comprised of individuals with deep relevant business experience, all of whom have served as chief executive officers of energy or real estate related companies or as executives at hospitality companies. All members of the Compensation Committee are independent in accordance with NYSE listing standards;</w:t>
      </w:r>
    </w:p>
    <w:p>
      <w:pPr>
        <w:spacing w:after="0" w:line="29" w:lineRule="exact"/>
        <w:rPr>
          <w:rFonts w:ascii="Arial" w:cs="Arial" w:eastAsia="Arial" w:hAnsi="Arial"/>
          <w:sz w:val="16"/>
          <w:szCs w:val="16"/>
          <w:color w:val="006DB6"/>
        </w:rPr>
      </w:pPr>
    </w:p>
    <w:p>
      <w:pPr>
        <w:ind w:left="200" w:right="240" w:hanging="192"/>
        <w:spacing w:after="0" w:line="275" w:lineRule="auto"/>
        <w:tabs>
          <w:tab w:leader="none" w:pos="17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A clearly defined decision-making framework and delegation of authority that ensures all material compensation decisions for section 16 officers (which includes our NEOs), are made solely by the Compensation Committee, whose priority is to ensure our policies and procedures allow Civeo to attract, reward and retain executives who are focused on delivering long-term results for shareholders; and</w:t>
      </w:r>
    </w:p>
    <w:p>
      <w:pPr>
        <w:spacing w:after="0" w:line="15" w:lineRule="exact"/>
        <w:rPr>
          <w:rFonts w:ascii="Arial" w:cs="Arial" w:eastAsia="Arial" w:hAnsi="Arial"/>
          <w:sz w:val="16"/>
          <w:szCs w:val="16"/>
          <w:color w:val="006DB6"/>
        </w:rPr>
      </w:pPr>
    </w:p>
    <w:p>
      <w:pPr>
        <w:ind w:left="180" w:hanging="172"/>
        <w:spacing w:after="0"/>
        <w:tabs>
          <w:tab w:leader="none" w:pos="180" w:val="left"/>
        </w:tabs>
        <w:numPr>
          <w:ilvl w:val="0"/>
          <w:numId w:val="37"/>
        </w:numPr>
        <w:rPr>
          <w:rFonts w:ascii="Arial" w:cs="Arial" w:eastAsia="Arial" w:hAnsi="Arial"/>
          <w:sz w:val="16"/>
          <w:szCs w:val="16"/>
          <w:color w:val="006DB6"/>
        </w:rPr>
      </w:pPr>
      <w:r>
        <w:rPr>
          <w:rFonts w:ascii="Arial" w:cs="Arial" w:eastAsia="Arial" w:hAnsi="Arial"/>
          <w:sz w:val="16"/>
          <w:szCs w:val="16"/>
          <w:color w:val="auto"/>
        </w:rPr>
        <w:t>Clearly defined compensation policies structured to accommodate circumstances that are characteristic of a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406400</wp:posOffset>
            </wp:positionV>
            <wp:extent cx="394335" cy="1968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CEO and NEO Compensation Mix</w:t>
      </w:r>
    </w:p>
    <w:p>
      <w:pPr>
        <w:spacing w:after="0" w:line="99"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This section outlines each component of our compensation program. Compensation decisions specific to our NEOs for 2023 for each of these components are discussed in greater detail following this section. Overall compensation consists of base salary, annual performance incentive awards and long-term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0" w:lineRule="exact"/>
        <w:rPr>
          <w:sz w:val="20"/>
          <w:szCs w:val="20"/>
          <w:color w:val="auto"/>
        </w:rPr>
      </w:pPr>
    </w:p>
    <w:p>
      <w:pPr>
        <w:ind w:left="20"/>
        <w:spacing w:after="0"/>
        <w:tabs>
          <w:tab w:leader="none" w:pos="3740" w:val="left"/>
          <w:tab w:leader="none" w:pos="7480" w:val="left"/>
        </w:tabs>
        <w:rPr>
          <w:sz w:val="20"/>
          <w:szCs w:val="20"/>
          <w:color w:val="auto"/>
        </w:rPr>
      </w:pPr>
      <w:r>
        <w:rPr>
          <w:rFonts w:ascii="Arial" w:cs="Arial" w:eastAsia="Arial" w:hAnsi="Arial"/>
          <w:sz w:val="14"/>
          <w:szCs w:val="14"/>
          <w:b w:val="1"/>
          <w:bCs w:val="1"/>
          <w:color w:val="706F6F"/>
        </w:rPr>
        <w:t>Base</w:t>
      </w:r>
      <w:r>
        <w:rPr>
          <w:sz w:val="20"/>
          <w:szCs w:val="20"/>
          <w:color w:val="auto"/>
        </w:rPr>
        <w:tab/>
      </w:r>
      <w:r>
        <w:rPr>
          <w:rFonts w:ascii="Arial" w:cs="Arial" w:eastAsia="Arial" w:hAnsi="Arial"/>
          <w:sz w:val="14"/>
          <w:szCs w:val="14"/>
          <w:b w:val="1"/>
          <w:bCs w:val="1"/>
          <w:color w:val="006DB6"/>
        </w:rPr>
        <w:t>Annual Incentive Compensation</w:t>
      </w:r>
      <w:r>
        <w:rPr>
          <w:sz w:val="20"/>
          <w:szCs w:val="20"/>
          <w:color w:val="auto"/>
        </w:rPr>
        <w:tab/>
      </w:r>
      <w:r>
        <w:rPr>
          <w:rFonts w:ascii="Arial" w:cs="Arial" w:eastAsia="Arial" w:hAnsi="Arial"/>
          <w:sz w:val="14"/>
          <w:szCs w:val="14"/>
          <w:b w:val="1"/>
          <w:bCs w:val="1"/>
          <w:color w:val="FFC03C"/>
        </w:rPr>
        <w:t>Long-Term</w:t>
      </w:r>
    </w:p>
    <w:p>
      <w:pPr>
        <w:spacing w:after="0" w:line="29" w:lineRule="exact"/>
        <w:rPr>
          <w:sz w:val="20"/>
          <w:szCs w:val="20"/>
          <w:color w:val="auto"/>
        </w:rPr>
      </w:pPr>
    </w:p>
    <w:p>
      <w:pPr>
        <w:ind w:left="20"/>
        <w:spacing w:after="0"/>
        <w:tabs>
          <w:tab w:leader="none" w:pos="3740" w:val="left"/>
          <w:tab w:leader="none" w:pos="7480" w:val="left"/>
        </w:tabs>
        <w:rPr>
          <w:sz w:val="20"/>
          <w:szCs w:val="20"/>
          <w:color w:val="auto"/>
        </w:rPr>
      </w:pPr>
      <w:r>
        <w:rPr>
          <w:rFonts w:ascii="Arial" w:cs="Arial" w:eastAsia="Arial" w:hAnsi="Arial"/>
          <w:sz w:val="14"/>
          <w:szCs w:val="14"/>
          <w:b w:val="1"/>
          <w:bCs w:val="1"/>
          <w:color w:val="706F6F"/>
        </w:rPr>
        <w:t>Salary</w:t>
      </w:r>
      <w:r>
        <w:rPr>
          <w:sz w:val="20"/>
          <w:szCs w:val="20"/>
          <w:color w:val="auto"/>
        </w:rPr>
        <w:tab/>
      </w:r>
      <w:r>
        <w:rPr>
          <w:rFonts w:ascii="Arial" w:cs="Arial" w:eastAsia="Arial" w:hAnsi="Arial"/>
          <w:sz w:val="14"/>
          <w:szCs w:val="14"/>
          <w:b w:val="1"/>
          <w:bCs w:val="1"/>
          <w:color w:val="006DB6"/>
        </w:rPr>
        <w:t>Plan ("AICP")</w:t>
      </w:r>
      <w:r>
        <w:rPr>
          <w:sz w:val="20"/>
          <w:szCs w:val="20"/>
          <w:color w:val="auto"/>
        </w:rPr>
        <w:tab/>
      </w:r>
      <w:r>
        <w:rPr>
          <w:rFonts w:ascii="Arial" w:cs="Arial" w:eastAsia="Arial" w:hAnsi="Arial"/>
          <w:sz w:val="14"/>
          <w:szCs w:val="14"/>
          <w:b w:val="1"/>
          <w:bCs w:val="1"/>
          <w:color w:val="FFC03C"/>
        </w:rPr>
        <w:t>Incentive Plan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66" w:lineRule="exact"/>
        <w:rPr>
          <w:sz w:val="20"/>
          <w:szCs w:val="20"/>
          <w:color w:val="auto"/>
        </w:rPr>
      </w:pPr>
    </w:p>
    <w:p>
      <w:pPr>
        <w:jc w:val="both"/>
        <w:ind w:left="20"/>
        <w:spacing w:after="0" w:line="263" w:lineRule="auto"/>
        <w:rPr>
          <w:sz w:val="20"/>
          <w:szCs w:val="20"/>
          <w:color w:val="auto"/>
        </w:rPr>
      </w:pPr>
      <w:r>
        <w:rPr>
          <w:rFonts w:ascii="Arial" w:cs="Arial" w:eastAsia="Arial" w:hAnsi="Arial"/>
          <w:sz w:val="16"/>
          <w:szCs w:val="16"/>
          <w:color w:val="auto"/>
        </w:rPr>
        <w:t>Base salary recognizes the job being performed, The key objective of Civeo’s AICP is to reward the executive seniority and tenure and the value of that achievement of defined annual financial and safety job in the competitive market. Base salary must be objectives and to incentivize employee activities</w:t>
      </w:r>
    </w:p>
    <w:p>
      <w:pPr>
        <w:spacing w:after="0" w:line="1"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6"/>
          <w:szCs w:val="16"/>
          <w:color w:val="auto"/>
        </w:rPr>
        <w:t>sufficient to attract and retain the executive talent</w:t>
        <w:tab/>
        <w:t>that will continually improve Civeo, both on a</w:t>
      </w:r>
    </w:p>
    <w:p>
      <w:pPr>
        <w:spacing w:after="0" w:line="9"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6"/>
          <w:szCs w:val="16"/>
          <w:color w:val="auto"/>
        </w:rPr>
        <w:t>necessary for our success and provides a fixed</w:t>
      </w:r>
      <w:r>
        <w:rPr>
          <w:sz w:val="20"/>
          <w:szCs w:val="20"/>
          <w:color w:val="auto"/>
        </w:rPr>
        <w:tab/>
      </w:r>
      <w:r>
        <w:rPr>
          <w:rFonts w:ascii="Arial" w:cs="Arial" w:eastAsia="Arial" w:hAnsi="Arial"/>
          <w:sz w:val="16"/>
          <w:szCs w:val="16"/>
          <w:color w:val="auto"/>
        </w:rPr>
        <w:t>business unit and company-wide basis.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element of compensation to avoid fluctuations in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compensation that could distract our executives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from the performance of their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Civeo’s LTIP, established under the Equity Participation Plan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p>
      <w:pPr>
        <w:spacing w:after="0" w:line="200" w:lineRule="exact"/>
        <w:rPr>
          <w:sz w:val="20"/>
          <w:szCs w:val="20"/>
          <w:color w:val="auto"/>
        </w:rPr>
      </w:pPr>
    </w:p>
    <w:p>
      <w:pPr>
        <w:sectPr>
          <w:pgSz w:w="11900" w:h="16838" w:orient="portrait"/>
          <w:cols w:equalWidth="0" w:num="2">
            <w:col w:w="7400" w:space="100"/>
            <w:col w:w="3740"/>
          </w:cols>
          <w:pgMar w:left="320" w:top="125" w:right="33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Our Variable Compensation Performance Metrics and Their Relation to Our Strategy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ind w:left="20"/>
              <w:spacing w:after="0"/>
              <w:rPr>
                <w:sz w:val="20"/>
                <w:szCs w:val="20"/>
                <w:color w:val="auto"/>
              </w:rPr>
            </w:pPr>
            <w:r>
              <w:rPr>
                <w:rFonts w:ascii="Arial" w:cs="Arial" w:eastAsia="Arial" w:hAnsi="Arial"/>
                <w:sz w:val="14"/>
                <w:szCs w:val="14"/>
                <w:b w:val="1"/>
                <w:bCs w:val="1"/>
                <w:color w:val="706F6F"/>
              </w:rPr>
              <w:t>Performance Metrics</w:t>
            </w:r>
          </w:p>
        </w:tc>
        <w:tc>
          <w:tcPr>
            <w:tcW w:w="8980" w:type="dxa"/>
            <w:vAlign w:val="bottom"/>
          </w:tcPr>
          <w:p>
            <w:pPr>
              <w:ind w:left="20"/>
              <w:spacing w:after="0"/>
              <w:rPr>
                <w:sz w:val="20"/>
                <w:szCs w:val="20"/>
                <w:color w:val="auto"/>
              </w:rPr>
            </w:pPr>
            <w:r>
              <w:rPr>
                <w:rFonts w:ascii="Arial" w:cs="Arial" w:eastAsia="Arial" w:hAnsi="Arial"/>
                <w:sz w:val="14"/>
                <w:szCs w:val="14"/>
                <w:b w:val="1"/>
                <w:bCs w:val="1"/>
                <w:color w:val="706F6F"/>
              </w:rPr>
              <w:t>How The Performance Metrics Tie to Our Strategy</w:t>
            </w:r>
          </w:p>
        </w:tc>
        <w:tc>
          <w:tcPr>
            <w:tcW w:w="0" w:type="dxa"/>
            <w:vAlign w:val="bottom"/>
          </w:tcPr>
          <w:p>
            <w:pPr>
              <w:spacing w:after="0"/>
              <w:rPr>
                <w:sz w:val="1"/>
                <w:szCs w:val="1"/>
                <w:color w:val="auto"/>
              </w:rPr>
            </w:pPr>
          </w:p>
        </w:tc>
      </w:tr>
      <w:tr>
        <w:trPr>
          <w:trHeight w:val="223"/>
        </w:trPr>
        <w:tc>
          <w:tcPr>
            <w:tcW w:w="2260" w:type="dxa"/>
            <w:vAlign w:val="bottom"/>
          </w:tcPr>
          <w:p>
            <w:pPr>
              <w:ind w:left="20"/>
              <w:spacing w:after="0"/>
              <w:rPr>
                <w:sz w:val="20"/>
                <w:szCs w:val="20"/>
                <w:color w:val="auto"/>
              </w:rPr>
            </w:pPr>
            <w:r>
              <w:rPr>
                <w:rFonts w:ascii="Arial" w:cs="Arial" w:eastAsia="Arial" w:hAnsi="Arial"/>
                <w:sz w:val="16"/>
                <w:szCs w:val="16"/>
                <w:color w:val="auto"/>
              </w:rPr>
              <w:t>Relative Total Shareholder</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Relative TSR is a valuable metric to assess performance against our peer group over a performance period. The intent is to</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Return ("TSR")</w:t>
            </w: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better align executive pay with shareholder interests.</w:t>
            </w:r>
          </w:p>
        </w:tc>
        <w:tc>
          <w:tcPr>
            <w:tcW w:w="0" w:type="dxa"/>
            <w:vAlign w:val="bottom"/>
          </w:tcPr>
          <w:p>
            <w:pPr>
              <w:spacing w:after="0"/>
              <w:rPr>
                <w:sz w:val="1"/>
                <w:szCs w:val="1"/>
                <w:color w:val="auto"/>
              </w:rPr>
            </w:pPr>
          </w:p>
        </w:tc>
      </w:tr>
      <w:tr>
        <w:trPr>
          <w:trHeight w:val="227"/>
        </w:trPr>
        <w:tc>
          <w:tcPr>
            <w:tcW w:w="2260" w:type="dxa"/>
            <w:vAlign w:val="bottom"/>
          </w:tcPr>
          <w:p>
            <w:pPr>
              <w:ind w:left="20"/>
              <w:spacing w:after="0"/>
              <w:rPr>
                <w:sz w:val="20"/>
                <w:szCs w:val="20"/>
                <w:color w:val="auto"/>
              </w:rPr>
            </w:pPr>
            <w:r>
              <w:rPr>
                <w:rFonts w:ascii="Arial" w:cs="Arial" w:eastAsia="Arial" w:hAnsi="Arial"/>
                <w:sz w:val="16"/>
                <w:szCs w:val="16"/>
                <w:color w:val="auto"/>
              </w:rPr>
              <w:t>Divisional EBITDA</w:t>
            </w:r>
          </w:p>
        </w:tc>
        <w:tc>
          <w:tcPr>
            <w:tcW w:w="8980" w:type="dxa"/>
            <w:vAlign w:val="bottom"/>
            <w:vMerge w:val="restart"/>
            <w:shd w:val="clear" w:color="auto" w:fill="E8EEF7"/>
          </w:tcPr>
          <w:p>
            <w:pPr>
              <w:ind w:left="20"/>
              <w:spacing w:after="0"/>
              <w:rPr>
                <w:sz w:val="20"/>
                <w:szCs w:val="20"/>
                <w:color w:val="auto"/>
              </w:rPr>
            </w:pPr>
            <w:r>
              <w:rPr>
                <w:rFonts w:ascii="Arial" w:cs="Arial" w:eastAsia="Arial" w:hAnsi="Arial"/>
                <w:sz w:val="16"/>
                <w:szCs w:val="16"/>
                <w:color w:val="auto"/>
              </w:rPr>
              <w:t>EBITDA is widely recognized as a primary valuation and comparable financial metric and, for this reason was, with AICP</w:t>
            </w:r>
          </w:p>
        </w:tc>
        <w:tc>
          <w:tcPr>
            <w:tcW w:w="0" w:type="dxa"/>
            <w:vAlign w:val="bottom"/>
          </w:tcPr>
          <w:p>
            <w:pPr>
              <w:spacing w:after="0"/>
              <w:rPr>
                <w:sz w:val="1"/>
                <w:szCs w:val="1"/>
                <w:color w:val="auto"/>
              </w:rPr>
            </w:pPr>
          </w:p>
        </w:tc>
      </w:tr>
      <w:tr>
        <w:trPr>
          <w:trHeight w:val="96"/>
        </w:trPr>
        <w:tc>
          <w:tcPr>
            <w:tcW w:w="2260" w:type="dxa"/>
            <w:vAlign w:val="bottom"/>
          </w:tcPr>
          <w:p>
            <w:pPr>
              <w:spacing w:after="0"/>
              <w:rPr>
                <w:sz w:val="8"/>
                <w:szCs w:val="8"/>
                <w:color w:val="auto"/>
              </w:rPr>
            </w:pPr>
          </w:p>
        </w:tc>
        <w:tc>
          <w:tcPr>
            <w:tcW w:w="8980" w:type="dxa"/>
            <w:vAlign w:val="bottom"/>
            <w:vMerge w:val="continue"/>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adjustments, selected as an appropriate financial metric for 2023.</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TRIR</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TRIR is a globally recognized measure of safety performance. Safety is one of Civeo's core values and therefore it is an</w:t>
            </w:r>
          </w:p>
        </w:tc>
        <w:tc>
          <w:tcPr>
            <w:tcW w:w="0" w:type="dxa"/>
            <w:vAlign w:val="bottom"/>
          </w:tcPr>
          <w:p>
            <w:pPr>
              <w:spacing w:after="0"/>
              <w:rPr>
                <w:sz w:val="1"/>
                <w:szCs w:val="1"/>
                <w:color w:val="auto"/>
              </w:rPr>
            </w:pPr>
          </w:p>
        </w:tc>
      </w:tr>
      <w:tr>
        <w:trPr>
          <w:trHeight w:val="224"/>
        </w:trPr>
        <w:tc>
          <w:tcPr>
            <w:tcW w:w="2260" w:type="dxa"/>
            <w:vAlign w:val="bottom"/>
            <w:tcBorders>
              <w:bottom w:val="single" w:sz="8" w:color="auto"/>
            </w:tcBorders>
          </w:tcPr>
          <w:p>
            <w:pPr>
              <w:spacing w:after="0"/>
              <w:rPr>
                <w:sz w:val="19"/>
                <w:szCs w:val="19"/>
                <w:color w:val="auto"/>
              </w:rPr>
            </w:pPr>
          </w:p>
        </w:tc>
        <w:tc>
          <w:tcPr>
            <w:tcW w:w="8980" w:type="dxa"/>
            <w:vAlign w:val="bottom"/>
            <w:tcBorders>
              <w:bottom w:val="single" w:sz="8" w:color="auto"/>
            </w:tcBorders>
            <w:shd w:val="clear" w:color="auto" w:fill="E8EEF7"/>
          </w:tcPr>
          <w:p>
            <w:pPr>
              <w:ind w:left="20"/>
              <w:spacing w:after="0"/>
              <w:rPr>
                <w:sz w:val="20"/>
                <w:szCs w:val="20"/>
                <w:color w:val="auto"/>
              </w:rPr>
            </w:pPr>
            <w:r>
              <w:rPr>
                <w:rFonts w:ascii="Arial" w:cs="Arial" w:eastAsia="Arial" w:hAnsi="Arial"/>
                <w:sz w:val="16"/>
                <w:szCs w:val="16"/>
                <w:color w:val="auto"/>
              </w:rPr>
              <w:t>important measure of Company performance.</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Consolidated Operating Cash</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After the Company altered its performance goals utilized under the Company’s LTIP in 2021 to include consolidated</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Flow</w:t>
            </w: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operating cash flow as a performance metric, based in part on feedback from our 2020 shareholder engagement efforts, the</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16"/>
                <w:szCs w:val="16"/>
                <w:color w:val="auto"/>
              </w:rPr>
            </w:pP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Company has continued to use consolidated operating cash flow as a performance metric under its LTIP given the</w:t>
            </w: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8980" w:type="dxa"/>
            <w:vAlign w:val="bottom"/>
            <w:shd w:val="clear" w:color="auto" w:fill="E8EEF7"/>
          </w:tcPr>
          <w:p>
            <w:pPr>
              <w:ind w:left="20"/>
              <w:spacing w:after="0"/>
              <w:rPr>
                <w:sz w:val="20"/>
                <w:szCs w:val="20"/>
                <w:color w:val="auto"/>
              </w:rPr>
            </w:pPr>
            <w:r>
              <w:rPr>
                <w:rFonts w:ascii="Arial" w:cs="Arial" w:eastAsia="Arial" w:hAnsi="Arial"/>
                <w:sz w:val="16"/>
                <w:szCs w:val="16"/>
                <w:color w:val="auto"/>
              </w:rPr>
              <w:t>Company's continued focus on generating cash flow and reducing leverage.</w:t>
            </w:r>
          </w:p>
        </w:tc>
        <w:tc>
          <w:tcPr>
            <w:tcW w:w="0" w:type="dxa"/>
            <w:vAlign w:val="bottom"/>
          </w:tcPr>
          <w:p>
            <w:pPr>
              <w:spacing w:after="0"/>
              <w:rPr>
                <w:sz w:val="1"/>
                <w:szCs w:val="1"/>
                <w:color w:val="auto"/>
              </w:rPr>
            </w:pPr>
          </w:p>
        </w:tc>
      </w:tr>
      <w:tr>
        <w:trPr>
          <w:trHeight w:val="29"/>
        </w:trPr>
        <w:tc>
          <w:tcPr>
            <w:tcW w:w="2260" w:type="dxa"/>
            <w:vAlign w:val="bottom"/>
          </w:tcPr>
          <w:p>
            <w:pPr>
              <w:spacing w:after="0"/>
              <w:rPr>
                <w:sz w:val="2"/>
                <w:szCs w:val="2"/>
                <w:color w:val="auto"/>
              </w:rPr>
            </w:pPr>
          </w:p>
        </w:tc>
        <w:tc>
          <w:tcPr>
            <w:tcW w:w="8980" w:type="dxa"/>
            <w:vAlign w:val="bottom"/>
            <w:shd w:val="clear" w:color="auto" w:fill="E8EEF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0972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AICP EBITDA</w:t>
      </w:r>
    </w:p>
    <w:p>
      <w:pPr>
        <w:spacing w:after="0" w:line="100" w:lineRule="exact"/>
        <w:rPr>
          <w:sz w:val="20"/>
          <w:szCs w:val="20"/>
          <w:color w:val="auto"/>
        </w:rPr>
      </w:pPr>
    </w:p>
    <w:p>
      <w:pPr>
        <w:ind w:left="20" w:right="160"/>
        <w:spacing w:after="0" w:line="253" w:lineRule="auto"/>
        <w:rPr>
          <w:sz w:val="20"/>
          <w:szCs w:val="20"/>
          <w:color w:val="auto"/>
        </w:rPr>
      </w:pPr>
      <w:r>
        <w:rPr>
          <w:rFonts w:ascii="Arial" w:cs="Arial" w:eastAsia="Arial" w:hAnsi="Arial"/>
          <w:sz w:val="16"/>
          <w:szCs w:val="16"/>
          <w:b w:val="1"/>
          <w:bCs w:val="1"/>
          <w:color w:val="auto"/>
        </w:rPr>
        <w:t>Earnings Before Interest, Taxes, Depreciation and Amortization ("EBITDA") is a non-GAAP financial measure that is defined as net income plus interest, taxes, depreciation and amortization. AICP EBITDA is a non-GAAP financial measure that is defined as EBITDA adjusted to exclude certain other unusual or non-operating items. Please see Appendix B for a reconciliation of EBITDA to GAAP. Adjustments to EBITDA under the AICP also reflect one-time, unanticipated financial events incurred following approval of the 2023 budget, including unbudgeted variability in stock-based compensation expense, changes in foreign exchange rates and certain other unbudgeted costs (approved by the Compensation Committee). The AICP adjustments to EBITDA in 2023 were consistent with past practices.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Highlights of 2023 Performance and Impact on Executive Compensation</w:t>
      </w:r>
    </w:p>
    <w:p>
      <w:pPr>
        <w:spacing w:after="0" w:line="114"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Despite continuing headwinds faced by the energy sector throughout 2023, a number of significant financial and operational objectives were successfully completed through Mr. Dodson’s leadership. On the financial front, we continued to strengthen our balance sheet, reduce our leverage and returned capital to shareholders through continued share repurchases and the initiation of a quarterly dividend while navigating a challenging economic landscape. In particular, during 2023 we achieved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342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ind w:left="20"/>
              <w:spacing w:after="0"/>
              <w:rPr>
                <w:sz w:val="20"/>
                <w:szCs w:val="20"/>
                <w:color w:val="auto"/>
              </w:rPr>
            </w:pPr>
            <w:r>
              <w:rPr>
                <w:rFonts w:ascii="Arial" w:cs="Arial" w:eastAsia="Arial" w:hAnsi="Arial"/>
                <w:sz w:val="16"/>
                <w:szCs w:val="16"/>
                <w:color w:val="auto"/>
              </w:rPr>
              <w:t>Reduced total debt by $66 million from</w:t>
            </w:r>
          </w:p>
        </w:tc>
        <w:tc>
          <w:tcPr>
            <w:tcW w:w="200" w:type="dxa"/>
            <w:vAlign w:val="bottom"/>
          </w:tcPr>
          <w:p>
            <w:pPr>
              <w:spacing w:after="0"/>
              <w:rPr>
                <w:sz w:val="17"/>
                <w:szCs w:val="17"/>
                <w:color w:val="auto"/>
              </w:rPr>
            </w:pPr>
          </w:p>
        </w:tc>
        <w:tc>
          <w:tcPr>
            <w:tcW w:w="3700" w:type="dxa"/>
            <w:vAlign w:val="bottom"/>
            <w:gridSpan w:val="3"/>
          </w:tcPr>
          <w:p>
            <w:pPr>
              <w:ind w:left="20"/>
              <w:spacing w:after="0"/>
              <w:rPr>
                <w:sz w:val="20"/>
                <w:szCs w:val="20"/>
                <w:color w:val="auto"/>
              </w:rPr>
            </w:pPr>
            <w:r>
              <w:rPr>
                <w:rFonts w:ascii="Arial" w:cs="Arial" w:eastAsia="Arial" w:hAnsi="Arial"/>
                <w:sz w:val="16"/>
                <w:szCs w:val="16"/>
                <w:color w:val="auto"/>
              </w:rPr>
              <w:t>Decreased our net leverage ratio to 0.6 times at</w:t>
            </w:r>
          </w:p>
        </w:tc>
        <w:tc>
          <w:tcPr>
            <w:tcW w:w="200" w:type="dxa"/>
            <w:vAlign w:val="bottom"/>
          </w:tcPr>
          <w:p>
            <w:pPr>
              <w:spacing w:after="0"/>
              <w:rPr>
                <w:sz w:val="17"/>
                <w:szCs w:val="17"/>
                <w:color w:val="auto"/>
              </w:rPr>
            </w:pPr>
          </w:p>
        </w:tc>
        <w:tc>
          <w:tcPr>
            <w:tcW w:w="3580" w:type="dxa"/>
            <w:vAlign w:val="bottom"/>
            <w:vMerge w:val="restart"/>
          </w:tcPr>
          <w:p>
            <w:pPr>
              <w:ind w:left="20"/>
              <w:spacing w:after="0"/>
              <w:rPr>
                <w:sz w:val="20"/>
                <w:szCs w:val="20"/>
                <w:color w:val="auto"/>
              </w:rPr>
            </w:pPr>
            <w:r>
              <w:rPr>
                <w:rFonts w:ascii="Arial" w:cs="Arial" w:eastAsia="Arial" w:hAnsi="Arial"/>
                <w:sz w:val="16"/>
                <w:szCs w:val="16"/>
                <w:color w:val="auto"/>
              </w:rPr>
              <w:t>Generated $97 million of Operating Cash Flow</w:t>
            </w:r>
          </w:p>
        </w:tc>
        <w:tc>
          <w:tcPr>
            <w:tcW w:w="0" w:type="dxa"/>
            <w:vAlign w:val="bottom"/>
          </w:tcPr>
          <w:p>
            <w:pPr>
              <w:spacing w:after="0"/>
              <w:rPr>
                <w:sz w:val="1"/>
                <w:szCs w:val="1"/>
                <w:color w:val="auto"/>
              </w:rPr>
            </w:pPr>
          </w:p>
        </w:tc>
      </w:tr>
      <w:tr>
        <w:trPr>
          <w:trHeight w:val="108"/>
        </w:trPr>
        <w:tc>
          <w:tcPr>
            <w:tcW w:w="3560" w:type="dxa"/>
            <w:vAlign w:val="bottom"/>
            <w:vMerge w:val="restart"/>
          </w:tcPr>
          <w:p>
            <w:pPr>
              <w:ind w:left="20"/>
              <w:spacing w:after="0"/>
              <w:rPr>
                <w:sz w:val="20"/>
                <w:szCs w:val="20"/>
                <w:color w:val="auto"/>
              </w:rPr>
            </w:pPr>
            <w:r>
              <w:rPr>
                <w:rFonts w:ascii="Arial" w:cs="Arial" w:eastAsia="Arial" w:hAnsi="Arial"/>
                <w:sz w:val="16"/>
                <w:szCs w:val="16"/>
                <w:color w:val="auto"/>
              </w:rPr>
              <w:t>December 31, 2022 to December 31, 2023</w:t>
            </w:r>
          </w:p>
        </w:tc>
        <w:tc>
          <w:tcPr>
            <w:tcW w:w="200" w:type="dxa"/>
            <w:vAlign w:val="bottom"/>
          </w:tcPr>
          <w:p>
            <w:pPr>
              <w:spacing w:after="0"/>
              <w:rPr>
                <w:sz w:val="9"/>
                <w:szCs w:val="9"/>
                <w:color w:val="auto"/>
              </w:rPr>
            </w:pPr>
          </w:p>
        </w:tc>
        <w:tc>
          <w:tcPr>
            <w:tcW w:w="3700" w:type="dxa"/>
            <w:vAlign w:val="bottom"/>
            <w:gridSpan w:val="3"/>
            <w:vMerge w:val="restart"/>
          </w:tcPr>
          <w:p>
            <w:pPr>
              <w:ind w:left="20"/>
              <w:spacing w:after="0"/>
              <w:rPr>
                <w:sz w:val="20"/>
                <w:szCs w:val="20"/>
                <w:color w:val="auto"/>
              </w:rPr>
            </w:pPr>
            <w:r>
              <w:rPr>
                <w:rFonts w:ascii="Arial" w:cs="Arial" w:eastAsia="Arial" w:hAnsi="Arial"/>
                <w:sz w:val="16"/>
                <w:szCs w:val="16"/>
                <w:color w:val="auto"/>
              </w:rPr>
              <w:t>December 31, 2023, from 1.1 times at</w:t>
            </w:r>
          </w:p>
        </w:tc>
        <w:tc>
          <w:tcPr>
            <w:tcW w:w="20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7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3580" w:type="dxa"/>
            <w:vAlign w:val="bottom"/>
            <w:vMerge w:val="restart"/>
          </w:tcPr>
          <w:p>
            <w:pPr>
              <w:ind w:left="20"/>
              <w:spacing w:after="0"/>
              <w:rPr>
                <w:sz w:val="20"/>
                <w:szCs w:val="20"/>
                <w:color w:val="auto"/>
              </w:rPr>
            </w:pPr>
            <w:r>
              <w:rPr>
                <w:rFonts w:ascii="Arial" w:cs="Arial" w:eastAsia="Arial" w:hAnsi="Arial"/>
                <w:sz w:val="16"/>
                <w:szCs w:val="16"/>
                <w:color w:val="auto"/>
              </w:rPr>
              <w:t>during the year</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00" w:type="dxa"/>
            <w:vAlign w:val="bottom"/>
            <w:gridSpan w:val="3"/>
            <w:vMerge w:val="restart"/>
          </w:tcPr>
          <w:p>
            <w:pPr>
              <w:ind w:left="20"/>
              <w:spacing w:after="0"/>
              <w:rPr>
                <w:sz w:val="20"/>
                <w:szCs w:val="20"/>
                <w:color w:val="auto"/>
              </w:rPr>
            </w:pPr>
            <w:r>
              <w:rPr>
                <w:rFonts w:ascii="Arial" w:cs="Arial" w:eastAsia="Arial" w:hAnsi="Arial"/>
                <w:sz w:val="16"/>
                <w:szCs w:val="16"/>
                <w:color w:val="auto"/>
              </w:rPr>
              <w:t>December 31, 2022</w:t>
            </w:r>
          </w:p>
        </w:tc>
        <w:tc>
          <w:tcPr>
            <w:tcW w:w="200" w:type="dxa"/>
            <w:vAlign w:val="bottom"/>
          </w:tcPr>
          <w:p>
            <w:pPr>
              <w:spacing w:after="0"/>
              <w:rPr>
                <w:sz w:val="11"/>
                <w:szCs w:val="11"/>
                <w:color w:val="auto"/>
              </w:rPr>
            </w:pPr>
          </w:p>
        </w:tc>
        <w:tc>
          <w:tcPr>
            <w:tcW w:w="3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7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3560" w:type="dxa"/>
            <w:vAlign w:val="bottom"/>
            <w:tcBorders>
              <w:bottom w:val="single" w:sz="8" w:color="E8EEF7"/>
            </w:tcBorders>
          </w:tcPr>
          <w:p>
            <w:pPr>
              <w:spacing w:after="0"/>
              <w:rPr>
                <w:sz w:val="6"/>
                <w:szCs w:val="6"/>
                <w:color w:val="auto"/>
              </w:rPr>
            </w:pPr>
          </w:p>
        </w:tc>
        <w:tc>
          <w:tcPr>
            <w:tcW w:w="200" w:type="dxa"/>
            <w:vAlign w:val="bottom"/>
          </w:tcPr>
          <w:p>
            <w:pPr>
              <w:spacing w:after="0"/>
              <w:rPr>
                <w:sz w:val="6"/>
                <w:szCs w:val="6"/>
                <w:color w:val="auto"/>
              </w:rPr>
            </w:pPr>
          </w:p>
        </w:tc>
        <w:tc>
          <w:tcPr>
            <w:tcW w:w="1740" w:type="dxa"/>
            <w:vAlign w:val="bottom"/>
            <w:tcBorders>
              <w:bottom w:val="single" w:sz="8" w:color="E8EEF7"/>
            </w:tcBorders>
          </w:tcPr>
          <w:p>
            <w:pPr>
              <w:spacing w:after="0"/>
              <w:rPr>
                <w:sz w:val="6"/>
                <w:szCs w:val="6"/>
                <w:color w:val="auto"/>
              </w:rPr>
            </w:pPr>
          </w:p>
        </w:tc>
        <w:tc>
          <w:tcPr>
            <w:tcW w:w="220" w:type="dxa"/>
            <w:vAlign w:val="bottom"/>
            <w:tcBorders>
              <w:bottom w:val="single" w:sz="8" w:color="E8EEF7"/>
            </w:tcBorders>
          </w:tcPr>
          <w:p>
            <w:pPr>
              <w:spacing w:after="0"/>
              <w:rPr>
                <w:sz w:val="6"/>
                <w:szCs w:val="6"/>
                <w:color w:val="auto"/>
              </w:rPr>
            </w:pPr>
          </w:p>
        </w:tc>
        <w:tc>
          <w:tcPr>
            <w:tcW w:w="1740" w:type="dxa"/>
            <w:vAlign w:val="bottom"/>
            <w:tcBorders>
              <w:bottom w:val="single" w:sz="8" w:color="E8EEF7"/>
            </w:tcBorders>
          </w:tcPr>
          <w:p>
            <w:pPr>
              <w:spacing w:after="0"/>
              <w:rPr>
                <w:sz w:val="6"/>
                <w:szCs w:val="6"/>
                <w:color w:val="auto"/>
              </w:rPr>
            </w:pPr>
          </w:p>
        </w:tc>
        <w:tc>
          <w:tcPr>
            <w:tcW w:w="200" w:type="dxa"/>
            <w:vAlign w:val="bottom"/>
          </w:tcPr>
          <w:p>
            <w:pPr>
              <w:spacing w:after="0"/>
              <w:rPr>
                <w:sz w:val="6"/>
                <w:szCs w:val="6"/>
                <w:color w:val="auto"/>
              </w:rPr>
            </w:pPr>
          </w:p>
        </w:tc>
        <w:tc>
          <w:tcPr>
            <w:tcW w:w="3580" w:type="dxa"/>
            <w:vAlign w:val="bottom"/>
            <w:tcBorders>
              <w:bottom w:val="single" w:sz="8" w:color="E8EEF7"/>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E8EEF7"/>
            </w:tcBorders>
          </w:tcPr>
          <w:p>
            <w:pPr>
              <w:spacing w:after="0"/>
              <w:rPr>
                <w:sz w:val="11"/>
                <w:szCs w:val="11"/>
                <w:color w:val="auto"/>
              </w:rPr>
            </w:pPr>
          </w:p>
        </w:tc>
        <w:tc>
          <w:tcPr>
            <w:tcW w:w="200" w:type="dxa"/>
            <w:vAlign w:val="bottom"/>
            <w:tcBorders>
              <w:bottom w:val="single" w:sz="8" w:color="E8EEF7"/>
            </w:tcBorders>
          </w:tcPr>
          <w:p>
            <w:pPr>
              <w:spacing w:after="0"/>
              <w:rPr>
                <w:sz w:val="11"/>
                <w:szCs w:val="11"/>
                <w:color w:val="auto"/>
              </w:rPr>
            </w:pPr>
          </w:p>
        </w:tc>
        <w:tc>
          <w:tcPr>
            <w:tcW w:w="1740" w:type="dxa"/>
            <w:vAlign w:val="bottom"/>
            <w:tcBorders>
              <w:bottom w:val="single" w:sz="8" w:color="E8EEF7"/>
            </w:tcBorders>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Borders>
              <w:bottom w:val="single" w:sz="8" w:color="E8EEF7"/>
            </w:tcBorders>
          </w:tcPr>
          <w:p>
            <w:pPr>
              <w:spacing w:after="0"/>
              <w:rPr>
                <w:sz w:val="11"/>
                <w:szCs w:val="11"/>
                <w:color w:val="auto"/>
              </w:rPr>
            </w:pPr>
          </w:p>
        </w:tc>
        <w:tc>
          <w:tcPr>
            <w:tcW w:w="200" w:type="dxa"/>
            <w:vAlign w:val="bottom"/>
            <w:tcBorders>
              <w:bottom w:val="single" w:sz="8" w:color="E8EEF7"/>
            </w:tcBorders>
          </w:tcPr>
          <w:p>
            <w:pPr>
              <w:spacing w:after="0"/>
              <w:rPr>
                <w:sz w:val="11"/>
                <w:szCs w:val="11"/>
                <w:color w:val="auto"/>
              </w:rPr>
            </w:pPr>
          </w:p>
        </w:tc>
        <w:tc>
          <w:tcPr>
            <w:tcW w:w="3580" w:type="dxa"/>
            <w:vAlign w:val="bottom"/>
            <w:tcBorders>
              <w:bottom w:val="single" w:sz="8" w:color="E8EEF7"/>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08" w:lineRule="exact"/>
        <w:rPr>
          <w:sz w:val="20"/>
          <w:szCs w:val="20"/>
          <w:color w:val="auto"/>
        </w:rPr>
      </w:pPr>
    </w:p>
    <w:p>
      <w:pPr>
        <w:ind w:left="20" w:right="40"/>
        <w:spacing w:after="0" w:line="304" w:lineRule="auto"/>
        <w:rPr>
          <w:sz w:val="20"/>
          <w:szCs w:val="20"/>
          <w:color w:val="auto"/>
        </w:rPr>
      </w:pPr>
      <w:r>
        <w:rPr>
          <w:rFonts w:ascii="Arial" w:cs="Arial" w:eastAsia="Arial" w:hAnsi="Arial"/>
          <w:sz w:val="16"/>
          <w:szCs w:val="16"/>
          <w:color w:val="auto"/>
        </w:rPr>
        <w:t>Returned 23% of the Company's 2023 free cash flow to shareholders through share repurchases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348869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60"/>
        <w:spacing w:after="0" w:line="304" w:lineRule="auto"/>
        <w:rPr>
          <w:sz w:val="20"/>
          <w:szCs w:val="20"/>
          <w:color w:val="auto"/>
        </w:rPr>
      </w:pPr>
      <w:r>
        <w:rPr>
          <w:rFonts w:ascii="Arial" w:cs="Arial" w:eastAsia="Arial" w:hAnsi="Arial"/>
          <w:sz w:val="16"/>
          <w:szCs w:val="16"/>
          <w:color w:val="auto"/>
        </w:rPr>
        <w:t>Initiated a regular quarterly dividend of $0.25 per share as part the Company's updated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3505835" cy="342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05835" cy="3429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5020" w:space="720"/>
            <w:col w:w="5500"/>
          </w:cols>
          <w:pgMar w:left="320" w:top="125" w:right="339" w:bottom="1440" w:gutter="0" w:footer="0" w:header="0"/>
          <w:type w:val="continuous"/>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Company achieved continuing improvements in a number of areas of the business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15175" cy="342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Successfully sold McClelland Lake Lodge assets for $36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488690" cy="342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886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252095</wp:posOffset>
            </wp:positionV>
            <wp:extent cx="3488690" cy="342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8869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Secured a 5-year contract award in our Australia owned-villages valued at approximately A$337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3497580" cy="342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97580" cy="342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73025</wp:posOffset>
            </wp:positionV>
            <wp:extent cx="349758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97580" cy="342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5000" w:space="720"/>
            <w:col w:w="5520"/>
          </w:cols>
          <w:pgMar w:left="320" w:top="125" w:right="339" w:bottom="1440" w:gutter="0" w:footer="0" w:header="0"/>
          <w:type w:val="continuous"/>
        </w:sectPr>
      </w:pPr>
    </w:p>
    <w:p>
      <w:pPr>
        <w:ind w:left="20" w:right="1760"/>
        <w:spacing w:after="0" w:line="265" w:lineRule="auto"/>
        <w:rPr>
          <w:sz w:val="20"/>
          <w:szCs w:val="20"/>
          <w:color w:val="auto"/>
        </w:rPr>
      </w:pPr>
      <w:r>
        <w:rPr>
          <w:rFonts w:ascii="Arial" w:cs="Arial" w:eastAsia="Arial" w:hAnsi="Arial"/>
          <w:sz w:val="16"/>
          <w:szCs w:val="16"/>
          <w:color w:val="auto"/>
        </w:rPr>
        <w:t>Continued strong safety performance across all regions, resulting in a 2023 Overall revenues increased 21% in Australia in 2023 Global TRIR of 0.45, considerably better than the U.S. accommodation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industry average of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15175"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20"/>
        <w:spacing w:after="0"/>
        <w:tabs>
          <w:tab w:leader="none" w:pos="6560" w:val="left"/>
        </w:tabs>
        <w:rPr>
          <w:sz w:val="20"/>
          <w:szCs w:val="20"/>
          <w:color w:val="auto"/>
        </w:rPr>
      </w:pPr>
      <w:r>
        <w:rPr>
          <w:rFonts w:ascii="Arial" w:cs="Arial" w:eastAsia="Arial" w:hAnsi="Arial"/>
          <w:sz w:val="16"/>
          <w:szCs w:val="16"/>
          <w:b w:val="1"/>
          <w:bCs w:val="1"/>
          <w:color w:val="auto"/>
        </w:rPr>
        <w:t>AICP EBITDA</w:t>
      </w:r>
      <w:r>
        <w:rPr>
          <w:sz w:val="20"/>
          <w:szCs w:val="20"/>
          <w:color w:val="auto"/>
        </w:rPr>
        <w:tab/>
      </w:r>
      <w:r>
        <w:rPr>
          <w:rFonts w:ascii="Arial" w:cs="Arial" w:eastAsia="Arial" w:hAnsi="Arial"/>
          <w:sz w:val="15"/>
          <w:szCs w:val="15"/>
          <w:b w:val="1"/>
          <w:bCs w:val="1"/>
          <w:color w:val="auto"/>
        </w:rPr>
        <w:t>TOTAL RECORDABLE</w:t>
      </w:r>
    </w:p>
    <w:p>
      <w:pPr>
        <w:spacing w:after="0" w:line="21" w:lineRule="exact"/>
        <w:rPr>
          <w:sz w:val="20"/>
          <w:szCs w:val="20"/>
          <w:color w:val="auto"/>
        </w:rPr>
      </w:pPr>
    </w:p>
    <w:p>
      <w:pPr>
        <w:ind w:left="3360"/>
        <w:spacing w:after="0"/>
        <w:tabs>
          <w:tab w:leader="none" w:pos="6800" w:val="left"/>
        </w:tabs>
        <w:rPr>
          <w:sz w:val="20"/>
          <w:szCs w:val="20"/>
          <w:color w:val="auto"/>
        </w:rPr>
      </w:pPr>
      <w:r>
        <w:rPr>
          <w:rFonts w:ascii="Arial" w:cs="Arial" w:eastAsia="Arial" w:hAnsi="Arial"/>
          <w:sz w:val="16"/>
          <w:szCs w:val="16"/>
          <w:color w:val="auto"/>
        </w:rPr>
        <w:t>(in millions)</w:t>
      </w:r>
      <w:r>
        <w:rPr>
          <w:sz w:val="20"/>
          <w:szCs w:val="20"/>
          <w:color w:val="auto"/>
        </w:rPr>
        <w:tab/>
      </w:r>
      <w:r>
        <w:rPr>
          <w:rFonts w:ascii="Arial" w:cs="Arial" w:eastAsia="Arial" w:hAnsi="Arial"/>
          <w:sz w:val="16"/>
          <w:szCs w:val="16"/>
          <w:b w:val="1"/>
          <w:bCs w:val="1"/>
          <w:color w:val="auto"/>
        </w:rPr>
        <w:t>INCIDENT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62230</wp:posOffset>
            </wp:positionV>
            <wp:extent cx="3977640" cy="18770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97764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Note: EBITDA, AICP EBITDA and net leverage ratio are non-GAAP financial measures. Please see Appendix B for a reconciliation of each measure to the most directly comparable measures of financial performance calculated under GAAP.</w:t>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Shareholder Engagement</w:t>
      </w:r>
    </w:p>
    <w:p>
      <w:pPr>
        <w:spacing w:after="0" w:line="112"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Throughout the year, we meet with our shareholders to solicit their feedback on our performance, capital structure and pay plans as well as to share our perspective. The Company’s management maintains routine dialogue with its investors regarding operations, strategy, total leverage and financial results. Throughout 2023, management engaged with shareholders representing over 58% of our outstanding shares.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Say-On-Pay Vote</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At our 2023 annual meeting, we obtained 90.75% approval by our shareholders casting votes on our Say-on-Pay proposal (excluding abstentions). Our Compensation Committee considered this high level of support in making its compensation-related decisions in 2023, and did not make any specific changes to our compensation program as a result of the final say-on-pay vote, but has made the below adjustments to the program commencing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584835</wp:posOffset>
            </wp:positionV>
            <wp:extent cx="394335" cy="1968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Changes to the Compensation Program for 2024</w:t>
      </w:r>
    </w:p>
    <w:p>
      <w:pPr>
        <w:spacing w:after="0" w:line="9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With the changes in the Company's primary strategic focus from debt reduction to growth, Compensation Committee has made some adjustments to both the Short Term and Long Term Incentive programs for NEOs for 2024:</w:t>
      </w:r>
    </w:p>
    <w:p>
      <w:pPr>
        <w:spacing w:after="0" w:line="169" w:lineRule="exact"/>
        <w:rPr>
          <w:sz w:val="20"/>
          <w:szCs w:val="20"/>
          <w:color w:val="auto"/>
        </w:rPr>
      </w:pPr>
    </w:p>
    <w:p>
      <w:pPr>
        <w:jc w:val="both"/>
        <w:ind w:left="660" w:right="220" w:hanging="328"/>
        <w:spacing w:after="0" w:line="248" w:lineRule="auto"/>
        <w:tabs>
          <w:tab w:leader="none" w:pos="6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Historically, overachievement for AICP was achieved at 120% of budget. For 2024 and going forward, overachievement will be measured against the greater of (1) 120% of the current year's budgeted EBITDA or (2) the prior year's actual AICP EBITDA performance. Entry will continue to be calculated based on achieving 85% of budgeted EBITDA and target AICP remains unchanged on achieving 100% of budgeted EBITDA. With the change in focus, the over achievement targets were adjusted to encourage year-over-year growth.</w:t>
      </w:r>
    </w:p>
    <w:p>
      <w:pPr>
        <w:spacing w:after="0" w:line="211" w:lineRule="exact"/>
        <w:rPr>
          <w:rFonts w:ascii="Arial" w:cs="Arial" w:eastAsia="Arial" w:hAnsi="Arial"/>
          <w:sz w:val="16"/>
          <w:szCs w:val="16"/>
          <w:color w:val="auto"/>
        </w:rPr>
      </w:pPr>
    </w:p>
    <w:p>
      <w:pPr>
        <w:ind w:left="660" w:right="60" w:hanging="328"/>
        <w:spacing w:after="0" w:line="247" w:lineRule="auto"/>
        <w:tabs>
          <w:tab w:leader="none" w:pos="6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Long Term Incentive awards to NEOs will be changing in two ways. First, the distribution of time based and performance based awards will be changing using a phased in approach. For 2024, the distribution of performance based awards will increase from 50% to 60% and time based awards will reduce from 50% to 40%. For 2025, performance based awards will increase from 60% to 70% and time based awards will reduce from 40% to 30%. Additionally, the performance based awards will now be measured based on 30% relative TSR performance metric and 70% three-year growth in EBITDA, this being a change from 50% relative TSR and 50% Operating Cash Flow in 2023.</w:t>
      </w:r>
    </w:p>
    <w:p>
      <w:pPr>
        <w:spacing w:after="0" w:line="201"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We believe these changes further align and directly link our executive compensation program with the Company’s performance and will be in the best interests of the Company’s shareholders.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Best Practices</w:t>
      </w:r>
    </w:p>
    <w:p>
      <w:pPr>
        <w:spacing w:after="0" w:line="12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lists key policies and practices of our executive compensation program, which we believe align the interests of management with those of our shareholders and are best practices in compensation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81280</wp:posOffset>
            </wp:positionV>
            <wp:extent cx="480060" cy="4629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00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9340" w:val="left"/>
        </w:tabs>
        <w:rPr>
          <w:sz w:val="20"/>
          <w:szCs w:val="20"/>
          <w:color w:val="auto"/>
        </w:rPr>
      </w:pPr>
      <w:r>
        <w:rPr>
          <w:rFonts w:ascii="Arial" w:cs="Arial" w:eastAsia="Arial" w:hAnsi="Arial"/>
          <w:sz w:val="22"/>
          <w:szCs w:val="22"/>
          <w:b w:val="1"/>
          <w:bCs w:val="1"/>
          <w:color w:val="006DB6"/>
        </w:rPr>
        <w:t>What We Do</w:t>
      </w:r>
      <w:r>
        <w:rPr>
          <w:sz w:val="20"/>
          <w:szCs w:val="20"/>
          <w:color w:val="auto"/>
        </w:rPr>
        <w:tab/>
      </w:r>
      <w:r>
        <w:rPr>
          <w:rFonts w:ascii="Arial" w:cs="Arial" w:eastAsia="Arial" w:hAnsi="Arial"/>
          <w:sz w:val="21"/>
          <w:szCs w:val="21"/>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7343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27343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93" w:lineRule="exact"/>
        <w:rPr>
          <w:sz w:val="20"/>
          <w:szCs w:val="20"/>
          <w:color w:val="auto"/>
        </w:rPr>
      </w:pPr>
    </w:p>
    <w:p>
      <w:pPr>
        <w:ind w:left="320" w:right="60" w:hanging="221"/>
        <w:spacing w:after="0"/>
        <w:rPr>
          <w:sz w:val="20"/>
          <w:szCs w:val="20"/>
          <w:color w:val="auto"/>
        </w:rPr>
      </w:pPr>
      <w:r>
        <w:rPr>
          <w:sz w:val="1"/>
          <w:szCs w:val="1"/>
          <w:color w:val="auto"/>
        </w:rPr>
        <w:drawing>
          <wp:inline distT="0" distB="0" distL="0" distR="0">
            <wp:extent cx="68580" cy="5969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Use an independent consultant to ensure overall executive compensation is market competitive</w:t>
      </w:r>
    </w:p>
    <w:p>
      <w:pPr>
        <w:spacing w:after="0" w:line="55" w:lineRule="exact"/>
        <w:rPr>
          <w:sz w:val="20"/>
          <w:szCs w:val="20"/>
          <w:color w:val="auto"/>
        </w:rPr>
      </w:pPr>
    </w:p>
    <w:p>
      <w:pPr>
        <w:ind w:left="320" w:hanging="221"/>
        <w:spacing w:after="0"/>
        <w:rPr>
          <w:sz w:val="20"/>
          <w:szCs w:val="20"/>
          <w:color w:val="auto"/>
        </w:rPr>
      </w:pPr>
      <w:r>
        <w:rPr>
          <w:sz w:val="1"/>
          <w:szCs w:val="1"/>
          <w:color w:val="auto"/>
        </w:rPr>
        <w:drawing>
          <wp:inline distT="0" distB="0" distL="0" distR="0">
            <wp:extent cx="68580" cy="5969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Provide a balanced executive pay mix including long-term incentives, 50% of which are generally performance-based for NEOs and provide at-risk compensation tied directly to financial and share price performance</w:t>
      </w:r>
    </w:p>
    <w:p>
      <w:pPr>
        <w:spacing w:after="0" w:line="55" w:lineRule="exact"/>
        <w:rPr>
          <w:sz w:val="20"/>
          <w:szCs w:val="20"/>
          <w:color w:val="auto"/>
        </w:rPr>
      </w:pPr>
    </w:p>
    <w:p>
      <w:pPr>
        <w:jc w:val="both"/>
        <w:ind w:left="320" w:right="120" w:hanging="221"/>
        <w:spacing w:after="0"/>
        <w:rPr>
          <w:sz w:val="20"/>
          <w:szCs w:val="20"/>
          <w:color w:val="auto"/>
        </w:rPr>
      </w:pPr>
      <w:r>
        <w:rPr>
          <w:sz w:val="1"/>
          <w:szCs w:val="1"/>
          <w:color w:val="auto"/>
        </w:rPr>
        <w:drawing>
          <wp:inline distT="0" distB="0" distL="0" distR="0">
            <wp:extent cx="68580" cy="6032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Rigorous performance measures for executive compensation each year, whether absolute or relative, and set performance goals that we believe are reasonable in light of market conditions</w:t>
      </w:r>
    </w:p>
    <w:p>
      <w:pPr>
        <w:spacing w:after="0" w:line="55" w:lineRule="exact"/>
        <w:rPr>
          <w:sz w:val="20"/>
          <w:szCs w:val="20"/>
          <w:color w:val="auto"/>
        </w:rPr>
      </w:pPr>
    </w:p>
    <w:p>
      <w:pPr>
        <w:ind w:left="320" w:right="60" w:hanging="221"/>
        <w:spacing w:after="0"/>
        <w:rPr>
          <w:sz w:val="20"/>
          <w:szCs w:val="20"/>
          <w:color w:val="auto"/>
        </w:rPr>
      </w:pPr>
      <w:r>
        <w:rPr>
          <w:sz w:val="1"/>
          <w:szCs w:val="1"/>
          <w:color w:val="auto"/>
        </w:rPr>
        <w:drawing>
          <wp:inline distT="0" distB="0" distL="0" distR="0">
            <wp:extent cx="68580" cy="6032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Cap payouts under all performance incentives. Beginning in 2021, all future performance share awards are capped at 100% payout (Target), if Civeo's absolute TSR over the performance period is negative, irrespective of relative performance</w:t>
      </w:r>
    </w:p>
    <w:p>
      <w:pPr>
        <w:spacing w:after="0" w:line="55" w:lineRule="exact"/>
        <w:rPr>
          <w:sz w:val="20"/>
          <w:szCs w:val="20"/>
          <w:color w:val="auto"/>
        </w:rPr>
      </w:pPr>
    </w:p>
    <w:p>
      <w:pPr>
        <w:jc w:val="both"/>
        <w:ind w:left="320" w:right="120" w:hanging="221"/>
        <w:spacing w:after="0"/>
        <w:rPr>
          <w:sz w:val="20"/>
          <w:szCs w:val="20"/>
          <w:color w:val="auto"/>
        </w:rPr>
      </w:pPr>
      <w:r>
        <w:rPr>
          <w:sz w:val="1"/>
          <w:szCs w:val="1"/>
          <w:color w:val="auto"/>
        </w:rPr>
        <w:drawing>
          <wp:inline distT="0" distB="0" distL="0" distR="0">
            <wp:extent cx="68580" cy="5969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color w:val="auto"/>
        </w:rPr>
        <w:t xml:space="preserve"> Maintain a clawback policy that allows the Company to recoup incentive-based compensation in the case of a material financial restatement due to material non-compliance with applicable reporting requirements.</w:t>
      </w:r>
    </w:p>
    <w:p>
      <w:pPr>
        <w:spacing w:after="0" w:line="55" w:lineRule="exact"/>
        <w:rPr>
          <w:sz w:val="20"/>
          <w:szCs w:val="20"/>
          <w:color w:val="auto"/>
        </w:rPr>
      </w:pPr>
    </w:p>
    <w:p>
      <w:pPr>
        <w:ind w:left="320" w:right="240" w:hanging="221"/>
        <w:spacing w:after="0"/>
        <w:rPr>
          <w:sz w:val="20"/>
          <w:szCs w:val="20"/>
          <w:color w:val="auto"/>
        </w:rPr>
      </w:pPr>
      <w:r>
        <w:rPr>
          <w:sz w:val="1"/>
          <w:szCs w:val="1"/>
          <w:color w:val="auto"/>
        </w:rPr>
        <w:drawing>
          <wp:inline distT="0" distB="0" distL="0" distR="0">
            <wp:extent cx="68580" cy="60325"/>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color w:val="auto"/>
        </w:rPr>
        <w:t xml:space="preserve"> In addition to minimum NEO share ownership requirements, the share ownership policy requires NEOs to hold at least 50% of the net vested Civeo shares (after tax withholding) for 12 months after the date of vesting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43180" cy="4318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Permit directors or officers to buy or sell puts, calls or options in respect of our securities, or pledge shares (including holding shares in a margin account)</w:t>
      </w:r>
    </w:p>
    <w:p>
      <w:pPr>
        <w:spacing w:after="0" w:line="55" w:lineRule="exact"/>
        <w:rPr>
          <w:sz w:val="20"/>
          <w:szCs w:val="20"/>
          <w:color w:val="auto"/>
        </w:rPr>
      </w:pPr>
    </w:p>
    <w:p>
      <w:pPr>
        <w:ind w:left="200" w:right="60" w:hanging="195"/>
        <w:spacing w:after="0"/>
        <w:rPr>
          <w:sz w:val="20"/>
          <w:szCs w:val="20"/>
          <w:color w:val="auto"/>
        </w:rPr>
      </w:pPr>
      <w:r>
        <w:rPr>
          <w:sz w:val="1"/>
          <w:szCs w:val="1"/>
          <w:color w:val="auto"/>
        </w:rPr>
        <w:drawing>
          <wp:inline distT="0" distB="0" distL="0" distR="0">
            <wp:extent cx="43180" cy="4318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excise tax gross-ups in any executive or change of control agreement entered into following our spin-off from Oil States International in May 2014</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Apply severance multipliers in excess of 3x</w:t>
      </w:r>
    </w:p>
    <w:p>
      <w:pPr>
        <w:spacing w:after="0" w:line="73" w:lineRule="exact"/>
        <w:rPr>
          <w:sz w:val="20"/>
          <w:szCs w:val="20"/>
          <w:color w:val="auto"/>
        </w:rPr>
      </w:pPr>
    </w:p>
    <w:p>
      <w:pPr>
        <w:spacing w:after="0"/>
        <w:rPr>
          <w:sz w:val="20"/>
          <w:szCs w:val="20"/>
          <w:color w:val="auto"/>
        </w:rPr>
      </w:pPr>
      <w:r>
        <w:rPr>
          <w:sz w:val="1"/>
          <w:szCs w:val="1"/>
          <w:color w:val="auto"/>
        </w:rPr>
        <w:drawing>
          <wp:inline distT="0" distB="0" distL="0" distR="0">
            <wp:extent cx="43180" cy="4318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Utilize liberal share recycling in our long-term incentive plan</w:t>
      </w:r>
    </w:p>
    <w:p>
      <w:pPr>
        <w:spacing w:after="0" w:line="86" w:lineRule="exact"/>
        <w:rPr>
          <w:sz w:val="20"/>
          <w:szCs w:val="20"/>
          <w:color w:val="auto"/>
        </w:rPr>
      </w:pPr>
    </w:p>
    <w:p>
      <w:pPr>
        <w:ind w:left="200" w:right="420" w:hanging="195"/>
        <w:spacing w:after="0"/>
        <w:rPr>
          <w:sz w:val="20"/>
          <w:szCs w:val="20"/>
          <w:color w:val="auto"/>
        </w:rPr>
      </w:pPr>
      <w:r>
        <w:rPr>
          <w:sz w:val="1"/>
          <w:szCs w:val="1"/>
          <w:color w:val="auto"/>
        </w:rPr>
        <w:drawing>
          <wp:inline distT="0" distB="0" distL="0" distR="0">
            <wp:extent cx="43180" cy="4318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Reprice stock options or stock appreciation rights without shareholder approval</w:t>
      </w:r>
    </w:p>
    <w:p>
      <w:pPr>
        <w:spacing w:after="0" w:line="55" w:lineRule="exact"/>
        <w:rPr>
          <w:sz w:val="20"/>
          <w:szCs w:val="20"/>
          <w:color w:val="auto"/>
        </w:rPr>
      </w:pPr>
    </w:p>
    <w:p>
      <w:pPr>
        <w:ind w:right="260"/>
        <w:spacing w:after="0" w:line="392" w:lineRule="auto"/>
        <w:rPr>
          <w:sz w:val="20"/>
          <w:szCs w:val="20"/>
          <w:color w:val="auto"/>
        </w:rPr>
      </w:pPr>
      <w:r>
        <w:rPr>
          <w:sz w:val="1"/>
          <w:szCs w:val="1"/>
          <w:color w:val="auto"/>
        </w:rPr>
        <w:drawing>
          <wp:inline distT="0" distB="0" distL="0" distR="0">
            <wp:extent cx="43180" cy="4318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single-trigger vesting of equity awards upon a change of control </w:t>
      </w:r>
      <w:r>
        <w:rPr>
          <w:sz w:val="1"/>
          <w:szCs w:val="1"/>
          <w:color w:val="auto"/>
        </w:rPr>
        <w:drawing>
          <wp:inline distT="0" distB="0" distL="0" distR="0">
            <wp:extent cx="43180" cy="4318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43180"/>
                    </a:xfrm>
                    <a:prstGeom prst="rect">
                      <a:avLst/>
                    </a:prstGeom>
                    <a:noFill/>
                    <a:ln>
                      <a:noFill/>
                    </a:ln>
                  </pic:spPr>
                </pic:pic>
              </a:graphicData>
            </a:graphic>
          </wp:inline>
        </w:drawing>
      </w:r>
      <w:r>
        <w:rPr>
          <w:rFonts w:ascii="Arial" w:cs="Arial" w:eastAsia="Arial" w:hAnsi="Arial"/>
          <w:sz w:val="16"/>
          <w:szCs w:val="16"/>
          <w:color w:val="auto"/>
        </w:rPr>
        <w:t xml:space="preserve"> Provide unreasonably long terms for options</w:t>
      </w:r>
    </w:p>
    <w:p>
      <w:pPr>
        <w:spacing w:after="0" w:line="1366" w:lineRule="exact"/>
        <w:rPr>
          <w:sz w:val="20"/>
          <w:szCs w:val="20"/>
          <w:color w:val="auto"/>
        </w:rPr>
      </w:pPr>
    </w:p>
    <w:p>
      <w:pPr>
        <w:sectPr>
          <w:pgSz w:w="11900" w:h="16838" w:orient="portrait"/>
          <w:cols w:equalWidth="0" w:num="2">
            <w:col w:w="5560" w:space="160"/>
            <w:col w:w="5520"/>
          </w:cols>
          <w:pgMar w:left="320" w:top="125" w:right="339" w:bottom="1440" w:gutter="0" w:footer="0" w:header="0"/>
          <w:type w:val="continuous"/>
        </w:sectPr>
      </w:pPr>
    </w:p>
    <w:p>
      <w:pPr>
        <w:spacing w:after="0" w:line="85"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Design and Structure of Executive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Our Business and Our Compensation Philosophy</w:t>
      </w:r>
    </w:p>
    <w:p>
      <w:pPr>
        <w:spacing w:after="0" w:line="12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Civeo’s philosophy regarding its executive compensation programs for NEOs is to provide a comprehensive and competitive total compensation program with the following objectives: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attract, motivate, reward and retain</w:t>
            </w:r>
          </w:p>
        </w:tc>
        <w:tc>
          <w:tcPr>
            <w:tcW w:w="200" w:type="dxa"/>
            <w:vAlign w:val="bottom"/>
          </w:tcPr>
          <w:p>
            <w:pPr>
              <w:spacing w:after="0"/>
              <w:rPr>
                <w:sz w:val="24"/>
                <w:szCs w:val="24"/>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reinforce the linkage</w:t>
            </w:r>
          </w:p>
        </w:tc>
        <w:tc>
          <w:tcPr>
            <w:tcW w:w="200" w:type="dxa"/>
            <w:vAlign w:val="bottom"/>
          </w:tcPr>
          <w:p>
            <w:pPr>
              <w:spacing w:after="0"/>
              <w:rPr>
                <w:sz w:val="24"/>
                <w:szCs w:val="24"/>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align the interests of</w:t>
            </w:r>
          </w:p>
        </w:tc>
        <w:tc>
          <w:tcPr>
            <w:tcW w:w="200" w:type="dxa"/>
            <w:vAlign w:val="bottom"/>
          </w:tcPr>
          <w:p>
            <w:pPr>
              <w:spacing w:after="0"/>
              <w:rPr>
                <w:sz w:val="24"/>
                <w:szCs w:val="24"/>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To ensure compensation does not</w:t>
            </w:r>
          </w:p>
        </w:tc>
      </w:tr>
      <w:tr>
        <w:trPr>
          <w:trHeight w:val="203"/>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executives with the experience and talent to</w:t>
            </w:r>
          </w:p>
        </w:tc>
        <w:tc>
          <w:tcPr>
            <w:tcW w:w="200" w:type="dxa"/>
            <w:vAlign w:val="bottom"/>
          </w:tcPr>
          <w:p>
            <w:pPr>
              <w:spacing w:after="0"/>
              <w:rPr>
                <w:sz w:val="17"/>
                <w:szCs w:val="17"/>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between individual</w:t>
            </w:r>
          </w:p>
        </w:tc>
        <w:tc>
          <w:tcPr>
            <w:tcW w:w="200" w:type="dxa"/>
            <w:vAlign w:val="bottom"/>
          </w:tcPr>
          <w:p>
            <w:pPr>
              <w:spacing w:after="0"/>
              <w:rPr>
                <w:sz w:val="17"/>
                <w:szCs w:val="17"/>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executives with the long-</w:t>
            </w:r>
          </w:p>
        </w:tc>
        <w:tc>
          <w:tcPr>
            <w:tcW w:w="200" w:type="dxa"/>
            <w:vAlign w:val="bottom"/>
          </w:tcPr>
          <w:p>
            <w:pPr>
              <w:spacing w:after="0"/>
              <w:rPr>
                <w:sz w:val="17"/>
                <w:szCs w:val="17"/>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promote overly conservative</w:t>
            </w:r>
          </w:p>
        </w:tc>
      </w:tr>
      <w:tr>
        <w:trPr>
          <w:trHeight w:val="189"/>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achieve our short-term goals and objectives and</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performance of executives</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term interests of our</w:t>
            </w:r>
          </w:p>
        </w:tc>
        <w:tc>
          <w:tcPr>
            <w:tcW w:w="200" w:type="dxa"/>
            <w:vAlign w:val="bottom"/>
          </w:tcPr>
          <w:p>
            <w:pPr>
              <w:spacing w:after="0"/>
              <w:rPr>
                <w:sz w:val="16"/>
                <w:szCs w:val="16"/>
                <w:color w:val="auto"/>
              </w:rPr>
            </w:pPr>
          </w:p>
        </w:tc>
        <w:tc>
          <w:tcPr>
            <w:tcW w:w="266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actions nor excessive risk taking</w:t>
            </w:r>
          </w:p>
        </w:tc>
      </w:tr>
      <w:tr>
        <w:trPr>
          <w:trHeight w:val="189"/>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successfully execute our longer-term strategic</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and business results</w:t>
            </w:r>
          </w:p>
        </w:tc>
        <w:tc>
          <w:tcPr>
            <w:tcW w:w="200" w:type="dxa"/>
            <w:vAlign w:val="bottom"/>
          </w:tcPr>
          <w:p>
            <w:pPr>
              <w:spacing w:after="0"/>
              <w:rPr>
                <w:sz w:val="16"/>
                <w:szCs w:val="16"/>
                <w:color w:val="auto"/>
              </w:rPr>
            </w:pPr>
          </w:p>
        </w:tc>
        <w:tc>
          <w:tcPr>
            <w:tcW w:w="214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shareholders</w:t>
            </w:r>
          </w:p>
        </w:tc>
        <w:tc>
          <w:tcPr>
            <w:tcW w:w="200" w:type="dxa"/>
            <w:vAlign w:val="bottom"/>
          </w:tcPr>
          <w:p>
            <w:pPr>
              <w:spacing w:after="0"/>
              <w:rPr>
                <w:sz w:val="16"/>
                <w:szCs w:val="16"/>
                <w:color w:val="auto"/>
              </w:rPr>
            </w:pPr>
          </w:p>
        </w:tc>
        <w:tc>
          <w:tcPr>
            <w:tcW w:w="2660" w:type="dxa"/>
            <w:vAlign w:val="bottom"/>
            <w:shd w:val="clear" w:color="auto" w:fill="E8EEF7"/>
          </w:tcPr>
          <w:p>
            <w:pPr>
              <w:spacing w:after="0"/>
              <w:rPr>
                <w:sz w:val="16"/>
                <w:szCs w:val="16"/>
                <w:color w:val="auto"/>
              </w:rPr>
            </w:pPr>
          </w:p>
        </w:tc>
      </w:tr>
      <w:tr>
        <w:trPr>
          <w:trHeight w:val="215"/>
        </w:trPr>
        <w:tc>
          <w:tcPr>
            <w:tcW w:w="37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plans</w:t>
            </w:r>
          </w:p>
        </w:tc>
        <w:tc>
          <w:tcPr>
            <w:tcW w:w="200" w:type="dxa"/>
            <w:vAlign w:val="bottom"/>
          </w:tcPr>
          <w:p>
            <w:pPr>
              <w:spacing w:after="0"/>
              <w:rPr>
                <w:sz w:val="18"/>
                <w:szCs w:val="18"/>
                <w:color w:val="auto"/>
              </w:rPr>
            </w:pPr>
          </w:p>
        </w:tc>
        <w:tc>
          <w:tcPr>
            <w:tcW w:w="214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shd w:val="clear" w:color="auto" w:fill="E8EEF7"/>
          </w:tcPr>
          <w:p>
            <w:pPr>
              <w:spacing w:after="0"/>
              <w:rPr>
                <w:sz w:val="18"/>
                <w:szCs w:val="18"/>
                <w:color w:val="auto"/>
              </w:rPr>
            </w:pPr>
          </w:p>
        </w:tc>
      </w:tr>
      <w:tr>
        <w:trPr>
          <w:trHeight w:val="137"/>
        </w:trPr>
        <w:tc>
          <w:tcPr>
            <w:tcW w:w="370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140" w:type="dxa"/>
            <w:vAlign w:val="bottom"/>
            <w:shd w:val="clear" w:color="auto" w:fill="E8EEF7"/>
          </w:tcPr>
          <w:p>
            <w:pPr>
              <w:spacing w:after="0"/>
              <w:rPr>
                <w:sz w:val="11"/>
                <w:szCs w:val="11"/>
                <w:color w:val="auto"/>
              </w:rPr>
            </w:pPr>
          </w:p>
        </w:tc>
        <w:tc>
          <w:tcPr>
            <w:tcW w:w="200" w:type="dxa"/>
            <w:vAlign w:val="bottom"/>
          </w:tcPr>
          <w:p>
            <w:pPr>
              <w:spacing w:after="0"/>
              <w:rPr>
                <w:sz w:val="11"/>
                <w:szCs w:val="11"/>
                <w:color w:val="auto"/>
              </w:rPr>
            </w:pPr>
          </w:p>
        </w:tc>
        <w:tc>
          <w:tcPr>
            <w:tcW w:w="2660" w:type="dxa"/>
            <w:vAlign w:val="bottom"/>
            <w:shd w:val="clear" w:color="auto" w:fill="E8EEF7"/>
          </w:tcPr>
          <w:p>
            <w:pPr>
              <w:spacing w:after="0"/>
              <w:rPr>
                <w:sz w:val="11"/>
                <w:szCs w:val="11"/>
                <w:color w:val="auto"/>
              </w:rPr>
            </w:pPr>
          </w:p>
        </w:tc>
      </w:tr>
    </w:tbl>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593090</wp:posOffset>
            </wp:positionV>
            <wp:extent cx="394335" cy="1968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Peer Group and Benchmarking</w:t>
      </w:r>
    </w:p>
    <w:p>
      <w:pPr>
        <w:spacing w:after="0" w:line="12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Compensation Committee engages Mercer as its independent compensation consultant, which uses a peer group of companies with similar customers and activity drivers to Civeo to benchmark executive compensation. The peer group includes companies in the oil and gas, mining and other natural resource industries. These peers typically will be exposed to the cyclical nature of the natural resources market that impacts Civeo’s business and financial results.</w:t>
      </w:r>
    </w:p>
    <w:p>
      <w:pPr>
        <w:spacing w:after="0" w:line="39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primary review and selection criteria for the peer group includes the following: revenue size, market value, enterprise value, number of employees, business/operational characteristics and geographic footprint. The graphic below summarizes the 2023 peer group based on certain of these metrics as of December 31, 2023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5966460" cy="29571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6460" cy="2957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PEER GROUP</w:t>
      </w:r>
    </w:p>
    <w:p>
      <w:pPr>
        <w:spacing w:after="0" w:line="113" w:lineRule="exact"/>
        <w:rPr>
          <w:sz w:val="20"/>
          <w:szCs w:val="20"/>
          <w:color w:val="auto"/>
        </w:rPr>
      </w:pPr>
    </w:p>
    <w:p>
      <w:pPr>
        <w:jc w:val="both"/>
        <w:ind w:right="100"/>
        <w:spacing w:after="0" w:line="271" w:lineRule="auto"/>
        <w:rPr>
          <w:sz w:val="20"/>
          <w:szCs w:val="20"/>
          <w:color w:val="auto"/>
        </w:rPr>
      </w:pPr>
      <w:r>
        <w:rPr>
          <w:rFonts w:ascii="Arial" w:cs="Arial" w:eastAsia="Arial" w:hAnsi="Arial"/>
          <w:sz w:val="16"/>
          <w:szCs w:val="16"/>
          <w:color w:val="auto"/>
        </w:rPr>
        <w:t>In late 2022, Mercer reviewed Civeo’s peer group of companies used for benchmarking purposes and to assess the ongoing competitiveness and suitability of Civeo’s compensation programs and practices. Following that review, Mercer recommended that the current peer group remain unchanged for 2023 with the exception of the removal of Exterran Corporation, as it was acquired by Enerflex Ltd. The Compensation Committee approved the recommendation and used the following peer group for compensation evaluation purposes for 2023.</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760" w:type="dxa"/>
            <w:vAlign w:val="bottom"/>
          </w:tcPr>
          <w:p>
            <w:pPr>
              <w:spacing w:after="0"/>
              <w:rPr>
                <w:sz w:val="20"/>
                <w:szCs w:val="20"/>
                <w:color w:val="auto"/>
              </w:rPr>
            </w:pPr>
            <w:r>
              <w:rPr>
                <w:rFonts w:ascii="Arial" w:cs="Arial" w:eastAsia="Arial" w:hAnsi="Arial"/>
                <w:sz w:val="16"/>
                <w:szCs w:val="16"/>
                <w:b w:val="1"/>
                <w:bCs w:val="1"/>
                <w:color w:val="auto"/>
              </w:rPr>
              <w:t>2023/</w:t>
            </w:r>
          </w:p>
        </w:tc>
        <w:tc>
          <w:tcPr>
            <w:tcW w:w="3160" w:type="dxa"/>
            <w:vAlign w:val="bottom"/>
            <w:vMerge w:val="restart"/>
            <w:shd w:val="clear" w:color="auto" w:fill="E8EEF7"/>
          </w:tcPr>
          <w:p>
            <w:pPr>
              <w:ind w:left="140"/>
              <w:spacing w:after="0"/>
              <w:rPr>
                <w:sz w:val="20"/>
                <w:szCs w:val="20"/>
                <w:color w:val="auto"/>
              </w:rPr>
            </w:pPr>
            <w:r>
              <w:rPr>
                <w:rFonts w:ascii="Arial" w:cs="Arial" w:eastAsia="Arial" w:hAnsi="Arial"/>
                <w:sz w:val="16"/>
                <w:szCs w:val="16"/>
                <w:color w:val="auto"/>
              </w:rPr>
              <w:t>Badger Infrastructure Solutions Ltd.</w:t>
            </w:r>
          </w:p>
        </w:tc>
        <w:tc>
          <w:tcPr>
            <w:tcW w:w="3740" w:type="dxa"/>
            <w:vAlign w:val="bottom"/>
            <w:vMerge w:val="restart"/>
            <w:shd w:val="clear" w:color="auto" w:fill="E8EEF7"/>
          </w:tcPr>
          <w:p>
            <w:pPr>
              <w:ind w:left="480"/>
              <w:spacing w:after="0"/>
              <w:rPr>
                <w:sz w:val="20"/>
                <w:szCs w:val="20"/>
                <w:color w:val="auto"/>
              </w:rPr>
            </w:pPr>
            <w:r>
              <w:rPr>
                <w:rFonts w:ascii="Arial" w:cs="Arial" w:eastAsia="Arial" w:hAnsi="Arial"/>
                <w:sz w:val="16"/>
                <w:szCs w:val="16"/>
                <w:color w:val="auto"/>
              </w:rPr>
              <w:t>McGrath RentCorp</w:t>
            </w:r>
          </w:p>
        </w:tc>
        <w:tc>
          <w:tcPr>
            <w:tcW w:w="3500" w:type="dxa"/>
            <w:vAlign w:val="bottom"/>
            <w:vMerge w:val="restart"/>
            <w:shd w:val="clear" w:color="auto" w:fill="E8EEF7"/>
          </w:tcPr>
          <w:p>
            <w:pPr>
              <w:ind w:left="360"/>
              <w:spacing w:after="0"/>
              <w:rPr>
                <w:sz w:val="20"/>
                <w:szCs w:val="20"/>
                <w:color w:val="auto"/>
              </w:rPr>
            </w:pPr>
            <w:r>
              <w:rPr>
                <w:rFonts w:ascii="Arial" w:cs="Arial" w:eastAsia="Arial" w:hAnsi="Arial"/>
                <w:sz w:val="16"/>
                <w:szCs w:val="16"/>
                <w:color w:val="auto"/>
              </w:rPr>
              <w:t>Precision Drilling Corporation</w:t>
            </w:r>
          </w:p>
        </w:tc>
        <w:tc>
          <w:tcPr>
            <w:tcW w:w="0" w:type="dxa"/>
            <w:vAlign w:val="bottom"/>
          </w:tcPr>
          <w:p>
            <w:pPr>
              <w:spacing w:after="0"/>
              <w:rPr>
                <w:sz w:val="1"/>
                <w:szCs w:val="1"/>
                <w:color w:val="auto"/>
              </w:rPr>
            </w:pPr>
          </w:p>
        </w:tc>
      </w:tr>
      <w:tr>
        <w:trPr>
          <w:trHeight w:val="93"/>
        </w:trPr>
        <w:tc>
          <w:tcPr>
            <w:tcW w:w="760" w:type="dxa"/>
            <w:vAlign w:val="bottom"/>
            <w:vMerge w:val="restart"/>
          </w:tcPr>
          <w:p>
            <w:pPr>
              <w:spacing w:after="0"/>
              <w:rPr>
                <w:sz w:val="20"/>
                <w:szCs w:val="20"/>
                <w:color w:val="auto"/>
              </w:rPr>
            </w:pPr>
            <w:r>
              <w:rPr>
                <w:rFonts w:ascii="Arial" w:cs="Arial" w:eastAsia="Arial" w:hAnsi="Arial"/>
                <w:sz w:val="16"/>
                <w:szCs w:val="16"/>
                <w:b w:val="1"/>
                <w:bCs w:val="1"/>
                <w:color w:val="auto"/>
              </w:rPr>
              <w:t>2024</w:t>
            </w:r>
          </w:p>
        </w:tc>
        <w:tc>
          <w:tcPr>
            <w:tcW w:w="3160" w:type="dxa"/>
            <w:vAlign w:val="bottom"/>
            <w:vMerge w:val="continue"/>
            <w:shd w:val="clear" w:color="auto" w:fill="E8EEF7"/>
          </w:tcPr>
          <w:p>
            <w:pPr>
              <w:spacing w:after="0"/>
              <w:rPr>
                <w:sz w:val="8"/>
                <w:szCs w:val="8"/>
                <w:color w:val="auto"/>
              </w:rPr>
            </w:pPr>
          </w:p>
        </w:tc>
        <w:tc>
          <w:tcPr>
            <w:tcW w:w="3740" w:type="dxa"/>
            <w:vAlign w:val="bottom"/>
            <w:vMerge w:val="continue"/>
            <w:shd w:val="clear" w:color="auto" w:fill="E8EEF7"/>
          </w:tcPr>
          <w:p>
            <w:pPr>
              <w:spacing w:after="0"/>
              <w:rPr>
                <w:sz w:val="8"/>
                <w:szCs w:val="8"/>
                <w:color w:val="auto"/>
              </w:rPr>
            </w:pPr>
          </w:p>
        </w:tc>
        <w:tc>
          <w:tcPr>
            <w:tcW w:w="3500" w:type="dxa"/>
            <w:vAlign w:val="bottom"/>
            <w:vMerge w:val="continue"/>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760" w:type="dxa"/>
            <w:vAlign w:val="bottom"/>
            <w:vMerge w:val="continue"/>
          </w:tcPr>
          <w:p>
            <w:pPr>
              <w:spacing w:after="0"/>
              <w:rPr>
                <w:sz w:val="11"/>
                <w:szCs w:val="11"/>
                <w:color w:val="auto"/>
              </w:rPr>
            </w:pPr>
          </w:p>
        </w:tc>
        <w:tc>
          <w:tcPr>
            <w:tcW w:w="3160" w:type="dxa"/>
            <w:vAlign w:val="bottom"/>
            <w:vMerge w:val="restart"/>
            <w:shd w:val="clear" w:color="auto" w:fill="E8EEF7"/>
          </w:tcPr>
          <w:p>
            <w:pPr>
              <w:ind w:left="140"/>
              <w:spacing w:after="0"/>
              <w:rPr>
                <w:sz w:val="20"/>
                <w:szCs w:val="20"/>
                <w:color w:val="auto"/>
              </w:rPr>
            </w:pPr>
            <w:r>
              <w:rPr>
                <w:rFonts w:ascii="Arial" w:cs="Arial" w:eastAsia="Arial" w:hAnsi="Arial"/>
                <w:sz w:val="16"/>
                <w:szCs w:val="16"/>
                <w:color w:val="auto"/>
              </w:rPr>
              <w:t>Black Diamond Group Limited</w:t>
            </w:r>
          </w:p>
        </w:tc>
        <w:tc>
          <w:tcPr>
            <w:tcW w:w="3740" w:type="dxa"/>
            <w:vAlign w:val="bottom"/>
            <w:vMerge w:val="restart"/>
            <w:shd w:val="clear" w:color="auto" w:fill="E8EEF7"/>
          </w:tcPr>
          <w:p>
            <w:pPr>
              <w:ind w:left="480"/>
              <w:spacing w:after="0"/>
              <w:rPr>
                <w:sz w:val="20"/>
                <w:szCs w:val="20"/>
                <w:color w:val="auto"/>
              </w:rPr>
            </w:pPr>
            <w:r>
              <w:rPr>
                <w:rFonts w:ascii="Arial" w:cs="Arial" w:eastAsia="Arial" w:hAnsi="Arial"/>
                <w:sz w:val="16"/>
                <w:szCs w:val="16"/>
                <w:color w:val="auto"/>
              </w:rPr>
              <w:t>Newpark Resources, Inc.</w:t>
            </w:r>
          </w:p>
        </w:tc>
        <w:tc>
          <w:tcPr>
            <w:tcW w:w="3500" w:type="dxa"/>
            <w:vAlign w:val="bottom"/>
            <w:vMerge w:val="restart"/>
            <w:shd w:val="clear" w:color="auto" w:fill="E8EEF7"/>
          </w:tcPr>
          <w:p>
            <w:pPr>
              <w:ind w:left="360"/>
              <w:spacing w:after="0"/>
              <w:rPr>
                <w:sz w:val="20"/>
                <w:szCs w:val="20"/>
                <w:color w:val="auto"/>
              </w:rPr>
            </w:pPr>
            <w:r>
              <w:rPr>
                <w:rFonts w:ascii="Arial" w:cs="Arial" w:eastAsia="Arial" w:hAnsi="Arial"/>
                <w:sz w:val="16"/>
                <w:szCs w:val="16"/>
                <w:color w:val="auto"/>
              </w:rPr>
              <w:t>Select Water Solutions, Inc.</w:t>
            </w: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3160" w:type="dxa"/>
            <w:vAlign w:val="bottom"/>
            <w:vMerge w:val="continue"/>
            <w:shd w:val="clear" w:color="auto" w:fill="E8EEF7"/>
          </w:tcPr>
          <w:p>
            <w:pPr>
              <w:spacing w:after="0"/>
              <w:rPr>
                <w:sz w:val="12"/>
                <w:szCs w:val="12"/>
                <w:color w:val="auto"/>
              </w:rPr>
            </w:pPr>
          </w:p>
        </w:tc>
        <w:tc>
          <w:tcPr>
            <w:tcW w:w="3740" w:type="dxa"/>
            <w:vAlign w:val="bottom"/>
            <w:vMerge w:val="continue"/>
            <w:shd w:val="clear" w:color="auto" w:fill="E8EEF7"/>
          </w:tcPr>
          <w:p>
            <w:pPr>
              <w:spacing w:after="0"/>
              <w:rPr>
                <w:sz w:val="12"/>
                <w:szCs w:val="12"/>
                <w:color w:val="auto"/>
              </w:rPr>
            </w:pPr>
          </w:p>
        </w:tc>
        <w:tc>
          <w:tcPr>
            <w:tcW w:w="3500" w:type="dxa"/>
            <w:vAlign w:val="bottom"/>
            <w:vMerge w:val="continue"/>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3160" w:type="dxa"/>
            <w:vAlign w:val="bottom"/>
            <w:shd w:val="clear" w:color="auto" w:fill="E8EEF7"/>
          </w:tcPr>
          <w:p>
            <w:pPr>
              <w:ind w:left="140"/>
              <w:spacing w:after="0"/>
              <w:rPr>
                <w:sz w:val="20"/>
                <w:szCs w:val="20"/>
                <w:color w:val="auto"/>
              </w:rPr>
            </w:pPr>
            <w:r>
              <w:rPr>
                <w:rFonts w:ascii="Arial" w:cs="Arial" w:eastAsia="Arial" w:hAnsi="Arial"/>
                <w:sz w:val="16"/>
                <w:szCs w:val="16"/>
                <w:color w:val="auto"/>
              </w:rPr>
              <w:t>Dexterra Group Inc.</w:t>
            </w:r>
          </w:p>
        </w:tc>
        <w:tc>
          <w:tcPr>
            <w:tcW w:w="3740" w:type="dxa"/>
            <w:vAlign w:val="bottom"/>
            <w:shd w:val="clear" w:color="auto" w:fill="E8EEF7"/>
          </w:tcPr>
          <w:p>
            <w:pPr>
              <w:ind w:left="480"/>
              <w:spacing w:after="0"/>
              <w:rPr>
                <w:sz w:val="20"/>
                <w:szCs w:val="20"/>
                <w:color w:val="auto"/>
              </w:rPr>
            </w:pPr>
            <w:r>
              <w:rPr>
                <w:rFonts w:ascii="Arial" w:cs="Arial" w:eastAsia="Arial" w:hAnsi="Arial"/>
                <w:sz w:val="16"/>
                <w:szCs w:val="16"/>
                <w:color w:val="auto"/>
              </w:rPr>
              <w:t>Nine Energy Service, Inc.</w:t>
            </w:r>
          </w:p>
        </w:tc>
        <w:tc>
          <w:tcPr>
            <w:tcW w:w="3500" w:type="dxa"/>
            <w:vAlign w:val="bottom"/>
            <w:shd w:val="clear" w:color="auto" w:fill="E8EEF7"/>
          </w:tcPr>
          <w:p>
            <w:pPr>
              <w:ind w:left="360"/>
              <w:spacing w:after="0"/>
              <w:rPr>
                <w:sz w:val="20"/>
                <w:szCs w:val="20"/>
                <w:color w:val="auto"/>
              </w:rPr>
            </w:pPr>
            <w:r>
              <w:rPr>
                <w:rFonts w:ascii="Arial" w:cs="Arial" w:eastAsia="Arial" w:hAnsi="Arial"/>
                <w:sz w:val="16"/>
                <w:szCs w:val="16"/>
                <w:color w:val="auto"/>
              </w:rPr>
              <w:t>Target Hospitality Corp.</w:t>
            </w:r>
          </w:p>
        </w:tc>
        <w:tc>
          <w:tcPr>
            <w:tcW w:w="0" w:type="dxa"/>
            <w:vAlign w:val="bottom"/>
          </w:tcPr>
          <w:p>
            <w:pPr>
              <w:spacing w:after="0"/>
              <w:rPr>
                <w:sz w:val="1"/>
                <w:szCs w:val="1"/>
                <w:color w:val="auto"/>
              </w:rPr>
            </w:pPr>
          </w:p>
        </w:tc>
      </w:tr>
      <w:tr>
        <w:trPr>
          <w:trHeight w:val="310"/>
        </w:trPr>
        <w:tc>
          <w:tcPr>
            <w:tcW w:w="760" w:type="dxa"/>
            <w:vAlign w:val="bottom"/>
          </w:tcPr>
          <w:p>
            <w:pPr>
              <w:spacing w:after="0"/>
              <w:rPr>
                <w:sz w:val="24"/>
                <w:szCs w:val="24"/>
                <w:color w:val="auto"/>
              </w:rPr>
            </w:pPr>
          </w:p>
        </w:tc>
        <w:tc>
          <w:tcPr>
            <w:tcW w:w="3160" w:type="dxa"/>
            <w:vAlign w:val="bottom"/>
            <w:shd w:val="clear" w:color="auto" w:fill="E8EEF7"/>
          </w:tcPr>
          <w:p>
            <w:pPr>
              <w:ind w:left="140"/>
              <w:spacing w:after="0"/>
              <w:rPr>
                <w:sz w:val="20"/>
                <w:szCs w:val="20"/>
                <w:color w:val="auto"/>
              </w:rPr>
            </w:pPr>
            <w:r>
              <w:rPr>
                <w:rFonts w:ascii="Arial" w:cs="Arial" w:eastAsia="Arial" w:hAnsi="Arial"/>
                <w:sz w:val="16"/>
                <w:szCs w:val="16"/>
                <w:color w:val="auto"/>
              </w:rPr>
              <w:t>Enerflex Ltd.</w:t>
            </w:r>
          </w:p>
        </w:tc>
        <w:tc>
          <w:tcPr>
            <w:tcW w:w="3740" w:type="dxa"/>
            <w:vAlign w:val="bottom"/>
            <w:shd w:val="clear" w:color="auto" w:fill="E8EEF7"/>
          </w:tcPr>
          <w:p>
            <w:pPr>
              <w:ind w:left="480"/>
              <w:spacing w:after="0"/>
              <w:rPr>
                <w:sz w:val="20"/>
                <w:szCs w:val="20"/>
                <w:color w:val="auto"/>
              </w:rPr>
            </w:pPr>
            <w:r>
              <w:rPr>
                <w:rFonts w:ascii="Arial" w:cs="Arial" w:eastAsia="Arial" w:hAnsi="Arial"/>
                <w:sz w:val="16"/>
                <w:szCs w:val="16"/>
                <w:color w:val="auto"/>
              </w:rPr>
              <w:t>North American Construction Group Ltd.</w:t>
            </w:r>
          </w:p>
        </w:tc>
        <w:tc>
          <w:tcPr>
            <w:tcW w:w="3500" w:type="dxa"/>
            <w:vAlign w:val="bottom"/>
            <w:shd w:val="clear" w:color="auto" w:fill="E8EEF7"/>
          </w:tcPr>
          <w:p>
            <w:pPr>
              <w:ind w:left="360"/>
              <w:spacing w:after="0"/>
              <w:rPr>
                <w:sz w:val="20"/>
                <w:szCs w:val="20"/>
                <w:color w:val="auto"/>
              </w:rPr>
            </w:pPr>
            <w:r>
              <w:rPr>
                <w:rFonts w:ascii="Arial" w:cs="Arial" w:eastAsia="Arial" w:hAnsi="Arial"/>
                <w:sz w:val="16"/>
                <w:szCs w:val="16"/>
                <w:color w:val="auto"/>
              </w:rPr>
              <w:t>TETRA Technologies, Inc.</w:t>
            </w: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3160" w:type="dxa"/>
            <w:vAlign w:val="bottom"/>
            <w:shd w:val="clear" w:color="auto" w:fill="E8EEF7"/>
          </w:tcPr>
          <w:p>
            <w:pPr>
              <w:ind w:left="140"/>
              <w:spacing w:after="0"/>
              <w:rPr>
                <w:sz w:val="20"/>
                <w:szCs w:val="20"/>
                <w:color w:val="auto"/>
              </w:rPr>
            </w:pPr>
            <w:r>
              <w:rPr>
                <w:rFonts w:ascii="Arial" w:cs="Arial" w:eastAsia="Arial" w:hAnsi="Arial"/>
                <w:sz w:val="16"/>
                <w:szCs w:val="16"/>
                <w:color w:val="auto"/>
              </w:rPr>
              <w:t>Forum Energy Technologies, Inc.</w:t>
            </w:r>
          </w:p>
        </w:tc>
        <w:tc>
          <w:tcPr>
            <w:tcW w:w="3740" w:type="dxa"/>
            <w:vAlign w:val="bottom"/>
            <w:shd w:val="clear" w:color="auto" w:fill="E8EEF7"/>
          </w:tcPr>
          <w:p>
            <w:pPr>
              <w:ind w:left="480"/>
              <w:spacing w:after="0"/>
              <w:rPr>
                <w:sz w:val="20"/>
                <w:szCs w:val="20"/>
                <w:color w:val="auto"/>
              </w:rPr>
            </w:pPr>
            <w:r>
              <w:rPr>
                <w:rFonts w:ascii="Arial" w:cs="Arial" w:eastAsia="Arial" w:hAnsi="Arial"/>
                <w:sz w:val="16"/>
                <w:szCs w:val="16"/>
                <w:color w:val="auto"/>
              </w:rPr>
              <w:t>Oil States International, Inc.</w:t>
            </w:r>
          </w:p>
        </w:tc>
        <w:tc>
          <w:tcPr>
            <w:tcW w:w="3500" w:type="dxa"/>
            <w:vAlign w:val="bottom"/>
            <w:shd w:val="clear" w:color="auto" w:fill="E8EEF7"/>
          </w:tcPr>
          <w:p>
            <w:pPr>
              <w:ind w:left="360"/>
              <w:spacing w:after="0"/>
              <w:rPr>
                <w:sz w:val="20"/>
                <w:szCs w:val="20"/>
                <w:color w:val="auto"/>
              </w:rPr>
            </w:pPr>
            <w:r>
              <w:rPr>
                <w:rFonts w:ascii="Arial" w:cs="Arial" w:eastAsia="Arial" w:hAnsi="Arial"/>
                <w:sz w:val="16"/>
                <w:szCs w:val="16"/>
                <w:color w:val="auto"/>
              </w:rPr>
              <w:t>Total Energy Services Inc.</w:t>
            </w: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3160" w:type="dxa"/>
            <w:vAlign w:val="bottom"/>
            <w:shd w:val="clear" w:color="auto" w:fill="E8EEF7"/>
          </w:tcPr>
          <w:p>
            <w:pPr>
              <w:ind w:left="140"/>
              <w:spacing w:after="0"/>
              <w:rPr>
                <w:sz w:val="20"/>
                <w:szCs w:val="20"/>
                <w:color w:val="auto"/>
              </w:rPr>
            </w:pPr>
            <w:r>
              <w:rPr>
                <w:rFonts w:ascii="Arial" w:cs="Arial" w:eastAsia="Arial" w:hAnsi="Arial"/>
                <w:sz w:val="16"/>
                <w:szCs w:val="16"/>
                <w:color w:val="auto"/>
              </w:rPr>
              <w:t>Matrix Service Company</w:t>
            </w:r>
          </w:p>
        </w:tc>
        <w:tc>
          <w:tcPr>
            <w:tcW w:w="3740" w:type="dxa"/>
            <w:vAlign w:val="bottom"/>
            <w:shd w:val="clear" w:color="auto" w:fill="E8EEF7"/>
          </w:tcPr>
          <w:p>
            <w:pPr>
              <w:spacing w:after="0"/>
              <w:rPr>
                <w:sz w:val="23"/>
                <w:szCs w:val="23"/>
                <w:color w:val="auto"/>
              </w:rPr>
            </w:pPr>
          </w:p>
        </w:tc>
        <w:tc>
          <w:tcPr>
            <w:tcW w:w="3500" w:type="dxa"/>
            <w:vAlign w:val="bottom"/>
            <w:shd w:val="clear" w:color="auto" w:fill="E8EEF7"/>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3160" w:type="dxa"/>
            <w:vAlign w:val="bottom"/>
            <w:shd w:val="clear" w:color="auto" w:fill="E8EEF7"/>
          </w:tcPr>
          <w:p>
            <w:pPr>
              <w:spacing w:after="0"/>
              <w:rPr>
                <w:sz w:val="18"/>
                <w:szCs w:val="18"/>
                <w:color w:val="auto"/>
              </w:rPr>
            </w:pPr>
          </w:p>
        </w:tc>
        <w:tc>
          <w:tcPr>
            <w:tcW w:w="3740" w:type="dxa"/>
            <w:vAlign w:val="bottom"/>
            <w:shd w:val="clear" w:color="auto" w:fill="E8EEF7"/>
          </w:tcPr>
          <w:p>
            <w:pPr>
              <w:spacing w:after="0"/>
              <w:rPr>
                <w:sz w:val="18"/>
                <w:szCs w:val="18"/>
                <w:color w:val="auto"/>
              </w:rPr>
            </w:pPr>
          </w:p>
        </w:tc>
        <w:tc>
          <w:tcPr>
            <w:tcW w:w="3500" w:type="dxa"/>
            <w:vAlign w:val="bottom"/>
            <w:shd w:val="clear" w:color="auto" w:fill="E8EEF7"/>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2024 Peer Group</w:t>
      </w:r>
    </w:p>
    <w:p>
      <w:pPr>
        <w:spacing w:after="0" w:line="12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late 2023, Mercer reviewed Civeo’s peer group of companies used for benchmarking purposes and to assess the ongoing competitiveness and suitability of Civeo’s compensation programs and practices. Following that review, Mercer recommended that the current peer group remain unchanged for 2024, as the screening process did not identify any existing peers that should be removed or additions that should be considered. The Compensation Committee approved the recommendation to keep the current peer group to be used by the Compensation Committee for compensation evaluation purposes for 2024.</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Compensation and Risk Management</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Civeo’s compensation programs have been designed to (i) promote financial, operational and organizational growth, while giving due consideration to broader enterprise risk management issues and (ii) maintain a balance between short and long-term incentive compensation, company growth, shareholder returns and risk. The Compensation Committee, in its sole discretion, retains full authority to adjust any aspect of Civeo’s compensation programs.</w:t>
      </w:r>
    </w:p>
    <w:p>
      <w:pPr>
        <w:spacing w:after="0" w:line="56" w:lineRule="exact"/>
        <w:rPr>
          <w:sz w:val="20"/>
          <w:szCs w:val="20"/>
          <w:color w:val="auto"/>
        </w:rPr>
      </w:pPr>
    </w:p>
    <w:p>
      <w:pPr>
        <w:jc w:val="both"/>
        <w:ind w:right="400"/>
        <w:spacing w:after="0" w:line="275" w:lineRule="auto"/>
        <w:rPr>
          <w:sz w:val="20"/>
          <w:szCs w:val="20"/>
          <w:color w:val="auto"/>
        </w:rPr>
      </w:pPr>
      <w:r>
        <w:rPr>
          <w:rFonts w:ascii="Arial" w:cs="Arial" w:eastAsia="Arial" w:hAnsi="Arial"/>
          <w:sz w:val="16"/>
          <w:szCs w:val="16"/>
          <w:color w:val="auto"/>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spacing w:after="0" w:line="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compensation philosophy and culture support the use of base salary, certain performance-based compensation plans and benefit programs that are generally consistent in design and operation with those of our peer companies in the markets where we operate. These compensation policies and practices are centrally designed and administered by the Compensation Committee. The following specific factors, in particular, reduce the likelihood of excessive risk-taking:</w:t>
      </w:r>
    </w:p>
    <w:p>
      <w:pPr>
        <w:spacing w:after="0" w:line="78" w:lineRule="exact"/>
        <w:rPr>
          <w:sz w:val="20"/>
          <w:szCs w:val="20"/>
          <w:color w:val="auto"/>
        </w:rPr>
      </w:pPr>
    </w:p>
    <w:p>
      <w:pPr>
        <w:ind w:left="200" w:right="100" w:hanging="192"/>
        <w:spacing w:after="0" w:line="286" w:lineRule="auto"/>
        <w:tabs>
          <w:tab w:leader="none" w:pos="170" w:val="left"/>
        </w:tabs>
        <w:numPr>
          <w:ilvl w:val="0"/>
          <w:numId w:val="39"/>
        </w:numPr>
        <w:rPr>
          <w:rFonts w:ascii="Arial" w:cs="Arial" w:eastAsia="Arial" w:hAnsi="Arial"/>
          <w:sz w:val="16"/>
          <w:szCs w:val="16"/>
          <w:color w:val="006DB6"/>
        </w:rPr>
      </w:pPr>
      <w:r>
        <w:rPr>
          <w:rFonts w:ascii="Arial" w:cs="Arial" w:eastAsia="Arial" w:hAnsi="Arial"/>
          <w:sz w:val="16"/>
          <w:szCs w:val="16"/>
          <w:color w:val="auto"/>
        </w:rPr>
        <w:t>Our overall executive compensation levels are competitive with the market, based on information provided by Mercer and reviewed by the Compensation Committee;</w:t>
      </w:r>
    </w:p>
    <w:p>
      <w:pPr>
        <w:spacing w:after="0" w:line="20" w:lineRule="exact"/>
        <w:rPr>
          <w:rFonts w:ascii="Arial" w:cs="Arial" w:eastAsia="Arial" w:hAnsi="Arial"/>
          <w:sz w:val="16"/>
          <w:szCs w:val="16"/>
          <w:color w:val="006DB6"/>
        </w:rPr>
      </w:pPr>
    </w:p>
    <w:p>
      <w:pPr>
        <w:ind w:left="200" w:right="160" w:hanging="192"/>
        <w:spacing w:after="0" w:line="265" w:lineRule="auto"/>
        <w:tabs>
          <w:tab w:leader="none" w:pos="170" w:val="left"/>
        </w:tabs>
        <w:numPr>
          <w:ilvl w:val="0"/>
          <w:numId w:val="39"/>
        </w:numPr>
        <w:rPr>
          <w:rFonts w:ascii="Arial" w:cs="Arial" w:eastAsia="Arial" w:hAnsi="Arial"/>
          <w:sz w:val="16"/>
          <w:szCs w:val="16"/>
          <w:color w:val="006DB6"/>
        </w:rPr>
      </w:pPr>
      <w:r>
        <w:rPr>
          <w:rFonts w:ascii="Arial" w:cs="Arial" w:eastAsia="Arial" w:hAnsi="Arial"/>
          <w:sz w:val="16"/>
          <w:szCs w:val="16"/>
          <w:color w:val="auto"/>
        </w:rPr>
        <w:t>Our executive compensation mix is balanced among (i) fixed components including salary and benefits, (ii) capped annual incentives that reward our overall financial and operating performance and (iii) long-term incentives, at least 50% of which are generally performance-based for NEOs, to more closely align executive compensation with shareholder interests and to provide for a substantial portion of at-risk compensation in relation to share price performance;</w:t>
      </w:r>
    </w:p>
    <w:p>
      <w:pPr>
        <w:spacing w:after="0" w:line="37" w:lineRule="exact"/>
        <w:rPr>
          <w:rFonts w:ascii="Arial" w:cs="Arial" w:eastAsia="Arial" w:hAnsi="Arial"/>
          <w:sz w:val="16"/>
          <w:szCs w:val="16"/>
          <w:color w:val="006DB6"/>
        </w:rPr>
      </w:pPr>
    </w:p>
    <w:p>
      <w:pPr>
        <w:ind w:left="200" w:right="620" w:hanging="192"/>
        <w:spacing w:after="0" w:line="286" w:lineRule="auto"/>
        <w:tabs>
          <w:tab w:leader="none" w:pos="170" w:val="left"/>
        </w:tabs>
        <w:numPr>
          <w:ilvl w:val="0"/>
          <w:numId w:val="39"/>
        </w:numPr>
        <w:rPr>
          <w:rFonts w:ascii="Arial" w:cs="Arial" w:eastAsia="Arial" w:hAnsi="Arial"/>
          <w:sz w:val="16"/>
          <w:szCs w:val="16"/>
          <w:color w:val="006DB6"/>
        </w:rPr>
      </w:pPr>
      <w:r>
        <w:rPr>
          <w:rFonts w:ascii="Arial" w:cs="Arial" w:eastAsia="Arial" w:hAnsi="Arial"/>
          <w:sz w:val="16"/>
          <w:szCs w:val="16"/>
          <w:color w:val="auto"/>
        </w:rPr>
        <w:t>We implement what our Compensation Committee believes to be rigorous performance measures for executive compensation each year, whether absolute or relative, and set performance goals that we believe are reasonable in light of market conditions; and</w:t>
      </w:r>
    </w:p>
    <w:p>
      <w:pPr>
        <w:spacing w:after="0" w:line="20" w:lineRule="exact"/>
        <w:rPr>
          <w:rFonts w:ascii="Arial" w:cs="Arial" w:eastAsia="Arial" w:hAnsi="Arial"/>
          <w:sz w:val="16"/>
          <w:szCs w:val="16"/>
          <w:color w:val="006DB6"/>
        </w:rPr>
      </w:pPr>
    </w:p>
    <w:p>
      <w:pPr>
        <w:ind w:left="200" w:right="460" w:hanging="192"/>
        <w:spacing w:after="0" w:line="286" w:lineRule="auto"/>
        <w:tabs>
          <w:tab w:leader="none" w:pos="170" w:val="left"/>
        </w:tabs>
        <w:numPr>
          <w:ilvl w:val="0"/>
          <w:numId w:val="39"/>
        </w:numPr>
        <w:rPr>
          <w:rFonts w:ascii="Arial" w:cs="Arial" w:eastAsia="Arial" w:hAnsi="Arial"/>
          <w:sz w:val="16"/>
          <w:szCs w:val="16"/>
          <w:color w:val="006DB6"/>
        </w:rPr>
      </w:pPr>
      <w:r>
        <w:rPr>
          <w:rFonts w:ascii="Arial" w:cs="Arial" w:eastAsia="Arial" w:hAnsi="Arial"/>
          <w:sz w:val="16"/>
          <w:szCs w:val="16"/>
          <w:color w:val="auto"/>
        </w:rPr>
        <w:t>We have established maximum award levels as a cap on performance incentives. The Compensation Committee caps performance shares at 100% payout (Target), for this portion of the award, if Civeo’s TSR over the performance period is negative, irrespective of relative performance.</w:t>
      </w:r>
    </w:p>
    <w:p>
      <w:pPr>
        <w:spacing w:after="0" w:line="6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summary, although a portion of the compensation provided to our NEOs is based on our overall performance or division performance, we believe our compensation programs do not encourage excessive or unnecessary risk-taking by our NEOs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144145</wp:posOffset>
            </wp:positionV>
            <wp:extent cx="394335" cy="1968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Compensation Program Components</w:t>
      </w:r>
    </w:p>
    <w:p>
      <w:pPr>
        <w:spacing w:after="0" w:line="12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This section outlines each of the components of our compensation program for each of our NEOs for 2023. Overall compensation consists of base salary, annual performance incentive awards and long-term incentive awards.</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Base Salary</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fixed to avoid fluctuations in compensation that could distract our executives from the performance of their responsibilities. Base salaries for NEOs are reviewed annually by the Compensation Committee and, where deemed appropriate, adjusted to reflect competitive market conditions, as well as other internal factors, including performance, seniority, tenure, internal equity and changes to job scope and responsibility. In general, base salaries are targeted at median levels compared to comparable positions within our peer group of companies but vary from this reference point when and where deemed appropriate by the Compensation Committee.</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Base salaries, as in effect on December 31, 2023, and target AICP levels for 2023, are set forth below for each named executive officer. Adjustments to NEO compensation are considered by the Compensation Committee in consultation with Mercer. The Compensation Committee considers market data, executive tenure in the role, performance and other internal equity factors when recommending changes to NEO compensation.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jc w:val="right"/>
              <w:ind w:right="62"/>
              <w:spacing w:after="0"/>
              <w:rPr>
                <w:sz w:val="20"/>
                <w:szCs w:val="20"/>
                <w:color w:val="auto"/>
              </w:rPr>
            </w:pPr>
            <w:r>
              <w:rPr>
                <w:rFonts w:ascii="Arial" w:cs="Arial" w:eastAsia="Arial" w:hAnsi="Arial"/>
                <w:sz w:val="14"/>
                <w:szCs w:val="14"/>
                <w:b w:val="1"/>
                <w:bCs w:val="1"/>
                <w:color w:val="70706F"/>
              </w:rPr>
              <w:t>Base Salary</w:t>
            </w:r>
          </w:p>
        </w:tc>
        <w:tc>
          <w:tcPr>
            <w:tcW w:w="1660" w:type="dxa"/>
            <w:vAlign w:val="bottom"/>
          </w:tcPr>
          <w:p>
            <w:pPr>
              <w:jc w:val="center"/>
              <w:ind w:right="42"/>
              <w:spacing w:after="0"/>
              <w:rPr>
                <w:sz w:val="20"/>
                <w:szCs w:val="20"/>
                <w:color w:val="auto"/>
              </w:rPr>
            </w:pPr>
            <w:r>
              <w:rPr>
                <w:rFonts w:ascii="Arial" w:cs="Arial" w:eastAsia="Arial" w:hAnsi="Arial"/>
                <w:sz w:val="14"/>
                <w:szCs w:val="14"/>
                <w:b w:val="1"/>
                <w:bCs w:val="1"/>
                <w:color w:val="70706F"/>
              </w:rPr>
              <w:t>Target AICP</w:t>
            </w:r>
          </w:p>
        </w:tc>
      </w:tr>
      <w:tr>
        <w:trPr>
          <w:trHeight w:val="219"/>
        </w:trPr>
        <w:tc>
          <w:tcPr>
            <w:tcW w:w="18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940" w:type="dxa"/>
            <w:vAlign w:val="bottom"/>
            <w:tcBorders>
              <w:bottom w:val="single" w:sz="8" w:color="006DB6"/>
            </w:tcBorders>
          </w:tcPr>
          <w:p>
            <w:pPr>
              <w:ind w:left="340"/>
              <w:spacing w:after="0"/>
              <w:rPr>
                <w:sz w:val="20"/>
                <w:szCs w:val="20"/>
                <w:color w:val="auto"/>
              </w:rPr>
            </w:pPr>
            <w:r>
              <w:rPr>
                <w:rFonts w:ascii="Arial" w:cs="Arial" w:eastAsia="Arial" w:hAnsi="Arial"/>
                <w:sz w:val="14"/>
                <w:szCs w:val="14"/>
                <w:b w:val="1"/>
                <w:bCs w:val="1"/>
                <w:color w:val="70706F"/>
              </w:rPr>
              <w:t>Position</w:t>
            </w:r>
          </w:p>
        </w:tc>
        <w:tc>
          <w:tcPr>
            <w:tcW w:w="820" w:type="dxa"/>
            <w:vAlign w:val="bottom"/>
            <w:tcBorders>
              <w:bottom w:val="single" w:sz="8" w:color="006DB6"/>
            </w:tcBorders>
          </w:tcPr>
          <w:p>
            <w:pPr>
              <w:spacing w:after="0"/>
              <w:rPr>
                <w:sz w:val="19"/>
                <w:szCs w:val="19"/>
                <w:color w:val="auto"/>
              </w:rPr>
            </w:pPr>
          </w:p>
        </w:tc>
        <w:tc>
          <w:tcPr>
            <w:tcW w:w="960" w:type="dxa"/>
            <w:vAlign w:val="bottom"/>
            <w:tcBorders>
              <w:bottom w:val="single" w:sz="8" w:color="006DB6"/>
            </w:tcBorders>
          </w:tcPr>
          <w:p>
            <w:pPr>
              <w:jc w:val="right"/>
              <w:ind w:right="62"/>
              <w:spacing w:after="0"/>
              <w:rPr>
                <w:sz w:val="20"/>
                <w:szCs w:val="20"/>
                <w:color w:val="auto"/>
              </w:rPr>
            </w:pPr>
            <w:r>
              <w:rPr>
                <w:rFonts w:ascii="Arial" w:cs="Arial" w:eastAsia="Arial" w:hAnsi="Arial"/>
                <w:sz w:val="14"/>
                <w:szCs w:val="14"/>
                <w:b w:val="1"/>
                <w:bCs w:val="1"/>
                <w:color w:val="70706F"/>
              </w:rPr>
              <w:t xml:space="preserve">(USD) </w:t>
            </w:r>
            <w:r>
              <w:rPr>
                <w:rFonts w:ascii="Arial" w:cs="Arial" w:eastAsia="Arial" w:hAnsi="Arial"/>
                <w:sz w:val="10"/>
                <w:szCs w:val="10"/>
                <w:b w:val="1"/>
                <w:bCs w:val="1"/>
                <w:color w:val="70706F"/>
              </w:rPr>
              <w:t>(1)</w:t>
            </w:r>
          </w:p>
        </w:tc>
        <w:tc>
          <w:tcPr>
            <w:tcW w:w="1660" w:type="dxa"/>
            <w:vAlign w:val="bottom"/>
            <w:tcBorders>
              <w:bottom w:val="single" w:sz="8" w:color="006DB6"/>
            </w:tcBorders>
          </w:tcPr>
          <w:p>
            <w:pPr>
              <w:jc w:val="center"/>
              <w:ind w:right="42"/>
              <w:spacing w:after="0"/>
              <w:rPr>
                <w:sz w:val="20"/>
                <w:szCs w:val="20"/>
                <w:color w:val="auto"/>
              </w:rPr>
            </w:pPr>
            <w:r>
              <w:rPr>
                <w:rFonts w:ascii="Arial" w:cs="Arial" w:eastAsia="Arial" w:hAnsi="Arial"/>
                <w:sz w:val="14"/>
                <w:szCs w:val="14"/>
                <w:b w:val="1"/>
                <w:bCs w:val="1"/>
                <w:color w:val="70706F"/>
              </w:rPr>
              <w:t>(% of base salary)</w:t>
            </w:r>
          </w:p>
        </w:tc>
      </w:tr>
      <w:tr>
        <w:trPr>
          <w:trHeight w:val="23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President and Chief Executive Officer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750,000</w:t>
            </w:r>
          </w:p>
        </w:tc>
        <w:tc>
          <w:tcPr>
            <w:tcW w:w="16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rPr>
              <w:t>100%</w:t>
            </w:r>
          </w:p>
        </w:tc>
      </w:tr>
      <w:tr>
        <w:trPr>
          <w:trHeight w:val="237"/>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5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Former Senior Vice President, Chief Financial Officer and Treasurer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425,000</w:t>
            </w:r>
          </w:p>
        </w:tc>
        <w:tc>
          <w:tcPr>
            <w:tcW w:w="16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rPr>
              <w:t>70%</w:t>
            </w:r>
          </w:p>
        </w:tc>
      </w:tr>
      <w:tr>
        <w:trPr>
          <w:trHeight w:val="237"/>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Senior Vice President, Australia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299,070</w:t>
            </w:r>
          </w:p>
        </w:tc>
        <w:tc>
          <w:tcPr>
            <w:tcW w:w="1660" w:type="dxa"/>
            <w:vAlign w:val="bottom"/>
            <w:tcBorders>
              <w:bottom w:val="single" w:sz="8" w:color="auto"/>
            </w:tcBorders>
          </w:tcPr>
          <w:p>
            <w:pPr>
              <w:jc w:val="center"/>
              <w:ind w:right="42"/>
              <w:spacing w:after="0"/>
              <w:rPr>
                <w:sz w:val="20"/>
                <w:szCs w:val="20"/>
                <w:color w:val="auto"/>
              </w:rPr>
            </w:pPr>
            <w:r>
              <w:rPr>
                <w:rFonts w:ascii="Arial" w:cs="Arial" w:eastAsia="Arial" w:hAnsi="Arial"/>
                <w:sz w:val="16"/>
                <w:szCs w:val="16"/>
                <w:color w:val="auto"/>
              </w:rPr>
              <w:t>70%</w:t>
            </w:r>
          </w:p>
        </w:tc>
      </w:tr>
      <w:tr>
        <w:trPr>
          <w:trHeight w:val="233"/>
        </w:trPr>
        <w:tc>
          <w:tcPr>
            <w:tcW w:w="186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5940" w:type="dxa"/>
            <w:vAlign w:val="bottom"/>
          </w:tcPr>
          <w:p>
            <w:pPr>
              <w:ind w:left="340"/>
              <w:spacing w:after="0"/>
              <w:rPr>
                <w:sz w:val="20"/>
                <w:szCs w:val="20"/>
                <w:color w:val="auto"/>
              </w:rPr>
            </w:pPr>
            <w:r>
              <w:rPr>
                <w:rFonts w:ascii="Arial" w:cs="Arial" w:eastAsia="Arial" w:hAnsi="Arial"/>
                <w:sz w:val="16"/>
                <w:szCs w:val="16"/>
                <w:color w:val="auto"/>
              </w:rPr>
              <w:t>Senior Vice President, Canada</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2"/>
              <w:spacing w:after="0"/>
              <w:rPr>
                <w:sz w:val="20"/>
                <w:szCs w:val="20"/>
                <w:color w:val="auto"/>
              </w:rPr>
            </w:pPr>
            <w:r>
              <w:rPr>
                <w:rFonts w:ascii="Arial" w:cs="Arial" w:eastAsia="Arial" w:hAnsi="Arial"/>
                <w:sz w:val="16"/>
                <w:szCs w:val="16"/>
                <w:color w:val="auto"/>
              </w:rPr>
              <w:t>377,961</w:t>
            </w:r>
          </w:p>
        </w:tc>
        <w:tc>
          <w:tcPr>
            <w:tcW w:w="1660" w:type="dxa"/>
            <w:vAlign w:val="bottom"/>
          </w:tcPr>
          <w:p>
            <w:pPr>
              <w:jc w:val="center"/>
              <w:ind w:right="42"/>
              <w:spacing w:after="0"/>
              <w:rPr>
                <w:sz w:val="20"/>
                <w:szCs w:val="20"/>
                <w:color w:val="auto"/>
              </w:rPr>
            </w:pPr>
            <w:r>
              <w:rPr>
                <w:rFonts w:ascii="Arial" w:cs="Arial" w:eastAsia="Arial" w:hAnsi="Arial"/>
                <w:sz w:val="16"/>
                <w:szCs w:val="16"/>
                <w:color w:val="auto"/>
              </w:rPr>
              <w:t>70%</w:t>
            </w:r>
          </w:p>
        </w:tc>
      </w:tr>
    </w:tbl>
    <w:p>
      <w:pPr>
        <w:spacing w:after="0" w:line="187" w:lineRule="exact"/>
        <w:rPr>
          <w:sz w:val="20"/>
          <w:szCs w:val="20"/>
          <w:color w:val="auto"/>
        </w:rPr>
      </w:pPr>
    </w:p>
    <w:p>
      <w:pPr>
        <w:ind w:right="120" w:firstLine="8"/>
        <w:spacing w:after="0" w:line="305" w:lineRule="auto"/>
        <w:tabs>
          <w:tab w:leader="none" w:pos="2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McCann is paid in Australian dollars and Mr. Schoening is paid in Canadian dollars. Their respective base salaries have been converted to U.S. dollars at an exchange rate of $0.6646 U.S. dollar per Australian dollar and $0.7411 U.S. dollar per Canadian dollar, respectively, which reflect the average exchange rates for each currency for 2023.</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Annual Incentive Compensation Plan</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NEOs.</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2023, achieving results which exceeded a minimum, or threshold, level of performance triggered an AICP payout. Performance results at or below threshold (</w:t>
      </w:r>
      <w:r>
        <w:rPr>
          <w:rFonts w:ascii="Arial" w:cs="Arial" w:eastAsia="Arial" w:hAnsi="Arial"/>
          <w:sz w:val="16"/>
          <w:szCs w:val="16"/>
          <w:i w:val="1"/>
          <w:iCs w:val="1"/>
          <w:color w:val="auto"/>
        </w:rPr>
        <w:t>i.e.</w:t>
      </w:r>
      <w:r>
        <w:rPr>
          <w:rFonts w:ascii="Arial" w:cs="Arial" w:eastAsia="Arial" w:hAnsi="Arial"/>
          <w:sz w:val="16"/>
          <w:szCs w:val="16"/>
          <w:color w:val="auto"/>
        </w:rPr>
        <w:t>, typically achieving a percentage of 85% or less of the related AICP performance objective) results in no AICP award. A target award is earned when an executive achieves 100% of his or her safety and financial performance objectives. Overachievement is earned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maximum level, 100-200% of the target amount is paid out proportionately.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BASE SALARY, THRESHOLD AICP, TARGET AICP AND MAXIMUM AICP AWARD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1720" w:type="dxa"/>
            <w:vAlign w:val="bottom"/>
          </w:tcPr>
          <w:p>
            <w:pPr>
              <w:jc w:val="center"/>
              <w:ind w:left="62"/>
              <w:spacing w:after="0"/>
              <w:rPr>
                <w:sz w:val="20"/>
                <w:szCs w:val="20"/>
                <w:color w:val="auto"/>
              </w:rPr>
            </w:pPr>
            <w:r>
              <w:rPr>
                <w:rFonts w:ascii="Arial" w:cs="Arial" w:eastAsia="Arial" w:hAnsi="Arial"/>
                <w:sz w:val="14"/>
                <w:szCs w:val="14"/>
                <w:b w:val="1"/>
                <w:bCs w:val="1"/>
                <w:color w:val="70706F"/>
              </w:rPr>
              <w:t>Target AICP</w:t>
            </w:r>
          </w:p>
        </w:tc>
        <w:tc>
          <w:tcPr>
            <w:tcW w:w="14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Named Executive Officer</w:t>
            </w:r>
          </w:p>
        </w:tc>
        <w:tc>
          <w:tcPr>
            <w:tcW w:w="1720" w:type="dxa"/>
            <w:vAlign w:val="bottom"/>
            <w:tcBorders>
              <w:bottom w:val="single" w:sz="8" w:color="006DB6"/>
            </w:tcBorders>
          </w:tcPr>
          <w:p>
            <w:pPr>
              <w:jc w:val="center"/>
              <w:ind w:left="62"/>
              <w:spacing w:after="0"/>
              <w:rPr>
                <w:sz w:val="20"/>
                <w:szCs w:val="20"/>
                <w:color w:val="auto"/>
              </w:rPr>
            </w:pPr>
            <w:r>
              <w:rPr>
                <w:rFonts w:ascii="Arial" w:cs="Arial" w:eastAsia="Arial" w:hAnsi="Arial"/>
                <w:sz w:val="14"/>
                <w:szCs w:val="14"/>
                <w:b w:val="1"/>
                <w:bCs w:val="1"/>
                <w:color w:val="70706F"/>
              </w:rPr>
              <w:t>(% of base salary)</w:t>
            </w:r>
          </w:p>
        </w:tc>
        <w:tc>
          <w:tcPr>
            <w:tcW w:w="14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Threshold</w:t>
            </w:r>
          </w:p>
        </w:tc>
        <w:tc>
          <w:tcPr>
            <w:tcW w:w="2960" w:type="dxa"/>
            <w:vAlign w:val="bottom"/>
            <w:tcBorders>
              <w:bottom w:val="single" w:sz="8" w:color="006DB6"/>
            </w:tcBorders>
          </w:tcPr>
          <w:p>
            <w:pPr>
              <w:ind w:left="160"/>
              <w:spacing w:after="0"/>
              <w:rPr>
                <w:sz w:val="20"/>
                <w:szCs w:val="20"/>
                <w:color w:val="auto"/>
              </w:rPr>
            </w:pPr>
            <w:r>
              <w:rPr>
                <w:rFonts w:ascii="Arial" w:cs="Arial" w:eastAsia="Arial" w:hAnsi="Arial"/>
                <w:sz w:val="14"/>
                <w:szCs w:val="14"/>
                <w:b w:val="1"/>
                <w:bCs w:val="1"/>
                <w:color w:val="70706F"/>
              </w:rPr>
              <w:t>Target</w:t>
            </w:r>
          </w:p>
        </w:tc>
        <w:tc>
          <w:tcPr>
            <w:tcW w:w="3100" w:type="dxa"/>
            <w:vAlign w:val="bottom"/>
            <w:tcBorders>
              <w:bottom w:val="single" w:sz="8" w:color="006DB6"/>
            </w:tcBorders>
          </w:tcPr>
          <w:p>
            <w:pPr>
              <w:ind w:left="80"/>
              <w:spacing w:after="0"/>
              <w:rPr>
                <w:sz w:val="20"/>
                <w:szCs w:val="20"/>
                <w:color w:val="auto"/>
              </w:rPr>
            </w:pPr>
            <w:r>
              <w:rPr>
                <w:rFonts w:ascii="Arial" w:cs="Arial" w:eastAsia="Arial" w:hAnsi="Arial"/>
                <w:sz w:val="14"/>
                <w:szCs w:val="14"/>
                <w:b w:val="1"/>
                <w:bCs w:val="1"/>
                <w:color w:val="70706F"/>
              </w:rPr>
              <w:t>Maximum</w:t>
            </w:r>
          </w:p>
        </w:tc>
        <w:tc>
          <w:tcPr>
            <w:tcW w:w="0" w:type="dxa"/>
            <w:vAlign w:val="bottom"/>
          </w:tcPr>
          <w:p>
            <w:pPr>
              <w:spacing w:after="0"/>
              <w:rPr>
                <w:sz w:val="1"/>
                <w:szCs w:val="1"/>
                <w:color w:val="auto"/>
              </w:rPr>
            </w:pPr>
          </w:p>
        </w:tc>
      </w:tr>
      <w:tr>
        <w:trPr>
          <w:trHeight w:val="202"/>
        </w:trPr>
        <w:tc>
          <w:tcPr>
            <w:tcW w:w="202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720" w:type="dxa"/>
            <w:vAlign w:val="bottom"/>
            <w:vMerge w:val="restart"/>
          </w:tcPr>
          <w:p>
            <w:pPr>
              <w:jc w:val="center"/>
              <w:ind w:left="62"/>
              <w:spacing w:after="0"/>
              <w:rPr>
                <w:sz w:val="20"/>
                <w:szCs w:val="20"/>
                <w:color w:val="auto"/>
              </w:rPr>
            </w:pPr>
            <w:r>
              <w:rPr>
                <w:rFonts w:ascii="Arial" w:cs="Arial" w:eastAsia="Arial" w:hAnsi="Arial"/>
                <w:sz w:val="16"/>
                <w:szCs w:val="16"/>
                <w:color w:val="auto"/>
              </w:rPr>
              <w:t>100%</w:t>
            </w:r>
          </w:p>
        </w:tc>
        <w:tc>
          <w:tcPr>
            <w:tcW w:w="1440" w:type="dxa"/>
            <w:vAlign w:val="bottom"/>
          </w:tcPr>
          <w:p>
            <w:pPr>
              <w:ind w:left="20"/>
              <w:spacing w:after="0"/>
              <w:rPr>
                <w:sz w:val="20"/>
                <w:szCs w:val="20"/>
                <w:color w:val="auto"/>
              </w:rPr>
            </w:pPr>
            <w:r>
              <w:rPr>
                <w:rFonts w:ascii="Arial" w:cs="Arial" w:eastAsia="Arial" w:hAnsi="Arial"/>
                <w:sz w:val="16"/>
                <w:szCs w:val="16"/>
                <w:color w:val="auto"/>
              </w:rPr>
              <w:t>No AICP award is</w:t>
            </w:r>
          </w:p>
        </w:tc>
        <w:tc>
          <w:tcPr>
            <w:tcW w:w="2960" w:type="dxa"/>
            <w:vAlign w:val="bottom"/>
          </w:tcPr>
          <w:p>
            <w:pPr>
              <w:ind w:left="160"/>
              <w:spacing w:after="0"/>
              <w:rPr>
                <w:sz w:val="20"/>
                <w:szCs w:val="20"/>
                <w:color w:val="auto"/>
              </w:rPr>
            </w:pPr>
            <w:r>
              <w:rPr>
                <w:rFonts w:ascii="Arial" w:cs="Arial" w:eastAsia="Arial" w:hAnsi="Arial"/>
                <w:sz w:val="16"/>
                <w:szCs w:val="16"/>
                <w:color w:val="auto"/>
              </w:rPr>
              <w:t>Earned when an executive achieves</w:t>
            </w:r>
          </w:p>
        </w:tc>
        <w:tc>
          <w:tcPr>
            <w:tcW w:w="3100" w:type="dxa"/>
            <w:vAlign w:val="bottom"/>
          </w:tcPr>
          <w:p>
            <w:pPr>
              <w:ind w:left="80"/>
              <w:spacing w:after="0"/>
              <w:rPr>
                <w:sz w:val="20"/>
                <w:szCs w:val="20"/>
                <w:color w:val="auto"/>
              </w:rPr>
            </w:pPr>
            <w:r>
              <w:rPr>
                <w:rFonts w:ascii="Arial" w:cs="Arial" w:eastAsia="Arial" w:hAnsi="Arial"/>
                <w:sz w:val="16"/>
                <w:szCs w:val="16"/>
                <w:color w:val="auto"/>
              </w:rPr>
              <w:t>Earned when performance results are</w:t>
            </w:r>
          </w:p>
        </w:tc>
        <w:tc>
          <w:tcPr>
            <w:tcW w:w="0" w:type="dxa"/>
            <w:vAlign w:val="bottom"/>
          </w:tcPr>
          <w:p>
            <w:pPr>
              <w:spacing w:after="0"/>
              <w:rPr>
                <w:sz w:val="1"/>
                <w:szCs w:val="1"/>
                <w:color w:val="auto"/>
              </w:rPr>
            </w:pPr>
          </w:p>
        </w:tc>
      </w:tr>
      <w:tr>
        <w:trPr>
          <w:trHeight w:val="96"/>
        </w:trPr>
        <w:tc>
          <w:tcPr>
            <w:tcW w:w="2020" w:type="dxa"/>
            <w:vAlign w:val="bottom"/>
            <w:tcBorders>
              <w:bottom w:val="single" w:sz="8" w:color="auto"/>
            </w:tcBorders>
            <w:vMerge w:val="continue"/>
          </w:tcPr>
          <w:p>
            <w:pPr>
              <w:spacing w:after="0"/>
              <w:rPr>
                <w:sz w:val="7"/>
                <w:szCs w:val="7"/>
                <w:color w:val="auto"/>
              </w:rPr>
            </w:pPr>
          </w:p>
        </w:tc>
        <w:tc>
          <w:tcPr>
            <w:tcW w:w="1720" w:type="dxa"/>
            <w:vAlign w:val="bottom"/>
            <w:tcBorders>
              <w:bottom w:val="single" w:sz="8" w:color="auto"/>
            </w:tcBorders>
            <w:vMerge w:val="continue"/>
          </w:tcPr>
          <w:p>
            <w:pPr>
              <w:spacing w:after="0"/>
              <w:rPr>
                <w:sz w:val="7"/>
                <w:szCs w:val="7"/>
                <w:color w:val="auto"/>
              </w:rPr>
            </w:pPr>
          </w:p>
        </w:tc>
        <w:tc>
          <w:tcPr>
            <w:tcW w:w="1440" w:type="dxa"/>
            <w:vAlign w:val="bottom"/>
            <w:vMerge w:val="restart"/>
          </w:tcPr>
          <w:p>
            <w:pPr>
              <w:ind w:left="20"/>
              <w:spacing w:after="0"/>
              <w:rPr>
                <w:sz w:val="20"/>
                <w:szCs w:val="20"/>
                <w:color w:val="auto"/>
              </w:rPr>
            </w:pPr>
            <w:r>
              <w:rPr>
                <w:rFonts w:ascii="Arial" w:cs="Arial" w:eastAsia="Arial" w:hAnsi="Arial"/>
                <w:sz w:val="16"/>
                <w:szCs w:val="16"/>
                <w:color w:val="auto"/>
              </w:rPr>
              <w:t>achieved until</w:t>
            </w:r>
          </w:p>
        </w:tc>
        <w:tc>
          <w:tcPr>
            <w:tcW w:w="2960" w:type="dxa"/>
            <w:vAlign w:val="bottom"/>
            <w:vMerge w:val="restart"/>
          </w:tcPr>
          <w:p>
            <w:pPr>
              <w:ind w:left="160"/>
              <w:spacing w:after="0"/>
              <w:rPr>
                <w:sz w:val="20"/>
                <w:szCs w:val="20"/>
                <w:color w:val="auto"/>
              </w:rPr>
            </w:pPr>
            <w:r>
              <w:rPr>
                <w:rFonts w:ascii="Arial" w:cs="Arial" w:eastAsia="Arial" w:hAnsi="Arial"/>
                <w:sz w:val="16"/>
                <w:szCs w:val="16"/>
                <w:color w:val="auto"/>
              </w:rPr>
              <w:t>100% of his or her safety and financial</w:t>
            </w:r>
          </w:p>
        </w:tc>
        <w:tc>
          <w:tcPr>
            <w:tcW w:w="3100" w:type="dxa"/>
            <w:vAlign w:val="bottom"/>
            <w:vMerge w:val="restart"/>
          </w:tcPr>
          <w:p>
            <w:pPr>
              <w:ind w:left="80"/>
              <w:spacing w:after="0"/>
              <w:rPr>
                <w:sz w:val="20"/>
                <w:szCs w:val="20"/>
                <w:color w:val="auto"/>
              </w:rPr>
            </w:pPr>
            <w:r>
              <w:rPr>
                <w:rFonts w:ascii="Arial" w:cs="Arial" w:eastAsia="Arial" w:hAnsi="Arial"/>
                <w:sz w:val="16"/>
                <w:szCs w:val="16"/>
                <w:color w:val="auto"/>
              </w:rPr>
              <w:t>above 100% of safety and financial</w:t>
            </w:r>
          </w:p>
        </w:tc>
        <w:tc>
          <w:tcPr>
            <w:tcW w:w="0" w:type="dxa"/>
            <w:vAlign w:val="bottom"/>
          </w:tcPr>
          <w:p>
            <w:pPr>
              <w:spacing w:after="0"/>
              <w:rPr>
                <w:sz w:val="1"/>
                <w:szCs w:val="1"/>
                <w:color w:val="auto"/>
              </w:rPr>
            </w:pPr>
          </w:p>
        </w:tc>
      </w:tr>
      <w:tr>
        <w:trPr>
          <w:trHeight w:val="91"/>
        </w:trPr>
        <w:tc>
          <w:tcPr>
            <w:tcW w:w="202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Carolyn J. Stone</w:t>
            </w:r>
          </w:p>
        </w:tc>
        <w:tc>
          <w:tcPr>
            <w:tcW w:w="172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70%</w:t>
            </w:r>
          </w:p>
        </w:tc>
        <w:tc>
          <w:tcPr>
            <w:tcW w:w="1440" w:type="dxa"/>
            <w:vAlign w:val="bottom"/>
            <w:vMerge w:val="continue"/>
          </w:tcPr>
          <w:p>
            <w:pPr>
              <w:spacing w:after="0"/>
              <w:rPr>
                <w:sz w:val="7"/>
                <w:szCs w:val="7"/>
                <w:color w:val="auto"/>
              </w:rPr>
            </w:pPr>
          </w:p>
        </w:tc>
        <w:tc>
          <w:tcPr>
            <w:tcW w:w="2960" w:type="dxa"/>
            <w:vAlign w:val="bottom"/>
            <w:vMerge w:val="continue"/>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2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1440" w:type="dxa"/>
            <w:vAlign w:val="bottom"/>
          </w:tcPr>
          <w:p>
            <w:pPr>
              <w:ind w:left="20"/>
              <w:spacing w:after="0"/>
              <w:rPr>
                <w:sz w:val="20"/>
                <w:szCs w:val="20"/>
                <w:color w:val="auto"/>
              </w:rPr>
            </w:pPr>
            <w:r>
              <w:rPr>
                <w:rFonts w:ascii="Arial" w:cs="Arial" w:eastAsia="Arial" w:hAnsi="Arial"/>
                <w:sz w:val="16"/>
                <w:szCs w:val="16"/>
                <w:color w:val="auto"/>
              </w:rPr>
              <w:t>threshold is</w:t>
            </w:r>
          </w:p>
        </w:tc>
        <w:tc>
          <w:tcPr>
            <w:tcW w:w="2960" w:type="dxa"/>
            <w:vAlign w:val="bottom"/>
          </w:tcPr>
          <w:p>
            <w:pPr>
              <w:ind w:left="160"/>
              <w:spacing w:after="0"/>
              <w:rPr>
                <w:sz w:val="20"/>
                <w:szCs w:val="20"/>
                <w:color w:val="auto"/>
              </w:rPr>
            </w:pPr>
            <w:r>
              <w:rPr>
                <w:rFonts w:ascii="Arial" w:cs="Arial" w:eastAsia="Arial" w:hAnsi="Arial"/>
                <w:sz w:val="16"/>
                <w:szCs w:val="16"/>
                <w:color w:val="auto"/>
              </w:rPr>
              <w:t>performance objectives</w:t>
            </w:r>
          </w:p>
        </w:tc>
        <w:tc>
          <w:tcPr>
            <w:tcW w:w="3100" w:type="dxa"/>
            <w:vAlign w:val="bottom"/>
          </w:tcPr>
          <w:p>
            <w:pPr>
              <w:ind w:left="80"/>
              <w:spacing w:after="0"/>
              <w:rPr>
                <w:sz w:val="20"/>
                <w:szCs w:val="20"/>
                <w:color w:val="auto"/>
              </w:rPr>
            </w:pPr>
            <w:r>
              <w:rPr>
                <w:rFonts w:ascii="Arial" w:cs="Arial" w:eastAsia="Arial" w:hAnsi="Arial"/>
                <w:sz w:val="16"/>
                <w:szCs w:val="16"/>
                <w:color w:val="auto"/>
              </w:rPr>
              <w:t>performance objectives, with the</w:t>
            </w:r>
          </w:p>
        </w:tc>
        <w:tc>
          <w:tcPr>
            <w:tcW w:w="0" w:type="dxa"/>
            <w:vAlign w:val="bottom"/>
          </w:tcPr>
          <w:p>
            <w:pPr>
              <w:spacing w:after="0"/>
              <w:rPr>
                <w:sz w:val="1"/>
                <w:szCs w:val="1"/>
                <w:color w:val="auto"/>
              </w:rPr>
            </w:pPr>
          </w:p>
        </w:tc>
      </w:tr>
      <w:tr>
        <w:trPr>
          <w:trHeight w:val="28"/>
        </w:trPr>
        <w:tc>
          <w:tcPr>
            <w:tcW w:w="2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40" w:type="dxa"/>
            <w:vAlign w:val="bottom"/>
            <w:vMerge w:val="restart"/>
          </w:tcPr>
          <w:p>
            <w:pPr>
              <w:ind w:left="20"/>
              <w:spacing w:after="0"/>
              <w:rPr>
                <w:sz w:val="20"/>
                <w:szCs w:val="20"/>
                <w:color w:val="auto"/>
              </w:rPr>
            </w:pPr>
            <w:r>
              <w:rPr>
                <w:rFonts w:ascii="Arial" w:cs="Arial" w:eastAsia="Arial" w:hAnsi="Arial"/>
                <w:sz w:val="16"/>
                <w:szCs w:val="16"/>
                <w:color w:val="auto"/>
              </w:rPr>
              <w:t>exceeded</w:t>
            </w:r>
          </w:p>
        </w:tc>
        <w:tc>
          <w:tcPr>
            <w:tcW w:w="2960" w:type="dxa"/>
            <w:vAlign w:val="bottom"/>
          </w:tcPr>
          <w:p>
            <w:pPr>
              <w:spacing w:after="0"/>
              <w:rPr>
                <w:sz w:val="2"/>
                <w:szCs w:val="2"/>
                <w:color w:val="auto"/>
              </w:rPr>
            </w:pPr>
          </w:p>
        </w:tc>
        <w:tc>
          <w:tcPr>
            <w:tcW w:w="3100" w:type="dxa"/>
            <w:vAlign w:val="bottom"/>
            <w:vMerge w:val="restart"/>
          </w:tcPr>
          <w:p>
            <w:pPr>
              <w:ind w:left="80"/>
              <w:spacing w:after="0"/>
              <w:rPr>
                <w:sz w:val="20"/>
                <w:szCs w:val="20"/>
                <w:color w:val="auto"/>
              </w:rPr>
            </w:pPr>
            <w:r>
              <w:rPr>
                <w:rFonts w:ascii="Arial" w:cs="Arial" w:eastAsia="Arial" w:hAnsi="Arial"/>
                <w:sz w:val="16"/>
                <w:szCs w:val="16"/>
                <w:color w:val="auto"/>
              </w:rPr>
              <w:t>maximum being 120%, which would</w:t>
            </w:r>
          </w:p>
        </w:tc>
        <w:tc>
          <w:tcPr>
            <w:tcW w:w="0" w:type="dxa"/>
            <w:vAlign w:val="bottom"/>
          </w:tcPr>
          <w:p>
            <w:pPr>
              <w:spacing w:after="0"/>
              <w:rPr>
                <w:sz w:val="1"/>
                <w:szCs w:val="1"/>
                <w:color w:val="auto"/>
              </w:rPr>
            </w:pPr>
          </w:p>
        </w:tc>
      </w:tr>
      <w:tr>
        <w:trPr>
          <w:trHeight w:val="141"/>
        </w:trPr>
        <w:tc>
          <w:tcPr>
            <w:tcW w:w="2020" w:type="dxa"/>
            <w:vAlign w:val="bottom"/>
            <w:vMerge w:val="restart"/>
          </w:tcPr>
          <w:p>
            <w:pPr>
              <w:ind w:left="20"/>
              <w:spacing w:after="0"/>
              <w:rPr>
                <w:sz w:val="20"/>
                <w:szCs w:val="20"/>
                <w:color w:val="auto"/>
              </w:rPr>
            </w:pPr>
            <w:r>
              <w:rPr>
                <w:rFonts w:ascii="Arial" w:cs="Arial" w:eastAsia="Arial" w:hAnsi="Arial"/>
                <w:sz w:val="16"/>
                <w:szCs w:val="16"/>
                <w:b w:val="1"/>
                <w:bCs w:val="1"/>
                <w:color w:val="006DB6"/>
              </w:rPr>
              <w:t>Peter L. McCann</w:t>
            </w:r>
          </w:p>
        </w:tc>
        <w:tc>
          <w:tcPr>
            <w:tcW w:w="1720" w:type="dxa"/>
            <w:vAlign w:val="bottom"/>
            <w:vMerge w:val="restart"/>
          </w:tcPr>
          <w:p>
            <w:pPr>
              <w:jc w:val="center"/>
              <w:ind w:left="42"/>
              <w:spacing w:after="0"/>
              <w:rPr>
                <w:sz w:val="20"/>
                <w:szCs w:val="20"/>
                <w:color w:val="auto"/>
              </w:rPr>
            </w:pPr>
            <w:r>
              <w:rPr>
                <w:rFonts w:ascii="Arial" w:cs="Arial" w:eastAsia="Arial" w:hAnsi="Arial"/>
                <w:sz w:val="16"/>
                <w:szCs w:val="16"/>
                <w:color w:val="auto"/>
                <w:w w:val="99"/>
              </w:rPr>
              <w:t>70%</w:t>
            </w:r>
          </w:p>
        </w:tc>
        <w:tc>
          <w:tcPr>
            <w:tcW w:w="144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2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3100" w:type="dxa"/>
            <w:vAlign w:val="bottom"/>
            <w:vMerge w:val="restart"/>
          </w:tcPr>
          <w:p>
            <w:pPr>
              <w:ind w:left="80"/>
              <w:spacing w:after="0"/>
              <w:rPr>
                <w:sz w:val="20"/>
                <w:szCs w:val="20"/>
                <w:color w:val="auto"/>
              </w:rPr>
            </w:pPr>
            <w:r>
              <w:rPr>
                <w:rFonts w:ascii="Arial" w:cs="Arial" w:eastAsia="Arial" w:hAnsi="Arial"/>
                <w:sz w:val="16"/>
                <w:szCs w:val="16"/>
                <w:color w:val="auto"/>
              </w:rPr>
              <w:t>result in a payout capped at 200% of</w:t>
            </w:r>
          </w:p>
        </w:tc>
        <w:tc>
          <w:tcPr>
            <w:tcW w:w="0" w:type="dxa"/>
            <w:vAlign w:val="bottom"/>
          </w:tcPr>
          <w:p>
            <w:pPr>
              <w:spacing w:after="0"/>
              <w:rPr>
                <w:sz w:val="1"/>
                <w:szCs w:val="1"/>
                <w:color w:val="auto"/>
              </w:rPr>
            </w:pPr>
          </w:p>
        </w:tc>
      </w:tr>
      <w:tr>
        <w:trPr>
          <w:trHeight w:val="78"/>
        </w:trPr>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96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720" w:type="dxa"/>
            <w:vAlign w:val="bottom"/>
          </w:tcPr>
          <w:p>
            <w:pPr>
              <w:jc w:val="center"/>
              <w:ind w:left="42"/>
              <w:spacing w:after="0"/>
              <w:rPr>
                <w:sz w:val="20"/>
                <w:szCs w:val="20"/>
                <w:color w:val="auto"/>
              </w:rPr>
            </w:pPr>
            <w:r>
              <w:rPr>
                <w:rFonts w:ascii="Arial" w:cs="Arial" w:eastAsia="Arial" w:hAnsi="Arial"/>
                <w:sz w:val="16"/>
                <w:szCs w:val="16"/>
                <w:color w:val="auto"/>
                <w:w w:val="99"/>
              </w:rPr>
              <w:t>70%</w:t>
            </w:r>
          </w:p>
        </w:tc>
        <w:tc>
          <w:tcPr>
            <w:tcW w:w="1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100" w:type="dxa"/>
            <w:vAlign w:val="bottom"/>
          </w:tcPr>
          <w:p>
            <w:pPr>
              <w:ind w:left="80"/>
              <w:spacing w:after="0"/>
              <w:rPr>
                <w:sz w:val="20"/>
                <w:szCs w:val="20"/>
                <w:color w:val="auto"/>
              </w:rPr>
            </w:pPr>
            <w:r>
              <w:rPr>
                <w:rFonts w:ascii="Arial" w:cs="Arial" w:eastAsia="Arial" w:hAnsi="Arial"/>
                <w:sz w:val="16"/>
                <w:szCs w:val="16"/>
                <w:color w:val="auto"/>
              </w:rPr>
              <w:t>target</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The performance metrics for our AICP consist of financial metrics, typically budgeted EBITDA or Operating Cash Flow, as adjusted where deemed appropriate by the Compensation Committee, and safety performance.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maximum AICP percentage permitted under the AICP is capped at two times the target level to mitigate the potential for excessive risk taking.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AICP awards to be paid to each NEO and, in aggregate, to other AICP participants. In its sole discretion, the Compensation Committee interprets all provisions of the AICP and has authority to make positive or negative adjustments in individual, business unit or Civeo’s consolidated results.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performance metrics formed the basis for AICP award determinations for our NEOs for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860" w:type="dxa"/>
            <w:vAlign w:val="bottom"/>
            <w:tcBorders>
              <w:bottom w:val="single" w:sz="8" w:color="006DB6"/>
            </w:tcBorders>
            <w:gridSpan w:val="2"/>
          </w:tcPr>
          <w:p>
            <w:pPr>
              <w:jc w:val="right"/>
              <w:ind w:right="582"/>
              <w:spacing w:after="0"/>
              <w:rPr>
                <w:sz w:val="20"/>
                <w:szCs w:val="20"/>
                <w:color w:val="auto"/>
              </w:rPr>
            </w:pPr>
            <w:r>
              <w:rPr>
                <w:rFonts w:ascii="Arial" w:cs="Arial" w:eastAsia="Arial" w:hAnsi="Arial"/>
                <w:sz w:val="14"/>
                <w:szCs w:val="14"/>
                <w:b w:val="1"/>
                <w:bCs w:val="1"/>
                <w:color w:val="70706F"/>
              </w:rPr>
              <w:t>Financial Performance</w:t>
            </w:r>
          </w:p>
        </w:tc>
        <w:tc>
          <w:tcPr>
            <w:tcW w:w="122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720" w:type="dxa"/>
            <w:vAlign w:val="bottom"/>
          </w:tcPr>
          <w:p>
            <w:pPr>
              <w:jc w:val="right"/>
              <w:ind w:right="83"/>
              <w:spacing w:after="0"/>
              <w:rPr>
                <w:sz w:val="20"/>
                <w:szCs w:val="20"/>
                <w:color w:val="auto"/>
              </w:rPr>
            </w:pPr>
            <w:r>
              <w:rPr>
                <w:rFonts w:ascii="Arial" w:cs="Arial" w:eastAsia="Arial" w:hAnsi="Arial"/>
                <w:sz w:val="14"/>
                <w:szCs w:val="14"/>
                <w:b w:val="1"/>
                <w:bCs w:val="1"/>
                <w:color w:val="70706F"/>
              </w:rPr>
              <w:t>Consolidated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70706F"/>
              </w:rPr>
              <w:t>Division AICP</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70706F"/>
              </w:rPr>
              <w:t>Safety</w:t>
            </w:r>
          </w:p>
        </w:tc>
      </w:tr>
      <w:tr>
        <w:trPr>
          <w:trHeight w:val="219"/>
        </w:trPr>
        <w:tc>
          <w:tcPr>
            <w:tcW w:w="17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706F"/>
              </w:rPr>
              <w:t>Name</w:t>
            </w:r>
          </w:p>
        </w:tc>
        <w:tc>
          <w:tcPr>
            <w:tcW w:w="5440" w:type="dxa"/>
            <w:vAlign w:val="bottom"/>
            <w:tcBorders>
              <w:bottom w:val="single" w:sz="8" w:color="006DB6"/>
            </w:tcBorders>
          </w:tcPr>
          <w:p>
            <w:pPr>
              <w:ind w:left="220"/>
              <w:spacing w:after="0"/>
              <w:rPr>
                <w:sz w:val="20"/>
                <w:szCs w:val="20"/>
                <w:color w:val="auto"/>
              </w:rPr>
            </w:pPr>
            <w:r>
              <w:rPr>
                <w:rFonts w:ascii="Arial" w:cs="Arial" w:eastAsia="Arial" w:hAnsi="Arial"/>
                <w:sz w:val="14"/>
                <w:szCs w:val="14"/>
                <w:b w:val="1"/>
                <w:bCs w:val="1"/>
                <w:color w:val="70706F"/>
              </w:rPr>
              <w:t>Position</w:t>
            </w:r>
          </w:p>
        </w:tc>
        <w:tc>
          <w:tcPr>
            <w:tcW w:w="1720" w:type="dxa"/>
            <w:vAlign w:val="bottom"/>
            <w:tcBorders>
              <w:bottom w:val="single" w:sz="8" w:color="006DB6"/>
            </w:tcBorders>
          </w:tcPr>
          <w:p>
            <w:pPr>
              <w:jc w:val="right"/>
              <w:ind w:right="83"/>
              <w:spacing w:after="0"/>
              <w:rPr>
                <w:sz w:val="20"/>
                <w:szCs w:val="20"/>
                <w:color w:val="auto"/>
              </w:rPr>
            </w:pPr>
            <w:r>
              <w:rPr>
                <w:rFonts w:ascii="Arial" w:cs="Arial" w:eastAsia="Arial" w:hAnsi="Arial"/>
                <w:sz w:val="14"/>
                <w:szCs w:val="14"/>
                <w:b w:val="1"/>
                <w:bCs w:val="1"/>
                <w:color w:val="70706F"/>
              </w:rPr>
              <w:t>Adjusted EBITDA</w:t>
            </w:r>
          </w:p>
        </w:tc>
        <w:tc>
          <w:tcPr>
            <w:tcW w:w="11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EBITDA</w:t>
            </w:r>
          </w:p>
        </w:tc>
        <w:tc>
          <w:tcPr>
            <w:tcW w:w="12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706F"/>
              </w:rPr>
              <w:t>Performance</w:t>
            </w:r>
          </w:p>
        </w:tc>
      </w:tr>
      <w:tr>
        <w:trPr>
          <w:trHeight w:val="23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President and Chief Executive Officer</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Former Senior Vice President, Chief Financial Officer and Treasurer</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Senior Vice President, Australia</w:t>
            </w: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3"/>
        </w:trPr>
        <w:tc>
          <w:tcPr>
            <w:tcW w:w="172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5440" w:type="dxa"/>
            <w:vAlign w:val="bottom"/>
          </w:tcPr>
          <w:p>
            <w:pPr>
              <w:ind w:left="220"/>
              <w:spacing w:after="0"/>
              <w:rPr>
                <w:sz w:val="20"/>
                <w:szCs w:val="20"/>
                <w:color w:val="auto"/>
              </w:rPr>
            </w:pPr>
            <w:r>
              <w:rPr>
                <w:rFonts w:ascii="Arial" w:cs="Arial" w:eastAsia="Arial" w:hAnsi="Arial"/>
                <w:sz w:val="16"/>
                <w:szCs w:val="16"/>
                <w:color w:val="auto"/>
              </w:rPr>
              <w:t>Senior Vice President, Canada</w:t>
            </w:r>
          </w:p>
        </w:tc>
        <w:tc>
          <w:tcPr>
            <w:tcW w:w="1720" w:type="dxa"/>
            <w:vAlign w:val="bottom"/>
          </w:tcPr>
          <w:p>
            <w:pPr>
              <w:jc w:val="right"/>
              <w:ind w:right="83"/>
              <w:spacing w:after="0"/>
              <w:rPr>
                <w:sz w:val="20"/>
                <w:szCs w:val="20"/>
                <w:color w:val="auto"/>
              </w:rPr>
            </w:pPr>
            <w:r>
              <w:rPr>
                <w:rFonts w:ascii="Arial" w:cs="Arial" w:eastAsia="Arial" w:hAnsi="Arial"/>
                <w:sz w:val="16"/>
                <w:szCs w:val="16"/>
                <w:color w:val="auto"/>
              </w:rPr>
              <w:t>40%</w:t>
            </w: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00" w:lineRule="exact"/>
        <w:rPr>
          <w:sz w:val="20"/>
          <w:szCs w:val="20"/>
          <w:color w:val="auto"/>
        </w:rPr>
      </w:pPr>
    </w:p>
    <w:p>
      <w:pPr>
        <w:spacing w:after="0" w:line="23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For AICP purposes in 2023, performance metrics consisted of two financial metrics, budgeted Consolidated AICP EBITDA and budgeted Divisional AICP EBITDA (or, for certain executives, just one financial metric, budgeted Consolidated AICP EBITDA), and one metric based on safety performance as measured by TRIR. Consistent with industry and regulatory standards, the calculation of TRIR is based on the number of recordable safety incidents per 200,000 hours worked. The following threshold, target, and over-achievement performance goals were used for determining payouts for our NEOs under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2023 AICP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706F6F"/>
              </w:rPr>
              <w:t>Actual</w:t>
            </w:r>
          </w:p>
        </w:tc>
      </w:tr>
      <w:tr>
        <w:trPr>
          <w:trHeight w:val="219"/>
        </w:trPr>
        <w:tc>
          <w:tcPr>
            <w:tcW w:w="4080" w:type="dxa"/>
            <w:vAlign w:val="bottom"/>
            <w:tcBorders>
              <w:bottom w:val="single" w:sz="8" w:color="006DB6"/>
            </w:tcBorders>
          </w:tcPr>
          <w:p>
            <w:pPr>
              <w:spacing w:after="0"/>
              <w:rPr>
                <w:sz w:val="19"/>
                <w:szCs w:val="19"/>
                <w:color w:val="auto"/>
              </w:rPr>
            </w:pPr>
          </w:p>
        </w:tc>
        <w:tc>
          <w:tcPr>
            <w:tcW w:w="1680" w:type="dxa"/>
            <w:vAlign w:val="bottom"/>
            <w:tcBorders>
              <w:bottom w:val="single" w:sz="8" w:color="006DB6"/>
            </w:tcBorders>
          </w:tcPr>
          <w:p>
            <w:pPr>
              <w:spacing w:after="0"/>
              <w:rPr>
                <w:sz w:val="19"/>
                <w:szCs w:val="19"/>
                <w:color w:val="auto"/>
              </w:rPr>
            </w:pPr>
          </w:p>
        </w:tc>
        <w:tc>
          <w:tcPr>
            <w:tcW w:w="1040" w:type="dxa"/>
            <w:vAlign w:val="bottom"/>
            <w:tcBorders>
              <w:bottom w:val="single" w:sz="8" w:color="006DB6"/>
            </w:tcBorders>
          </w:tcPr>
          <w:p>
            <w:pPr>
              <w:jc w:val="right"/>
              <w:ind w:right="61"/>
              <w:spacing w:after="0"/>
              <w:rPr>
                <w:sz w:val="20"/>
                <w:szCs w:val="20"/>
                <w:color w:val="auto"/>
              </w:rPr>
            </w:pPr>
            <w:r>
              <w:rPr>
                <w:rFonts w:ascii="Arial" w:cs="Arial" w:eastAsia="Arial" w:hAnsi="Arial"/>
                <w:sz w:val="14"/>
                <w:szCs w:val="14"/>
                <w:b w:val="1"/>
                <w:bCs w:val="1"/>
                <w:color w:val="706F6F"/>
              </w:rPr>
              <w:t>Threshold</w:t>
            </w:r>
          </w:p>
        </w:tc>
        <w:tc>
          <w:tcPr>
            <w:tcW w:w="460" w:type="dxa"/>
            <w:vAlign w:val="bottom"/>
            <w:tcBorders>
              <w:bottom w:val="single" w:sz="8" w:color="006DB6"/>
            </w:tcBorders>
          </w:tcPr>
          <w:p>
            <w:pPr>
              <w:spacing w:after="0"/>
              <w:rPr>
                <w:sz w:val="19"/>
                <w:szCs w:val="19"/>
                <w:color w:val="auto"/>
              </w:rPr>
            </w:pPr>
          </w:p>
        </w:tc>
        <w:tc>
          <w:tcPr>
            <w:tcW w:w="880" w:type="dxa"/>
            <w:vAlign w:val="bottom"/>
            <w:tcBorders>
              <w:bottom w:val="single" w:sz="8" w:color="006DB6"/>
            </w:tcBorders>
          </w:tcPr>
          <w:p>
            <w:pPr>
              <w:jc w:val="right"/>
              <w:ind w:right="121"/>
              <w:spacing w:after="0"/>
              <w:rPr>
                <w:sz w:val="20"/>
                <w:szCs w:val="20"/>
                <w:color w:val="auto"/>
              </w:rPr>
            </w:pPr>
            <w:r>
              <w:rPr>
                <w:rFonts w:ascii="Arial" w:cs="Arial" w:eastAsia="Arial" w:hAnsi="Arial"/>
                <w:sz w:val="14"/>
                <w:szCs w:val="14"/>
                <w:b w:val="1"/>
                <w:bCs w:val="1"/>
                <w:color w:val="706F6F"/>
              </w:rPr>
              <w:t>Target</w:t>
            </w:r>
          </w:p>
        </w:tc>
        <w:tc>
          <w:tcPr>
            <w:tcW w:w="1640" w:type="dxa"/>
            <w:vAlign w:val="bottom"/>
            <w:tcBorders>
              <w:bottom w:val="single" w:sz="8" w:color="006DB6"/>
            </w:tcBorders>
            <w:gridSpan w:val="2"/>
          </w:tcPr>
          <w:p>
            <w:pPr>
              <w:jc w:val="right"/>
              <w:ind w:right="79"/>
              <w:spacing w:after="0"/>
              <w:rPr>
                <w:sz w:val="20"/>
                <w:szCs w:val="20"/>
                <w:color w:val="auto"/>
              </w:rPr>
            </w:pPr>
            <w:r>
              <w:rPr>
                <w:rFonts w:ascii="Arial" w:cs="Arial" w:eastAsia="Arial" w:hAnsi="Arial"/>
                <w:sz w:val="14"/>
                <w:szCs w:val="14"/>
                <w:b w:val="1"/>
                <w:bCs w:val="1"/>
                <w:color w:val="706F6F"/>
              </w:rPr>
              <w:t>Over Achievement</w:t>
            </w:r>
          </w:p>
        </w:tc>
        <w:tc>
          <w:tcPr>
            <w:tcW w:w="380" w:type="dxa"/>
            <w:vAlign w:val="bottom"/>
            <w:tcBorders>
              <w:bottom w:val="single" w:sz="8" w:color="006DB6"/>
            </w:tcBorders>
          </w:tcPr>
          <w:p>
            <w:pPr>
              <w:spacing w:after="0"/>
              <w:rPr>
                <w:sz w:val="19"/>
                <w:szCs w:val="19"/>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Achievement</w:t>
            </w:r>
          </w:p>
        </w:tc>
      </w:tr>
      <w:tr>
        <w:trPr>
          <w:trHeight w:val="23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AICP EBITDA (in USD)</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79.7</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93.8</w:t>
            </w: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112.6</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119.7</w:t>
            </w:r>
          </w:p>
        </w:tc>
      </w:tr>
      <w:tr>
        <w:trPr>
          <w:trHeight w:val="227"/>
        </w:trPr>
        <w:tc>
          <w:tcPr>
            <w:tcW w:w="4080" w:type="dxa"/>
            <w:vAlign w:val="bottom"/>
          </w:tcPr>
          <w:p>
            <w:pPr>
              <w:ind w:left="20"/>
              <w:spacing w:after="0"/>
              <w:rPr>
                <w:sz w:val="20"/>
                <w:szCs w:val="20"/>
                <w:color w:val="auto"/>
              </w:rPr>
            </w:pPr>
            <w:r>
              <w:rPr>
                <w:rFonts w:ascii="Arial" w:cs="Arial" w:eastAsia="Arial" w:hAnsi="Arial"/>
                <w:sz w:val="16"/>
                <w:szCs w:val="16"/>
                <w:color w:val="auto"/>
              </w:rPr>
              <w:t>Division EBITDA Targets</w:t>
            </w: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4080" w:type="dxa"/>
            <w:vAlign w:val="bottom"/>
          </w:tcPr>
          <w:p>
            <w:pPr>
              <w:ind w:left="160"/>
              <w:spacing w:after="0"/>
              <w:rPr>
                <w:sz w:val="20"/>
                <w:szCs w:val="20"/>
                <w:color w:val="auto"/>
              </w:rPr>
            </w:pPr>
            <w:r>
              <w:rPr>
                <w:rFonts w:ascii="Arial" w:cs="Arial" w:eastAsia="Arial" w:hAnsi="Arial"/>
                <w:sz w:val="16"/>
                <w:szCs w:val="16"/>
                <w:color w:val="auto"/>
              </w:rPr>
              <w:t>Canada (in CAD)</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57.7</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1"/>
              <w:spacing w:after="0"/>
              <w:rPr>
                <w:sz w:val="20"/>
                <w:szCs w:val="20"/>
                <w:color w:val="auto"/>
              </w:rPr>
            </w:pPr>
            <w:r>
              <w:rPr>
                <w:rFonts w:ascii="Arial" w:cs="Arial" w:eastAsia="Arial" w:hAnsi="Arial"/>
                <w:sz w:val="16"/>
                <w:szCs w:val="16"/>
                <w:color w:val="auto"/>
              </w:rPr>
              <w:t>67.9</w:t>
            </w:r>
          </w:p>
        </w:tc>
        <w:tc>
          <w:tcPr>
            <w:tcW w:w="6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81.5</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95.3</w:t>
            </w:r>
          </w:p>
        </w:tc>
      </w:tr>
      <w:tr>
        <w:trPr>
          <w:trHeight w:val="252"/>
        </w:trPr>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Australia (in AUD)</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87.7</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103.1</w:t>
            </w:r>
          </w:p>
        </w:tc>
        <w:tc>
          <w:tcPr>
            <w:tcW w:w="6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123.8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111.2</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Global TRIR Targets</w:t>
            </w:r>
          </w:p>
        </w:tc>
        <w:tc>
          <w:tcPr>
            <w:tcW w:w="168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0.89</w:t>
            </w:r>
          </w:p>
        </w:tc>
        <w:tc>
          <w:tcPr>
            <w:tcW w:w="460" w:type="dxa"/>
            <w:vAlign w:val="bottom"/>
          </w:tcPr>
          <w:p>
            <w:pPr>
              <w:spacing w:after="0"/>
              <w:rPr>
                <w:sz w:val="19"/>
                <w:szCs w:val="19"/>
                <w:color w:val="auto"/>
              </w:rPr>
            </w:pPr>
          </w:p>
        </w:tc>
        <w:tc>
          <w:tcPr>
            <w:tcW w:w="880" w:type="dxa"/>
            <w:vAlign w:val="bottom"/>
          </w:tcPr>
          <w:p>
            <w:pPr>
              <w:jc w:val="right"/>
              <w:ind w:right="121"/>
              <w:spacing w:after="0"/>
              <w:rPr>
                <w:sz w:val="20"/>
                <w:szCs w:val="20"/>
                <w:color w:val="auto"/>
              </w:rPr>
            </w:pPr>
            <w:r>
              <w:rPr>
                <w:rFonts w:ascii="Arial" w:cs="Arial" w:eastAsia="Arial" w:hAnsi="Arial"/>
                <w:sz w:val="16"/>
                <w:szCs w:val="16"/>
                <w:color w:val="auto"/>
              </w:rPr>
              <w:t>0.70</w:t>
            </w:r>
          </w:p>
        </w:tc>
        <w:tc>
          <w:tcPr>
            <w:tcW w:w="66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0.40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0.45</w:t>
            </w:r>
          </w:p>
        </w:tc>
      </w:tr>
    </w:tbl>
    <w:p>
      <w:pPr>
        <w:spacing w:after="0" w:line="32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For 2023, specific adjustments to EBITDA included impairment expenses, expenses related to unbudgeted variability in stock-based compensation expense, changes in foreign exchange rates, net gains associated with the sale of the McClelland Lake Lodge and mobile camp demobilization costs that were deferred into future years. The adjustments to EBITDA in 2023 were consistent with past practices.</w:t>
      </w:r>
    </w:p>
    <w:p>
      <w:pPr>
        <w:spacing w:after="0" w:line="8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2023 global safety TRIR target was set at a more challenging level by lowering the target to 0.70 as compared to the target set in 2022 of 0.72. The global safety target is a consolidation of the various region specific TRIR goals from Australia, Canada and the United States.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In 2023, the following performance results under the AICP were considered for award determination purposes:</w:t>
      </w:r>
    </w:p>
    <w:p>
      <w:pPr>
        <w:spacing w:after="0" w:line="113"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Consolidated AICP EBITDA of US $119.7 million (127.6% of budget);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AICP EBITDA for our Canadian division of CAD $95.3 million (140.4% of budget);</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AICP EBITDA for our Australian division of AUD $111.2 million (107.9% of budget); and</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41"/>
        </w:numPr>
        <w:rPr>
          <w:rFonts w:ascii="Arial" w:cs="Arial" w:eastAsia="Arial" w:hAnsi="Arial"/>
          <w:sz w:val="16"/>
          <w:szCs w:val="16"/>
          <w:color w:val="006DB6"/>
        </w:rPr>
      </w:pPr>
      <w:r>
        <w:rPr>
          <w:rFonts w:ascii="Arial" w:cs="Arial" w:eastAsia="Arial" w:hAnsi="Arial"/>
          <w:sz w:val="16"/>
          <w:szCs w:val="16"/>
          <w:color w:val="auto"/>
        </w:rPr>
        <w:t>TRIR safety performance achievement of 183% payout for Consolidated; 188% payout for Canada and 177% payout for Australia.</w:t>
      </w:r>
    </w:p>
    <w:p>
      <w:pPr>
        <w:spacing w:after="0" w:line="12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Based on these results, the following AICP payouts were approved by the Compensation Committee. These payouts are stated in U.S. dollars. Mr. McCann’s bonus, which is paid out in Australian dollars, has been converted to U.S. dollars below at an exchange rate of $0.6646 U.S. dollar per Australian dollar, the average exchange rate for 2023. Mr. Schoening’s bonus, which is paid out in Canadian dollars, has been converted to U.S. dollars below at an exchange rate of $0.7411 U.S. dollar per Canadian dollar, the average exchange rate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153035</wp:posOffset>
            </wp:positionV>
            <wp:extent cx="394335" cy="1968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6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tcBorders>
              <w:bottom w:val="single" w:sz="8" w:color="006DB6"/>
            </w:tcBorders>
          </w:tcPr>
          <w:p>
            <w:pPr>
              <w:spacing w:after="0"/>
              <w:rPr>
                <w:sz w:val="19"/>
                <w:szCs w:val="19"/>
                <w:color w:val="auto"/>
              </w:rPr>
            </w:pPr>
          </w:p>
        </w:tc>
        <w:tc>
          <w:tcPr>
            <w:tcW w:w="2160" w:type="dxa"/>
            <w:vAlign w:val="bottom"/>
            <w:tcBorders>
              <w:bottom w:val="single" w:sz="8" w:color="006DB6"/>
            </w:tcBorders>
            <w:gridSpan w:val="3"/>
          </w:tcPr>
          <w:p>
            <w:pPr>
              <w:jc w:val="right"/>
              <w:ind w:right="341"/>
              <w:spacing w:after="0"/>
              <w:rPr>
                <w:sz w:val="20"/>
                <w:szCs w:val="20"/>
                <w:color w:val="auto"/>
              </w:rPr>
            </w:pPr>
            <w:r>
              <w:rPr>
                <w:rFonts w:ascii="Arial" w:cs="Arial" w:eastAsia="Arial" w:hAnsi="Arial"/>
                <w:sz w:val="14"/>
                <w:szCs w:val="14"/>
                <w:b w:val="1"/>
                <w:bCs w:val="1"/>
                <w:color w:val="706F6F"/>
              </w:rPr>
              <w:t>Business Performance</w:t>
            </w:r>
          </w:p>
        </w:tc>
        <w:tc>
          <w:tcPr>
            <w:tcW w:w="140" w:type="dxa"/>
            <w:vAlign w:val="bottom"/>
          </w:tcPr>
          <w:p>
            <w:pPr>
              <w:spacing w:after="0"/>
              <w:rPr>
                <w:sz w:val="19"/>
                <w:szCs w:val="19"/>
                <w:color w:val="auto"/>
              </w:rPr>
            </w:pPr>
          </w:p>
        </w:tc>
        <w:tc>
          <w:tcPr>
            <w:tcW w:w="340" w:type="dxa"/>
            <w:vAlign w:val="bottom"/>
            <w:tcBorders>
              <w:bottom w:val="single" w:sz="8" w:color="006DB6"/>
            </w:tcBorders>
          </w:tcPr>
          <w:p>
            <w:pPr>
              <w:spacing w:after="0"/>
              <w:rPr>
                <w:sz w:val="19"/>
                <w:szCs w:val="19"/>
                <w:color w:val="auto"/>
              </w:rPr>
            </w:pPr>
          </w:p>
        </w:tc>
        <w:tc>
          <w:tcPr>
            <w:tcW w:w="2240" w:type="dxa"/>
            <w:vAlign w:val="bottom"/>
            <w:tcBorders>
              <w:bottom w:val="single" w:sz="8" w:color="006DB6"/>
            </w:tcBorders>
            <w:gridSpan w:val="2"/>
          </w:tcPr>
          <w:p>
            <w:pPr>
              <w:jc w:val="right"/>
              <w:ind w:right="601"/>
              <w:spacing w:after="0"/>
              <w:rPr>
                <w:sz w:val="20"/>
                <w:szCs w:val="20"/>
                <w:color w:val="auto"/>
              </w:rPr>
            </w:pPr>
            <w:r>
              <w:rPr>
                <w:rFonts w:ascii="Arial" w:cs="Arial" w:eastAsia="Arial" w:hAnsi="Arial"/>
                <w:sz w:val="14"/>
                <w:szCs w:val="14"/>
                <w:b w:val="1"/>
                <w:bCs w:val="1"/>
                <w:color w:val="706F6F"/>
              </w:rPr>
              <w:t>Total AICP Payout</w:t>
            </w:r>
          </w:p>
        </w:tc>
      </w:tr>
      <w:tr>
        <w:trPr>
          <w:trHeight w:val="237"/>
        </w:trPr>
        <w:tc>
          <w:tcPr>
            <w:tcW w:w="16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4320" w:type="dxa"/>
            <w:vAlign w:val="bottom"/>
            <w:tcBorders>
              <w:bottom w:val="single" w:sz="8" w:color="006DB6"/>
            </w:tcBorders>
          </w:tcPr>
          <w:p>
            <w:pPr>
              <w:ind w:left="160"/>
              <w:spacing w:after="0"/>
              <w:rPr>
                <w:sz w:val="20"/>
                <w:szCs w:val="20"/>
                <w:color w:val="auto"/>
              </w:rPr>
            </w:pPr>
            <w:r>
              <w:rPr>
                <w:rFonts w:ascii="Arial" w:cs="Arial" w:eastAsia="Arial" w:hAnsi="Arial"/>
                <w:sz w:val="14"/>
                <w:szCs w:val="14"/>
                <w:b w:val="1"/>
                <w:bCs w:val="1"/>
                <w:color w:val="706F6F"/>
              </w:rPr>
              <w:t>Position</w:t>
            </w:r>
          </w:p>
        </w:tc>
        <w:tc>
          <w:tcPr>
            <w:tcW w:w="240" w:type="dxa"/>
            <w:vAlign w:val="bottom"/>
            <w:tcBorders>
              <w:bottom w:val="single" w:sz="8" w:color="006DB6"/>
            </w:tcBorders>
          </w:tcPr>
          <w:p>
            <w:pPr>
              <w:spacing w:after="0"/>
              <w:rPr>
                <w:sz w:val="20"/>
                <w:szCs w:val="20"/>
                <w:color w:val="auto"/>
              </w:rPr>
            </w:pPr>
          </w:p>
        </w:tc>
        <w:tc>
          <w:tcPr>
            <w:tcW w:w="1060" w:type="dxa"/>
            <w:vAlign w:val="bottom"/>
            <w:tcBorders>
              <w:bottom w:val="single" w:sz="8" w:color="006DB6"/>
            </w:tcBorders>
          </w:tcPr>
          <w:p>
            <w:pPr>
              <w:jc w:val="right"/>
              <w:ind w:right="302"/>
              <w:spacing w:after="0"/>
              <w:rPr>
                <w:sz w:val="20"/>
                <w:szCs w:val="20"/>
                <w:color w:val="auto"/>
              </w:rPr>
            </w:pPr>
            <w:r>
              <w:rPr>
                <w:rFonts w:ascii="Arial" w:cs="Arial" w:eastAsia="Arial" w:hAnsi="Arial"/>
                <w:sz w:val="14"/>
                <w:szCs w:val="14"/>
                <w:b w:val="1"/>
                <w:bCs w:val="1"/>
                <w:color w:val="706F6F"/>
              </w:rPr>
              <w:t>Financial</w:t>
            </w:r>
          </w:p>
        </w:tc>
        <w:tc>
          <w:tcPr>
            <w:tcW w:w="26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gridSpan w:val="2"/>
          </w:tcPr>
          <w:p>
            <w:pPr>
              <w:ind w:left="20"/>
              <w:spacing w:after="0"/>
              <w:rPr>
                <w:sz w:val="20"/>
                <w:szCs w:val="20"/>
                <w:color w:val="auto"/>
              </w:rPr>
            </w:pPr>
            <w:r>
              <w:rPr>
                <w:rFonts w:ascii="Arial" w:cs="Arial" w:eastAsia="Arial" w:hAnsi="Arial"/>
                <w:sz w:val="14"/>
                <w:szCs w:val="14"/>
                <w:b w:val="1"/>
                <w:bCs w:val="1"/>
                <w:color w:val="706F6F"/>
              </w:rPr>
              <w:t>Safety</w:t>
            </w:r>
          </w:p>
        </w:tc>
        <w:tc>
          <w:tcPr>
            <w:tcW w:w="34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tcPr>
          <w:p>
            <w:pPr>
              <w:jc w:val="right"/>
              <w:ind w:right="602"/>
              <w:spacing w:after="0"/>
              <w:rPr>
                <w:sz w:val="20"/>
                <w:szCs w:val="20"/>
                <w:color w:val="auto"/>
              </w:rPr>
            </w:pPr>
            <w:r>
              <w:rPr>
                <w:rFonts w:ascii="Arial" w:cs="Arial" w:eastAsia="Arial" w:hAnsi="Arial"/>
                <w:sz w:val="14"/>
                <w:szCs w:val="14"/>
                <w:b w:val="1"/>
                <w:bCs w:val="1"/>
                <w:color w:val="706F6F"/>
              </w:rPr>
              <w:t>$</w:t>
            </w:r>
          </w:p>
        </w:tc>
        <w:tc>
          <w:tcPr>
            <w:tcW w:w="126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 of Target</w:t>
            </w:r>
          </w:p>
        </w:tc>
      </w:tr>
      <w:tr>
        <w:trPr>
          <w:trHeight w:val="239"/>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President and Chief Executive Officer</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1,200,000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274,995</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1,474,995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197 %</w:t>
            </w:r>
          </w:p>
        </w:tc>
      </w:tr>
      <w:tr>
        <w:trPr>
          <w:trHeight w:val="199"/>
        </w:trPr>
        <w:tc>
          <w:tcPr>
            <w:tcW w:w="1660" w:type="dxa"/>
            <w:vAlign w:val="bottom"/>
          </w:tcPr>
          <w:p>
            <w:pPr>
              <w:ind w:left="20"/>
              <w:spacing w:after="0"/>
              <w:rPr>
                <w:sz w:val="20"/>
                <w:szCs w:val="20"/>
                <w:color w:val="auto"/>
              </w:rPr>
            </w:pPr>
            <w:r>
              <w:rPr>
                <w:rFonts w:ascii="Arial" w:cs="Arial" w:eastAsia="Arial" w:hAnsi="Arial"/>
                <w:sz w:val="16"/>
                <w:szCs w:val="16"/>
                <w:b w:val="1"/>
                <w:bCs w:val="1"/>
                <w:color w:val="006DB6"/>
              </w:rPr>
              <w:t>Carolyn J. Stone</w:t>
            </w:r>
          </w:p>
        </w:tc>
        <w:tc>
          <w:tcPr>
            <w:tcW w:w="4320" w:type="dxa"/>
            <w:vAlign w:val="bottom"/>
          </w:tcPr>
          <w:p>
            <w:pPr>
              <w:ind w:left="160"/>
              <w:spacing w:after="0"/>
              <w:rPr>
                <w:sz w:val="20"/>
                <w:szCs w:val="20"/>
                <w:color w:val="auto"/>
              </w:rPr>
            </w:pPr>
            <w:r>
              <w:rPr>
                <w:rFonts w:ascii="Arial" w:cs="Arial" w:eastAsia="Arial" w:hAnsi="Arial"/>
                <w:sz w:val="16"/>
                <w:szCs w:val="16"/>
                <w:color w:val="auto"/>
              </w:rPr>
              <w:t>Former Senior Vice President, Chief Financial Officer and</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476,000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109,081</w:t>
            </w:r>
          </w:p>
        </w:tc>
        <w:tc>
          <w:tcPr>
            <w:tcW w:w="140" w:type="dxa"/>
            <w:vAlign w:val="bottom"/>
          </w:tcPr>
          <w:p>
            <w:pPr>
              <w:spacing w:after="0"/>
              <w:rPr>
                <w:sz w:val="17"/>
                <w:szCs w:val="17"/>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585,081</w:t>
            </w:r>
          </w:p>
        </w:tc>
        <w:tc>
          <w:tcPr>
            <w:tcW w:w="1260" w:type="dxa"/>
            <w:vAlign w:val="bottom"/>
          </w:tcPr>
          <w:p>
            <w:pPr>
              <w:jc w:val="right"/>
              <w:spacing w:after="0"/>
              <w:rPr>
                <w:sz w:val="20"/>
                <w:szCs w:val="20"/>
                <w:color w:val="auto"/>
              </w:rPr>
            </w:pPr>
            <w:r>
              <w:rPr>
                <w:rFonts w:ascii="Arial" w:cs="Arial" w:eastAsia="Arial" w:hAnsi="Arial"/>
                <w:sz w:val="16"/>
                <w:szCs w:val="16"/>
                <w:color w:val="auto"/>
              </w:rPr>
              <w:t>197 %</w:t>
            </w:r>
          </w:p>
        </w:tc>
      </w:tr>
      <w:tr>
        <w:trPr>
          <w:trHeight w:val="215"/>
        </w:trPr>
        <w:tc>
          <w:tcPr>
            <w:tcW w:w="16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6"/>
                <w:szCs w:val="16"/>
                <w:color w:val="auto"/>
              </w:rPr>
              <w:t>Treasurer</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9"/>
        </w:trPr>
        <w:tc>
          <w:tcPr>
            <w:tcW w:w="16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Senior Vice President, Australia</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283,893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74,167</w:t>
            </w: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358,060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171 %</w:t>
            </w:r>
          </w:p>
        </w:tc>
      </w:tr>
      <w:tr>
        <w:trPr>
          <w:trHeight w:val="233"/>
        </w:trPr>
        <w:tc>
          <w:tcPr>
            <w:tcW w:w="166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4320" w:type="dxa"/>
            <w:vAlign w:val="bottom"/>
          </w:tcPr>
          <w:p>
            <w:pPr>
              <w:ind w:left="160"/>
              <w:spacing w:after="0"/>
              <w:rPr>
                <w:sz w:val="20"/>
                <w:szCs w:val="20"/>
                <w:color w:val="auto"/>
              </w:rPr>
            </w:pPr>
            <w:r>
              <w:rPr>
                <w:rFonts w:ascii="Arial" w:cs="Arial" w:eastAsia="Arial" w:hAnsi="Arial"/>
                <w:sz w:val="16"/>
                <w:szCs w:val="16"/>
                <w:color w:val="auto"/>
              </w:rPr>
              <w:t>Senior Vice President, Canada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423,316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99,479</w:t>
            </w:r>
          </w:p>
        </w:tc>
        <w:tc>
          <w:tcPr>
            <w:tcW w:w="140" w:type="dxa"/>
            <w:vAlign w:val="bottom"/>
          </w:tcPr>
          <w:p>
            <w:pPr>
              <w:spacing w:after="0"/>
              <w:rPr>
                <w:sz w:val="20"/>
                <w:szCs w:val="20"/>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522,795</w:t>
            </w:r>
          </w:p>
        </w:tc>
        <w:tc>
          <w:tcPr>
            <w:tcW w:w="1260" w:type="dxa"/>
            <w:vAlign w:val="bottom"/>
          </w:tcPr>
          <w:p>
            <w:pPr>
              <w:jc w:val="right"/>
              <w:spacing w:after="0"/>
              <w:rPr>
                <w:sz w:val="20"/>
                <w:szCs w:val="20"/>
                <w:color w:val="auto"/>
              </w:rPr>
            </w:pPr>
            <w:r>
              <w:rPr>
                <w:rFonts w:ascii="Arial" w:cs="Arial" w:eastAsia="Arial" w:hAnsi="Arial"/>
                <w:sz w:val="16"/>
                <w:szCs w:val="16"/>
                <w:color w:val="auto"/>
              </w:rPr>
              <w:t>198 %</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Long-Term Incentive Plan</w:t>
      </w:r>
    </w:p>
    <w:p>
      <w:pPr>
        <w:spacing w:after="0" w:line="7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2023, all NEOs received equity awards made up of 50% time-based phantom share units and 50% cliff-vested performance share awards. All long-term incentive awards made to employees are generally subject to a three-year vesting period, with time-based awards vesting in equal installments on each of the first three anniversaries of the date of grant and performance-based awards vesting on the third anniversary of the date of grant, subject to achievement of the applicable performance goals. All awards are subject to the approval of our Compensation Committee.</w:t>
      </w:r>
    </w:p>
    <w:p>
      <w:pPr>
        <w:spacing w:after="0" w:line="74"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spacing w:after="0" w:line="5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For 2023, Civeo granted a combination of phantom share units and performance-based share awards as long-term incentive awards to its NEOs and other key employees. The value of awards made to individuals in this group took into consideration the following factors:</w:t>
      </w:r>
    </w:p>
    <w:p>
      <w:pPr>
        <w:spacing w:after="0" w:line="33"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Corporate, business unit and individual performance;</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Competitive market practice;</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Executive retention;</w:t>
      </w:r>
    </w:p>
    <w:p>
      <w:pPr>
        <w:spacing w:after="0" w:line="113"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Impact of awards and quantum of awards on dilution and liquidity; and</w:t>
      </w:r>
    </w:p>
    <w:p>
      <w:pPr>
        <w:spacing w:after="0" w:line="126" w:lineRule="exact"/>
        <w:rPr>
          <w:rFonts w:ascii="Arial" w:cs="Arial" w:eastAsia="Arial" w:hAnsi="Arial"/>
          <w:sz w:val="16"/>
          <w:szCs w:val="16"/>
          <w:color w:val="006DB6"/>
        </w:rPr>
      </w:pPr>
    </w:p>
    <w:p>
      <w:pPr>
        <w:ind w:left="180" w:hanging="172"/>
        <w:spacing w:after="0"/>
        <w:tabs>
          <w:tab w:leader="none" w:pos="180" w:val="left"/>
        </w:tabs>
        <w:numPr>
          <w:ilvl w:val="0"/>
          <w:numId w:val="42"/>
        </w:numPr>
        <w:rPr>
          <w:rFonts w:ascii="Arial" w:cs="Arial" w:eastAsia="Arial" w:hAnsi="Arial"/>
          <w:sz w:val="16"/>
          <w:szCs w:val="16"/>
          <w:color w:val="006DB6"/>
        </w:rPr>
      </w:pPr>
      <w:r>
        <w:rPr>
          <w:rFonts w:ascii="Arial" w:cs="Arial" w:eastAsia="Arial" w:hAnsi="Arial"/>
          <w:sz w:val="16"/>
          <w:szCs w:val="16"/>
          <w:color w:val="auto"/>
        </w:rPr>
        <w:t>Tax considerations in the U.S., Canada and Australia.</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LTIP awards approved by the Compensation Committee were made at levels consistent with past practices.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900" w:type="dxa"/>
            <w:vAlign w:val="bottom"/>
          </w:tcPr>
          <w:p>
            <w:pPr>
              <w:jc w:val="right"/>
              <w:ind w:right="3"/>
              <w:spacing w:after="0"/>
              <w:rPr>
                <w:sz w:val="20"/>
                <w:szCs w:val="20"/>
                <w:color w:val="auto"/>
              </w:rPr>
            </w:pPr>
            <w:r>
              <w:rPr>
                <w:rFonts w:ascii="Arial" w:cs="Arial" w:eastAsia="Arial" w:hAnsi="Arial"/>
                <w:sz w:val="14"/>
                <w:szCs w:val="14"/>
                <w:b w:val="1"/>
                <w:bCs w:val="1"/>
                <w:color w:val="706F6F"/>
              </w:rPr>
              <w:t>Phantom</w:t>
            </w: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706F6F"/>
              </w:rPr>
              <w:t>Performance</w:t>
            </w:r>
          </w:p>
        </w:tc>
        <w:tc>
          <w:tcPr>
            <w:tcW w:w="1320" w:type="dxa"/>
            <w:vAlign w:val="bottom"/>
            <w:gridSpan w:val="2"/>
          </w:tcPr>
          <w:p>
            <w:pPr>
              <w:jc w:val="right"/>
              <w:ind w:right="21"/>
              <w:spacing w:after="0"/>
              <w:rPr>
                <w:sz w:val="20"/>
                <w:szCs w:val="20"/>
                <w:color w:val="auto"/>
              </w:rPr>
            </w:pPr>
            <w:r>
              <w:rPr>
                <w:rFonts w:ascii="Arial" w:cs="Arial" w:eastAsia="Arial" w:hAnsi="Arial"/>
                <w:sz w:val="14"/>
                <w:szCs w:val="14"/>
                <w:b w:val="1"/>
                <w:bCs w:val="1"/>
                <w:color w:val="706F6F"/>
              </w:rPr>
              <w:t>Stock Price at</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4600" w:type="dxa"/>
            <w:vAlign w:val="bottom"/>
            <w:vMerge w:val="restart"/>
          </w:tcPr>
          <w:p>
            <w:pPr>
              <w:ind w:left="280"/>
              <w:spacing w:after="0"/>
              <w:rPr>
                <w:sz w:val="20"/>
                <w:szCs w:val="20"/>
                <w:color w:val="auto"/>
              </w:rPr>
            </w:pPr>
            <w:r>
              <w:rPr>
                <w:rFonts w:ascii="Arial" w:cs="Arial" w:eastAsia="Arial" w:hAnsi="Arial"/>
                <w:sz w:val="14"/>
                <w:szCs w:val="14"/>
                <w:b w:val="1"/>
                <w:bCs w:val="1"/>
                <w:color w:val="706F6F"/>
              </w:rPr>
              <w:t>Position</w:t>
            </w:r>
          </w:p>
        </w:tc>
        <w:tc>
          <w:tcPr>
            <w:tcW w:w="900" w:type="dxa"/>
            <w:vAlign w:val="bottom"/>
          </w:tcPr>
          <w:p>
            <w:pPr>
              <w:jc w:val="right"/>
              <w:ind w:right="3"/>
              <w:spacing w:after="0"/>
              <w:rPr>
                <w:sz w:val="20"/>
                <w:szCs w:val="20"/>
                <w:color w:val="auto"/>
              </w:rPr>
            </w:pPr>
            <w:r>
              <w:rPr>
                <w:rFonts w:ascii="Arial" w:cs="Arial" w:eastAsia="Arial" w:hAnsi="Arial"/>
                <w:sz w:val="14"/>
                <w:szCs w:val="14"/>
                <w:b w:val="1"/>
                <w:bCs w:val="1"/>
                <w:color w:val="706F6F"/>
              </w:rPr>
              <w:t>Share</w:t>
            </w:r>
          </w:p>
        </w:tc>
        <w:tc>
          <w:tcPr>
            <w:tcW w:w="1460" w:type="dxa"/>
            <w:vAlign w:val="bottom"/>
          </w:tcPr>
          <w:p>
            <w:pPr>
              <w:jc w:val="right"/>
              <w:ind w:right="183"/>
              <w:spacing w:after="0"/>
              <w:rPr>
                <w:sz w:val="20"/>
                <w:szCs w:val="20"/>
                <w:color w:val="auto"/>
              </w:rPr>
            </w:pPr>
            <w:r>
              <w:rPr>
                <w:rFonts w:ascii="Arial" w:cs="Arial" w:eastAsia="Arial" w:hAnsi="Arial"/>
                <w:sz w:val="14"/>
                <w:szCs w:val="14"/>
                <w:b w:val="1"/>
                <w:bCs w:val="1"/>
                <w:color w:val="706F6F"/>
              </w:rPr>
              <w:t>Share Awards at</w:t>
            </w:r>
          </w:p>
        </w:tc>
        <w:tc>
          <w:tcPr>
            <w:tcW w:w="1320" w:type="dxa"/>
            <w:vAlign w:val="bottom"/>
            <w:gridSpan w:val="2"/>
          </w:tcPr>
          <w:p>
            <w:pPr>
              <w:jc w:val="right"/>
              <w:ind w:right="21"/>
              <w:spacing w:after="0"/>
              <w:rPr>
                <w:sz w:val="20"/>
                <w:szCs w:val="20"/>
                <w:color w:val="auto"/>
              </w:rPr>
            </w:pPr>
            <w:r>
              <w:rPr>
                <w:rFonts w:ascii="Arial" w:cs="Arial" w:eastAsia="Arial" w:hAnsi="Arial"/>
                <w:sz w:val="14"/>
                <w:szCs w:val="14"/>
                <w:b w:val="1"/>
                <w:bCs w:val="1"/>
                <w:color w:val="706F6F"/>
              </w:rPr>
              <w:t>Date of Grant</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Valuation</w:t>
            </w:r>
            <w:r>
              <w:rPr>
                <w:rFonts w:ascii="Arial" w:cs="Arial" w:eastAsia="Arial" w:hAnsi="Arial"/>
                <w:sz w:val="18"/>
                <w:szCs w:val="18"/>
                <w:b w:val="1"/>
                <w:bCs w:val="1"/>
                <w:color w:val="706F6F"/>
                <w:vertAlign w:val="superscript"/>
              </w:rPr>
              <w:t>(1)</w:t>
            </w:r>
          </w:p>
        </w:tc>
        <w:tc>
          <w:tcPr>
            <w:tcW w:w="0" w:type="dxa"/>
            <w:vAlign w:val="bottom"/>
          </w:tcPr>
          <w:p>
            <w:pPr>
              <w:spacing w:after="0"/>
              <w:rPr>
                <w:sz w:val="1"/>
                <w:szCs w:val="1"/>
                <w:color w:val="auto"/>
              </w:rPr>
            </w:pPr>
          </w:p>
        </w:tc>
      </w:tr>
      <w:tr>
        <w:trPr>
          <w:trHeight w:val="205"/>
        </w:trPr>
        <w:tc>
          <w:tcPr>
            <w:tcW w:w="1780" w:type="dxa"/>
            <w:vAlign w:val="bottom"/>
            <w:tcBorders>
              <w:bottom w:val="single" w:sz="8" w:color="006DB6"/>
            </w:tcBorders>
            <w:vMerge w:val="continue"/>
          </w:tcPr>
          <w:p>
            <w:pPr>
              <w:spacing w:after="0"/>
              <w:rPr>
                <w:sz w:val="17"/>
                <w:szCs w:val="17"/>
                <w:color w:val="auto"/>
              </w:rPr>
            </w:pPr>
          </w:p>
        </w:tc>
        <w:tc>
          <w:tcPr>
            <w:tcW w:w="4600" w:type="dxa"/>
            <w:vAlign w:val="bottom"/>
            <w:tcBorders>
              <w:bottom w:val="single" w:sz="8" w:color="006DB6"/>
            </w:tcBorders>
            <w:vMerge w:val="continue"/>
          </w:tcPr>
          <w:p>
            <w:pPr>
              <w:spacing w:after="0"/>
              <w:rPr>
                <w:sz w:val="17"/>
                <w:szCs w:val="17"/>
                <w:color w:val="auto"/>
              </w:rPr>
            </w:pPr>
          </w:p>
        </w:tc>
        <w:tc>
          <w:tcPr>
            <w:tcW w:w="900" w:type="dxa"/>
            <w:vAlign w:val="bottom"/>
            <w:tcBorders>
              <w:bottom w:val="single" w:sz="8" w:color="006DB6"/>
            </w:tcBorders>
          </w:tcPr>
          <w:p>
            <w:pPr>
              <w:jc w:val="right"/>
              <w:ind w:right="3"/>
              <w:spacing w:after="0"/>
              <w:rPr>
                <w:sz w:val="20"/>
                <w:szCs w:val="20"/>
                <w:color w:val="auto"/>
              </w:rPr>
            </w:pPr>
            <w:r>
              <w:rPr>
                <w:rFonts w:ascii="Arial" w:cs="Arial" w:eastAsia="Arial" w:hAnsi="Arial"/>
                <w:sz w:val="14"/>
                <w:szCs w:val="14"/>
                <w:b w:val="1"/>
                <w:bCs w:val="1"/>
                <w:color w:val="706F6F"/>
              </w:rPr>
              <w:t>Units</w:t>
            </w:r>
          </w:p>
        </w:tc>
        <w:tc>
          <w:tcPr>
            <w:tcW w:w="1460" w:type="dxa"/>
            <w:vAlign w:val="bottom"/>
            <w:tcBorders>
              <w:bottom w:val="single" w:sz="8" w:color="006DB6"/>
            </w:tcBorders>
          </w:tcPr>
          <w:p>
            <w:pPr>
              <w:jc w:val="right"/>
              <w:ind w:right="183"/>
              <w:spacing w:after="0"/>
              <w:rPr>
                <w:sz w:val="20"/>
                <w:szCs w:val="20"/>
                <w:color w:val="auto"/>
              </w:rPr>
            </w:pPr>
            <w:r>
              <w:rPr>
                <w:rFonts w:ascii="Arial" w:cs="Arial" w:eastAsia="Arial" w:hAnsi="Arial"/>
                <w:sz w:val="14"/>
                <w:szCs w:val="14"/>
                <w:b w:val="1"/>
                <w:bCs w:val="1"/>
                <w:color w:val="706F6F"/>
              </w:rPr>
              <w:t>Target</w:t>
            </w:r>
          </w:p>
        </w:tc>
        <w:tc>
          <w:tcPr>
            <w:tcW w:w="700" w:type="dxa"/>
            <w:vAlign w:val="bottom"/>
            <w:tcBorders>
              <w:bottom w:val="single" w:sz="8" w:color="006DB6"/>
            </w:tcBorders>
          </w:tcPr>
          <w:p>
            <w:pPr>
              <w:spacing w:after="0"/>
              <w:rPr>
                <w:sz w:val="17"/>
                <w:szCs w:val="17"/>
                <w:color w:val="auto"/>
              </w:rPr>
            </w:pPr>
          </w:p>
        </w:tc>
        <w:tc>
          <w:tcPr>
            <w:tcW w:w="620" w:type="dxa"/>
            <w:vAlign w:val="bottom"/>
            <w:tcBorders>
              <w:bottom w:val="single" w:sz="8" w:color="006DB6"/>
            </w:tcBorders>
          </w:tcPr>
          <w:p>
            <w:pPr>
              <w:jc w:val="right"/>
              <w:ind w:right="21"/>
              <w:spacing w:after="0"/>
              <w:rPr>
                <w:sz w:val="20"/>
                <w:szCs w:val="20"/>
                <w:color w:val="auto"/>
              </w:rPr>
            </w:pPr>
            <w:r>
              <w:rPr>
                <w:rFonts w:ascii="Arial" w:cs="Arial" w:eastAsia="Arial" w:hAnsi="Arial"/>
                <w:sz w:val="14"/>
                <w:szCs w:val="14"/>
                <w:b w:val="1"/>
                <w:bCs w:val="1"/>
                <w:color w:val="706F6F"/>
              </w:rPr>
              <w:t>($)</w:t>
            </w:r>
          </w:p>
        </w:tc>
        <w:tc>
          <w:tcPr>
            <w:tcW w:w="280" w:type="dxa"/>
            <w:vAlign w:val="bottom"/>
            <w:tcBorders>
              <w:bottom w:val="single" w:sz="8" w:color="006DB6"/>
            </w:tcBorders>
          </w:tcPr>
          <w:p>
            <w:pPr>
              <w:spacing w:after="0"/>
              <w:rPr>
                <w:sz w:val="17"/>
                <w:szCs w:val="17"/>
                <w:color w:val="auto"/>
              </w:rPr>
            </w:pPr>
          </w:p>
        </w:tc>
        <w:tc>
          <w:tcPr>
            <w:tcW w:w="900" w:type="dxa"/>
            <w:vAlign w:val="bottom"/>
            <w:tcBorders>
              <w:bottom w:val="single" w:sz="8" w:color="006DB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46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President and Chief Executive Officer</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40,459</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40,459</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2,811,698</w:t>
            </w:r>
          </w:p>
        </w:tc>
        <w:tc>
          <w:tcPr>
            <w:tcW w:w="0" w:type="dxa"/>
            <w:vAlign w:val="bottom"/>
          </w:tcPr>
          <w:p>
            <w:pPr>
              <w:spacing w:after="0"/>
              <w:rPr>
                <w:sz w:val="1"/>
                <w:szCs w:val="1"/>
                <w:color w:val="auto"/>
              </w:rPr>
            </w:pPr>
          </w:p>
        </w:tc>
      </w:tr>
      <w:tr>
        <w:trPr>
          <w:trHeight w:val="213"/>
        </w:trPr>
        <w:tc>
          <w:tcPr>
            <w:tcW w:w="1780" w:type="dxa"/>
            <w:vAlign w:val="bottom"/>
          </w:tcPr>
          <w:p>
            <w:pPr>
              <w:ind w:left="20"/>
              <w:spacing w:after="0"/>
              <w:rPr>
                <w:sz w:val="20"/>
                <w:szCs w:val="20"/>
                <w:color w:val="auto"/>
              </w:rPr>
            </w:pPr>
            <w:r>
              <w:rPr>
                <w:rFonts w:ascii="Arial" w:cs="Arial" w:eastAsia="Arial" w:hAnsi="Arial"/>
                <w:sz w:val="16"/>
                <w:szCs w:val="16"/>
                <w:b w:val="1"/>
                <w:bCs w:val="1"/>
                <w:color w:val="006DB6"/>
              </w:rPr>
              <w:t>Carolyn J. Stone</w:t>
            </w:r>
          </w:p>
        </w:tc>
        <w:tc>
          <w:tcPr>
            <w:tcW w:w="4600" w:type="dxa"/>
            <w:vAlign w:val="bottom"/>
          </w:tcPr>
          <w:p>
            <w:pPr>
              <w:ind w:left="280"/>
              <w:spacing w:after="0"/>
              <w:rPr>
                <w:sz w:val="20"/>
                <w:szCs w:val="20"/>
                <w:color w:val="auto"/>
              </w:rPr>
            </w:pPr>
            <w:r>
              <w:rPr>
                <w:rFonts w:ascii="Arial" w:cs="Arial" w:eastAsia="Arial" w:hAnsi="Arial"/>
                <w:sz w:val="16"/>
                <w:szCs w:val="16"/>
                <w:color w:val="auto"/>
              </w:rPr>
              <w:t>Former Senior Vice President, Chief Financial Officer and</w:t>
            </w: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Treasurer</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11,634</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11,635</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808,543</w:t>
            </w:r>
          </w:p>
        </w:tc>
        <w:tc>
          <w:tcPr>
            <w:tcW w:w="0" w:type="dxa"/>
            <w:vAlign w:val="bottom"/>
          </w:tcPr>
          <w:p>
            <w:pPr>
              <w:spacing w:after="0"/>
              <w:rPr>
                <w:sz w:val="1"/>
                <w:szCs w:val="1"/>
                <w:color w:val="auto"/>
              </w:rPr>
            </w:pPr>
          </w:p>
        </w:tc>
      </w:tr>
      <w:tr>
        <w:trPr>
          <w:trHeight w:val="239"/>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46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Senior Vice President, Australia</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6,298</w:t>
            </w:r>
          </w:p>
        </w:tc>
        <w:tc>
          <w:tcPr>
            <w:tcW w:w="146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6,299</w:t>
            </w:r>
          </w:p>
        </w:tc>
        <w:tc>
          <w:tcPr>
            <w:tcW w:w="7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31.05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437,718</w:t>
            </w:r>
          </w:p>
        </w:tc>
        <w:tc>
          <w:tcPr>
            <w:tcW w:w="0" w:type="dxa"/>
            <w:vAlign w:val="bottom"/>
          </w:tcPr>
          <w:p>
            <w:pPr>
              <w:spacing w:after="0"/>
              <w:rPr>
                <w:sz w:val="1"/>
                <w:szCs w:val="1"/>
                <w:color w:val="auto"/>
              </w:rPr>
            </w:pPr>
          </w:p>
        </w:tc>
      </w:tr>
      <w:tr>
        <w:trPr>
          <w:trHeight w:val="233"/>
        </w:trPr>
        <w:tc>
          <w:tcPr>
            <w:tcW w:w="178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4600" w:type="dxa"/>
            <w:vAlign w:val="bottom"/>
          </w:tcPr>
          <w:p>
            <w:pPr>
              <w:ind w:left="280"/>
              <w:spacing w:after="0"/>
              <w:rPr>
                <w:sz w:val="20"/>
                <w:szCs w:val="20"/>
                <w:color w:val="auto"/>
              </w:rPr>
            </w:pPr>
            <w:r>
              <w:rPr>
                <w:rFonts w:ascii="Arial" w:cs="Arial" w:eastAsia="Arial" w:hAnsi="Arial"/>
                <w:sz w:val="16"/>
                <w:szCs w:val="16"/>
                <w:color w:val="auto"/>
              </w:rPr>
              <w:t>Senior Vice President, Canada</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9,166</w:t>
            </w:r>
          </w:p>
        </w:tc>
        <w:tc>
          <w:tcPr>
            <w:tcW w:w="1460" w:type="dxa"/>
            <w:vAlign w:val="bottom"/>
          </w:tcPr>
          <w:p>
            <w:pPr>
              <w:jc w:val="right"/>
              <w:ind w:right="243"/>
              <w:spacing w:after="0"/>
              <w:rPr>
                <w:sz w:val="20"/>
                <w:szCs w:val="20"/>
                <w:color w:val="auto"/>
              </w:rPr>
            </w:pPr>
            <w:r>
              <w:rPr>
                <w:rFonts w:ascii="Arial" w:cs="Arial" w:eastAsia="Arial" w:hAnsi="Arial"/>
                <w:sz w:val="16"/>
                <w:szCs w:val="16"/>
                <w:color w:val="auto"/>
              </w:rPr>
              <w:t>9,167</w:t>
            </w: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31.05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637,030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60" w:right="60" w:hanging="252"/>
        <w:spacing w:after="0" w:line="245"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This column shows the full grant date fair value of the phantom share units and performance share awards as computed under FASB ASC Topic 718—Stock Compensation and granted to the NEOs during 2023. Generally, the grant date fair value is the amount that Civeo would expense in its financial statements over the vesting schedule of the awards. For purposes of the phantom share units, the value in this column is based upon the closing share price on the date of grant. See Note 19 to Civeo’s consolidated financial statements included in its Annual Report on Form 10-K for the fiscal year ended December 31, 2023 for additional detail regarding assumptions underlying the value of these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Performance Share Award Programs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Performance Share Award Program has been comprised of the following key elements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1658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06285" cy="1165860"/>
                    </a:xfrm>
                    <a:prstGeom prst="rect">
                      <a:avLst/>
                    </a:prstGeom>
                    <a:noFill/>
                  </pic:spPr>
                </pic:pic>
              </a:graphicData>
            </a:graphic>
          </wp:anchor>
        </w:drawing>
      </w: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Pr>
          <w:p>
            <w:pPr>
              <w:ind w:left="80"/>
              <w:spacing w:after="0"/>
              <w:rPr>
                <w:sz w:val="20"/>
                <w:szCs w:val="20"/>
                <w:color w:val="auto"/>
              </w:rPr>
            </w:pPr>
            <w:r>
              <w:rPr>
                <w:rFonts w:ascii="Arial" w:cs="Arial" w:eastAsia="Arial" w:hAnsi="Arial"/>
                <w:sz w:val="16"/>
                <w:szCs w:val="16"/>
                <w:b w:val="1"/>
                <w:bCs w:val="1"/>
                <w:color w:val="006DB6"/>
              </w:rPr>
              <w:t>Performance metrics</w:t>
            </w:r>
          </w:p>
        </w:tc>
        <w:tc>
          <w:tcPr>
            <w:tcW w:w="3120" w:type="dxa"/>
            <w:vAlign w:val="bottom"/>
          </w:tcPr>
          <w:p>
            <w:pPr>
              <w:ind w:left="440"/>
              <w:spacing w:after="0"/>
              <w:rPr>
                <w:sz w:val="20"/>
                <w:szCs w:val="20"/>
                <w:color w:val="auto"/>
              </w:rPr>
            </w:pPr>
            <w:r>
              <w:rPr>
                <w:rFonts w:ascii="Arial" w:cs="Arial" w:eastAsia="Arial" w:hAnsi="Arial"/>
                <w:sz w:val="16"/>
                <w:szCs w:val="16"/>
                <w:b w:val="1"/>
                <w:bCs w:val="1"/>
                <w:color w:val="006DB6"/>
              </w:rPr>
              <w:t>Performance period</w:t>
            </w:r>
          </w:p>
        </w:tc>
        <w:tc>
          <w:tcPr>
            <w:tcW w:w="4360" w:type="dxa"/>
            <w:vAlign w:val="bottom"/>
          </w:tcPr>
          <w:p>
            <w:pPr>
              <w:ind w:left="1140"/>
              <w:spacing w:after="0"/>
              <w:rPr>
                <w:sz w:val="20"/>
                <w:szCs w:val="20"/>
                <w:color w:val="auto"/>
              </w:rPr>
            </w:pPr>
            <w:r>
              <w:rPr>
                <w:rFonts w:ascii="Arial" w:cs="Arial" w:eastAsia="Arial" w:hAnsi="Arial"/>
                <w:sz w:val="16"/>
                <w:szCs w:val="16"/>
                <w:b w:val="1"/>
                <w:bCs w:val="1"/>
                <w:color w:val="006DB6"/>
              </w:rPr>
              <w:t>Participants</w:t>
            </w:r>
          </w:p>
        </w:tc>
      </w:tr>
      <w:tr>
        <w:trPr>
          <w:trHeight w:val="209"/>
        </w:trPr>
        <w:tc>
          <w:tcPr>
            <w:tcW w:w="3420" w:type="dxa"/>
            <w:vAlign w:val="bottom"/>
          </w:tcPr>
          <w:p>
            <w:pPr>
              <w:spacing w:after="0"/>
              <w:rPr>
                <w:sz w:val="20"/>
                <w:szCs w:val="20"/>
                <w:color w:val="auto"/>
              </w:rPr>
            </w:pPr>
            <w:r>
              <w:rPr>
                <w:rFonts w:ascii="Arial" w:cs="Arial" w:eastAsia="Arial" w:hAnsi="Arial"/>
                <w:sz w:val="16"/>
                <w:szCs w:val="16"/>
                <w:color w:val="auto"/>
              </w:rPr>
              <w:t>–   Relative TSR (compared against our</w:t>
            </w:r>
          </w:p>
        </w:tc>
        <w:tc>
          <w:tcPr>
            <w:tcW w:w="3120" w:type="dxa"/>
            <w:vAlign w:val="bottom"/>
          </w:tcPr>
          <w:p>
            <w:pPr>
              <w:ind w:left="440"/>
              <w:spacing w:after="0"/>
              <w:rPr>
                <w:sz w:val="20"/>
                <w:szCs w:val="20"/>
                <w:color w:val="auto"/>
              </w:rPr>
            </w:pPr>
            <w:r>
              <w:rPr>
                <w:rFonts w:ascii="Arial" w:cs="Arial" w:eastAsia="Arial" w:hAnsi="Arial"/>
                <w:sz w:val="16"/>
                <w:szCs w:val="16"/>
                <w:color w:val="auto"/>
              </w:rPr>
              <w:t>Three years</w:t>
            </w:r>
          </w:p>
        </w:tc>
        <w:tc>
          <w:tcPr>
            <w:tcW w:w="4360" w:type="dxa"/>
            <w:vAlign w:val="bottom"/>
          </w:tcPr>
          <w:p>
            <w:pPr>
              <w:ind w:left="1140"/>
              <w:spacing w:after="0"/>
              <w:rPr>
                <w:sz w:val="20"/>
                <w:szCs w:val="20"/>
                <w:color w:val="auto"/>
              </w:rPr>
            </w:pPr>
            <w:r>
              <w:rPr>
                <w:rFonts w:ascii="Arial" w:cs="Arial" w:eastAsia="Arial" w:hAnsi="Arial"/>
                <w:sz w:val="16"/>
                <w:szCs w:val="16"/>
                <w:color w:val="auto"/>
              </w:rPr>
              <w:t>All named executive officers and other senior</w:t>
            </w:r>
          </w:p>
        </w:tc>
      </w:tr>
      <w:tr>
        <w:trPr>
          <w:trHeight w:val="205"/>
        </w:trPr>
        <w:tc>
          <w:tcPr>
            <w:tcW w:w="3420" w:type="dxa"/>
            <w:vAlign w:val="bottom"/>
          </w:tcPr>
          <w:p>
            <w:pPr>
              <w:ind w:left="340"/>
              <w:spacing w:after="0"/>
              <w:rPr>
                <w:sz w:val="20"/>
                <w:szCs w:val="20"/>
                <w:color w:val="auto"/>
              </w:rPr>
            </w:pPr>
            <w:r>
              <w:rPr>
                <w:rFonts w:ascii="Arial" w:cs="Arial" w:eastAsia="Arial" w:hAnsi="Arial"/>
                <w:sz w:val="16"/>
                <w:szCs w:val="16"/>
                <w:color w:val="auto"/>
              </w:rPr>
              <w:t>defined peer group)</w:t>
            </w:r>
          </w:p>
        </w:tc>
        <w:tc>
          <w:tcPr>
            <w:tcW w:w="3120" w:type="dxa"/>
            <w:vAlign w:val="bottom"/>
          </w:tcPr>
          <w:p>
            <w:pPr>
              <w:spacing w:after="0"/>
              <w:rPr>
                <w:sz w:val="17"/>
                <w:szCs w:val="17"/>
                <w:color w:val="auto"/>
              </w:rPr>
            </w:pPr>
          </w:p>
        </w:tc>
        <w:tc>
          <w:tcPr>
            <w:tcW w:w="4360" w:type="dxa"/>
            <w:vAlign w:val="bottom"/>
          </w:tcPr>
          <w:p>
            <w:pPr>
              <w:ind w:left="1140"/>
              <w:spacing w:after="0"/>
              <w:rPr>
                <w:sz w:val="20"/>
                <w:szCs w:val="20"/>
                <w:color w:val="auto"/>
              </w:rPr>
            </w:pPr>
            <w:r>
              <w:rPr>
                <w:rFonts w:ascii="Arial" w:cs="Arial" w:eastAsia="Arial" w:hAnsi="Arial"/>
                <w:sz w:val="16"/>
                <w:szCs w:val="16"/>
                <w:color w:val="auto"/>
              </w:rPr>
              <w:t>management</w:t>
            </w:r>
          </w:p>
        </w:tc>
      </w:tr>
    </w:tbl>
    <w:p>
      <w:pPr>
        <w:ind w:left="360" w:right="7860" w:hanging="324"/>
        <w:spacing w:after="0" w:line="264" w:lineRule="auto"/>
        <w:rPr>
          <w:sz w:val="20"/>
          <w:szCs w:val="20"/>
          <w:color w:val="auto"/>
        </w:rPr>
      </w:pPr>
      <w:r>
        <w:rPr>
          <w:rFonts w:ascii="Arial" w:cs="Arial" w:eastAsia="Arial" w:hAnsi="Arial"/>
          <w:sz w:val="16"/>
          <w:szCs w:val="16"/>
          <w:color w:val="auto"/>
        </w:rPr>
        <w:t>– Cumulative free cash flow (2021 grant) or cumulative operating cash flow (2022 and 2023 grants), in each case relative to a preset target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424"/>
        </w:trPr>
        <w:tc>
          <w:tcPr>
            <w:tcW w:w="3580" w:type="dxa"/>
            <w:vAlign w:val="bottom"/>
            <w:shd w:val="clear" w:color="auto" w:fill="E8EEF7"/>
          </w:tcPr>
          <w:p>
            <w:pPr>
              <w:ind w:left="100"/>
              <w:spacing w:after="0"/>
              <w:rPr>
                <w:sz w:val="20"/>
                <w:szCs w:val="20"/>
                <w:color w:val="auto"/>
              </w:rPr>
            </w:pPr>
            <w:r>
              <w:rPr>
                <w:rFonts w:ascii="Arial" w:cs="Arial" w:eastAsia="Arial" w:hAnsi="Arial"/>
                <w:sz w:val="16"/>
                <w:szCs w:val="16"/>
                <w:b w:val="1"/>
                <w:bCs w:val="1"/>
                <w:color w:val="006DB6"/>
              </w:rPr>
              <w:t>Vesting</w:t>
            </w:r>
          </w:p>
        </w:tc>
        <w:tc>
          <w:tcPr>
            <w:tcW w:w="200" w:type="dxa"/>
            <w:vAlign w:val="bottom"/>
          </w:tcPr>
          <w:p>
            <w:pPr>
              <w:spacing w:after="0"/>
              <w:rPr>
                <w:sz w:val="24"/>
                <w:szCs w:val="24"/>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b w:val="1"/>
                <w:bCs w:val="1"/>
                <w:color w:val="006DB6"/>
              </w:rPr>
              <w:t>Award amount</w:t>
            </w:r>
          </w:p>
        </w:tc>
        <w:tc>
          <w:tcPr>
            <w:tcW w:w="200" w:type="dxa"/>
            <w:vAlign w:val="bottom"/>
          </w:tcPr>
          <w:p>
            <w:pPr>
              <w:spacing w:after="0"/>
              <w:rPr>
                <w:sz w:val="24"/>
                <w:szCs w:val="24"/>
                <w:color w:val="auto"/>
              </w:rPr>
            </w:pPr>
          </w:p>
        </w:tc>
        <w:tc>
          <w:tcPr>
            <w:tcW w:w="3600" w:type="dxa"/>
            <w:vAlign w:val="bottom"/>
            <w:shd w:val="clear" w:color="auto" w:fill="E8EEF7"/>
          </w:tcPr>
          <w:p>
            <w:pPr>
              <w:ind w:left="100"/>
              <w:spacing w:after="0"/>
              <w:rPr>
                <w:sz w:val="20"/>
                <w:szCs w:val="20"/>
                <w:color w:val="auto"/>
              </w:rPr>
            </w:pPr>
            <w:r>
              <w:rPr>
                <w:rFonts w:ascii="Arial" w:cs="Arial" w:eastAsia="Arial" w:hAnsi="Arial"/>
                <w:sz w:val="16"/>
                <w:szCs w:val="16"/>
                <w:b w:val="1"/>
                <w:bCs w:val="1"/>
                <w:color w:val="006DB6"/>
              </w:rPr>
              <w:t>Payout</w:t>
            </w:r>
          </w:p>
        </w:tc>
      </w:tr>
      <w:tr>
        <w:trPr>
          <w:trHeight w:val="209"/>
        </w:trPr>
        <w:tc>
          <w:tcPr>
            <w:tcW w:w="358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Cliff vesting</w:t>
            </w:r>
          </w:p>
        </w:tc>
        <w:tc>
          <w:tcPr>
            <w:tcW w:w="200" w:type="dxa"/>
            <w:vAlign w:val="bottom"/>
          </w:tcPr>
          <w:p>
            <w:pPr>
              <w:spacing w:after="0"/>
              <w:rPr>
                <w:sz w:val="18"/>
                <w:szCs w:val="18"/>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Comprises 50% of a named executive officer’s</w:t>
            </w:r>
          </w:p>
        </w:tc>
        <w:tc>
          <w:tcPr>
            <w:tcW w:w="200" w:type="dxa"/>
            <w:vAlign w:val="bottom"/>
          </w:tcPr>
          <w:p>
            <w:pPr>
              <w:spacing w:after="0"/>
              <w:rPr>
                <w:sz w:val="18"/>
                <w:szCs w:val="18"/>
                <w:color w:val="auto"/>
              </w:rPr>
            </w:pPr>
          </w:p>
        </w:tc>
        <w:tc>
          <w:tcPr>
            <w:tcW w:w="36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Settled in either cash or shares, or a</w:t>
            </w:r>
          </w:p>
        </w:tc>
      </w:tr>
      <w:tr>
        <w:trPr>
          <w:trHeight w:val="189"/>
        </w:trPr>
        <w:tc>
          <w:tcPr>
            <w:tcW w:w="3580" w:type="dxa"/>
            <w:vAlign w:val="bottom"/>
            <w:shd w:val="clear" w:color="auto" w:fill="E8EEF7"/>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color w:val="auto"/>
              </w:rPr>
              <w:t>LTIP, as determined by the Compensation</w:t>
            </w:r>
          </w:p>
        </w:tc>
        <w:tc>
          <w:tcPr>
            <w:tcW w:w="200" w:type="dxa"/>
            <w:vAlign w:val="bottom"/>
          </w:tcPr>
          <w:p>
            <w:pPr>
              <w:spacing w:after="0"/>
              <w:rPr>
                <w:sz w:val="16"/>
                <w:szCs w:val="16"/>
                <w:color w:val="auto"/>
              </w:rPr>
            </w:pPr>
          </w:p>
        </w:tc>
        <w:tc>
          <w:tcPr>
            <w:tcW w:w="36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combination of both, at the discretion of the</w:t>
            </w:r>
          </w:p>
        </w:tc>
      </w:tr>
      <w:tr>
        <w:trPr>
          <w:trHeight w:val="215"/>
        </w:trPr>
        <w:tc>
          <w:tcPr>
            <w:tcW w:w="358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Committee</w:t>
            </w:r>
          </w:p>
        </w:tc>
        <w:tc>
          <w:tcPr>
            <w:tcW w:w="200" w:type="dxa"/>
            <w:vAlign w:val="bottom"/>
          </w:tcPr>
          <w:p>
            <w:pPr>
              <w:spacing w:after="0"/>
              <w:rPr>
                <w:sz w:val="18"/>
                <w:szCs w:val="18"/>
                <w:color w:val="auto"/>
              </w:rPr>
            </w:pPr>
          </w:p>
        </w:tc>
        <w:tc>
          <w:tcPr>
            <w:tcW w:w="3600" w:type="dxa"/>
            <w:vAlign w:val="bottom"/>
            <w:shd w:val="clear" w:color="auto" w:fill="E8EEF7"/>
          </w:tcPr>
          <w:p>
            <w:pPr>
              <w:ind w:left="100"/>
              <w:spacing w:after="0"/>
              <w:rPr>
                <w:sz w:val="20"/>
                <w:szCs w:val="20"/>
                <w:color w:val="auto"/>
              </w:rPr>
            </w:pPr>
            <w:r>
              <w:rPr>
                <w:rFonts w:ascii="Arial" w:cs="Arial" w:eastAsia="Arial" w:hAnsi="Arial"/>
                <w:sz w:val="16"/>
                <w:szCs w:val="16"/>
                <w:color w:val="auto"/>
              </w:rPr>
              <w:t>Compensation Committee</w:t>
            </w:r>
          </w:p>
        </w:tc>
      </w:tr>
      <w:tr>
        <w:trPr>
          <w:trHeight w:val="218"/>
        </w:trPr>
        <w:tc>
          <w:tcPr>
            <w:tcW w:w="358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shd w:val="clear" w:color="auto" w:fill="E8EEF7"/>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shd w:val="clear" w:color="auto" w:fill="E8EEF7"/>
          </w:tcPr>
          <w:p>
            <w:pPr>
              <w:spacing w:after="0"/>
              <w:rPr>
                <w:sz w:val="18"/>
                <w:szCs w:val="18"/>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Calculation of our relative TSR is conducted by a third party designated by the Compensation Committee following completion of the three-year performance period and includes all dividends paid over the performance period.</w:t>
      </w:r>
    </w:p>
    <w:p>
      <w:pPr>
        <w:spacing w:after="0" w:line="3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Payouts under the performance shares are capped at 100% payout (Target) for the relative TSR component, if Civeo’s absolute TSR over the performance period is negative, irrespective of relative performance. Starting in 2021, the Compensation Committee added a performance metric, cumulative free cash flow relative to a preset target, to the performance share awards, due in part to the feedback from our 2020 shareholder engagement efforts as well as the Company’s current focus on generating cash flow and reducing leverage. The performance metrics for the 2021 grant were weighted 30% to cumulative free cash flow and 70% to relative TSR. For 2022 and 2023, the Compensation Committee changed this additional financial performance metric to cumulative operating cash flow relative to a preset target. The performance metrics for the 2022 and 2023 grants were weighted 50% to cumulative operating cash flow and 50% to relative TSR.</w:t>
      </w:r>
    </w:p>
    <w:p>
      <w:pPr>
        <w:spacing w:after="0" w:line="82"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Performance share awards can be earned in amounts between 0% and 200% of the participant’s target performance share award, with the payout percentage to be determined based on Civeo’s performance with respect to the applicable performance metrics.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SHARE AWARD TIMELINE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322"/>
        </w:trPr>
        <w:tc>
          <w:tcPr>
            <w:tcW w:w="110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FY21</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FY22</w:t>
            </w:r>
          </w:p>
        </w:tc>
        <w:tc>
          <w:tcPr>
            <w:tcW w:w="200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FY23</w:t>
            </w:r>
          </w:p>
        </w:tc>
        <w:tc>
          <w:tcPr>
            <w:tcW w:w="2020" w:type="dxa"/>
            <w:vAlign w:val="bottom"/>
            <w:tcBorders>
              <w:right w:val="single" w:sz="8" w:color="auto"/>
            </w:tcBorders>
          </w:tcPr>
          <w:p>
            <w:pPr>
              <w:ind w:left="820"/>
              <w:spacing w:after="0"/>
              <w:rPr>
                <w:sz w:val="20"/>
                <w:szCs w:val="20"/>
                <w:color w:val="auto"/>
              </w:rPr>
            </w:pPr>
            <w:r>
              <w:rPr>
                <w:rFonts w:ascii="Arial" w:cs="Arial" w:eastAsia="Arial" w:hAnsi="Arial"/>
                <w:sz w:val="14"/>
                <w:szCs w:val="14"/>
                <w:b w:val="1"/>
                <w:bCs w:val="1"/>
                <w:color w:val="70706F"/>
              </w:rPr>
              <w:t>FY24</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70706F"/>
              </w:rPr>
              <w:t>FY25</w:t>
            </w:r>
          </w:p>
        </w:tc>
        <w:tc>
          <w:tcPr>
            <w:tcW w:w="0" w:type="dxa"/>
            <w:vAlign w:val="bottom"/>
          </w:tcPr>
          <w:p>
            <w:pPr>
              <w:spacing w:after="0"/>
              <w:rPr>
                <w:sz w:val="1"/>
                <w:szCs w:val="1"/>
                <w:color w:val="auto"/>
              </w:rPr>
            </w:pPr>
          </w:p>
        </w:tc>
      </w:tr>
      <w:tr>
        <w:trPr>
          <w:trHeight w:val="123"/>
        </w:trPr>
        <w:tc>
          <w:tcPr>
            <w:tcW w:w="11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1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FY21 PSA</w:t>
            </w:r>
          </w:p>
        </w:tc>
        <w:tc>
          <w:tcPr>
            <w:tcW w:w="2020" w:type="dxa"/>
            <w:vAlign w:val="bottom"/>
            <w:tcBorders>
              <w:right w:val="single" w:sz="8" w:color="auto"/>
            </w:tcBorders>
            <w:shd w:val="clear" w:color="auto" w:fill="BED0E9"/>
          </w:tcPr>
          <w:p>
            <w:pPr>
              <w:ind w:left="860"/>
              <w:spacing w:after="0"/>
              <w:rPr>
                <w:sz w:val="20"/>
                <w:szCs w:val="20"/>
                <w:color w:val="auto"/>
              </w:rPr>
            </w:pPr>
            <w:r>
              <w:rPr>
                <w:rFonts w:ascii="Arial" w:cs="Arial" w:eastAsia="Arial" w:hAnsi="Arial"/>
                <w:sz w:val="16"/>
                <w:szCs w:val="16"/>
                <w:b w:val="1"/>
                <w:bCs w:val="1"/>
                <w:color w:val="auto"/>
              </w:rPr>
              <w:t>Year 1</w:t>
            </w:r>
          </w:p>
        </w:tc>
        <w:tc>
          <w:tcPr>
            <w:tcW w:w="2000" w:type="dxa"/>
            <w:vAlign w:val="bottom"/>
            <w:tcBorders>
              <w:right w:val="single" w:sz="8" w:color="auto"/>
            </w:tcBorders>
            <w:shd w:val="clear" w:color="auto" w:fill="94B2DA"/>
          </w:tcPr>
          <w:p>
            <w:pPr>
              <w:jc w:val="center"/>
              <w:spacing w:after="0"/>
              <w:rPr>
                <w:sz w:val="20"/>
                <w:szCs w:val="20"/>
                <w:color w:val="auto"/>
              </w:rPr>
            </w:pPr>
            <w:r>
              <w:rPr>
                <w:rFonts w:ascii="Arial" w:cs="Arial" w:eastAsia="Arial" w:hAnsi="Arial"/>
                <w:sz w:val="16"/>
                <w:szCs w:val="16"/>
                <w:b w:val="1"/>
                <w:bCs w:val="1"/>
                <w:color w:val="auto"/>
                <w:w w:val="99"/>
              </w:rPr>
              <w:t>Year 2</w:t>
            </w:r>
          </w:p>
        </w:tc>
        <w:tc>
          <w:tcPr>
            <w:tcW w:w="2000" w:type="dxa"/>
            <w:vAlign w:val="bottom"/>
            <w:tcBorders>
              <w:right w:val="single" w:sz="8" w:color="auto"/>
            </w:tcBorders>
            <w:shd w:val="clear" w:color="auto" w:fill="006DB6"/>
          </w:tcPr>
          <w:p>
            <w:pPr>
              <w:ind w:left="860"/>
              <w:spacing w:after="0"/>
              <w:rPr>
                <w:sz w:val="20"/>
                <w:szCs w:val="20"/>
                <w:color w:val="auto"/>
              </w:rPr>
            </w:pPr>
            <w:r>
              <w:rPr>
                <w:rFonts w:ascii="Arial" w:cs="Arial" w:eastAsia="Arial" w:hAnsi="Arial"/>
                <w:sz w:val="16"/>
                <w:szCs w:val="16"/>
                <w:b w:val="1"/>
                <w:bCs w:val="1"/>
                <w:color w:val="FFFFFF"/>
              </w:rPr>
              <w:t>Year 3</w:t>
            </w:r>
          </w:p>
        </w:tc>
        <w:tc>
          <w:tcPr>
            <w:tcW w:w="202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00" w:type="dxa"/>
            <w:vAlign w:val="bottom"/>
            <w:tcBorders>
              <w:right w:val="single" w:sz="8" w:color="auto"/>
            </w:tcBorders>
          </w:tcPr>
          <w:p>
            <w:pPr>
              <w:spacing w:after="0"/>
              <w:rPr>
                <w:sz w:val="5"/>
                <w:szCs w:val="5"/>
                <w:color w:val="auto"/>
              </w:rPr>
            </w:pPr>
          </w:p>
        </w:tc>
        <w:tc>
          <w:tcPr>
            <w:tcW w:w="2020" w:type="dxa"/>
            <w:vAlign w:val="bottom"/>
            <w:tcBorders>
              <w:right w:val="single" w:sz="8" w:color="auto"/>
            </w:tcBorders>
            <w:shd w:val="clear" w:color="auto" w:fill="BED0E9"/>
          </w:tcPr>
          <w:p>
            <w:pPr>
              <w:spacing w:after="0"/>
              <w:rPr>
                <w:sz w:val="5"/>
                <w:szCs w:val="5"/>
                <w:color w:val="auto"/>
              </w:rPr>
            </w:pPr>
          </w:p>
        </w:tc>
        <w:tc>
          <w:tcPr>
            <w:tcW w:w="2000" w:type="dxa"/>
            <w:vAlign w:val="bottom"/>
            <w:tcBorders>
              <w:right w:val="single" w:sz="8" w:color="auto"/>
            </w:tcBorders>
            <w:shd w:val="clear" w:color="auto" w:fill="94B2DA"/>
          </w:tcPr>
          <w:p>
            <w:pPr>
              <w:spacing w:after="0"/>
              <w:rPr>
                <w:sz w:val="5"/>
                <w:szCs w:val="5"/>
                <w:color w:val="auto"/>
              </w:rPr>
            </w:pPr>
          </w:p>
        </w:tc>
        <w:tc>
          <w:tcPr>
            <w:tcW w:w="2000" w:type="dxa"/>
            <w:vAlign w:val="bottom"/>
            <w:tcBorders>
              <w:right w:val="single" w:sz="8" w:color="auto"/>
            </w:tcBorders>
            <w:shd w:val="clear" w:color="auto" w:fill="006DB6"/>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54"/>
        </w:trPr>
        <w:tc>
          <w:tcPr>
            <w:tcW w:w="11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110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shd w:val="clear" w:color="auto" w:fill="BED0E9"/>
          </w:tcPr>
          <w:p>
            <w:pPr>
              <w:spacing w:after="0"/>
              <w:rPr>
                <w:sz w:val="20"/>
                <w:szCs w:val="20"/>
                <w:color w:val="auto"/>
              </w:rPr>
            </w:pPr>
          </w:p>
        </w:tc>
        <w:tc>
          <w:tcPr>
            <w:tcW w:w="2000" w:type="dxa"/>
            <w:vAlign w:val="bottom"/>
            <w:tcBorders>
              <w:right w:val="single" w:sz="8" w:color="auto"/>
            </w:tcBorders>
            <w:shd w:val="clear" w:color="auto" w:fill="94B2DA"/>
          </w:tcPr>
          <w:p>
            <w:pPr>
              <w:spacing w:after="0"/>
              <w:rPr>
                <w:sz w:val="20"/>
                <w:szCs w:val="20"/>
                <w:color w:val="auto"/>
              </w:rPr>
            </w:pPr>
          </w:p>
        </w:tc>
        <w:tc>
          <w:tcPr>
            <w:tcW w:w="2020" w:type="dxa"/>
            <w:vAlign w:val="bottom"/>
            <w:tcBorders>
              <w:right w:val="single" w:sz="8" w:color="auto"/>
            </w:tcBorders>
            <w:shd w:val="clear" w:color="auto" w:fill="006DB6"/>
          </w:tcPr>
          <w:p>
            <w:pPr>
              <w:spacing w:after="0"/>
              <w:rPr>
                <w:sz w:val="20"/>
                <w:szCs w:val="20"/>
                <w:color w:val="auto"/>
              </w:rPr>
            </w:pPr>
          </w:p>
        </w:tc>
        <w:tc>
          <w:tcPr>
            <w:tcW w:w="19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FY22 PSA</w:t>
            </w: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jc w:val="center"/>
              <w:spacing w:after="0"/>
              <w:rPr>
                <w:sz w:val="20"/>
                <w:szCs w:val="20"/>
                <w:color w:val="auto"/>
              </w:rPr>
            </w:pPr>
            <w:r>
              <w:rPr>
                <w:rFonts w:ascii="Arial" w:cs="Arial" w:eastAsia="Arial" w:hAnsi="Arial"/>
                <w:sz w:val="16"/>
                <w:szCs w:val="16"/>
                <w:b w:val="1"/>
                <w:bCs w:val="1"/>
                <w:color w:val="auto"/>
                <w:w w:val="99"/>
              </w:rPr>
              <w:t>Year 1</w:t>
            </w:r>
          </w:p>
        </w:tc>
        <w:tc>
          <w:tcPr>
            <w:tcW w:w="2000" w:type="dxa"/>
            <w:vAlign w:val="bottom"/>
            <w:tcBorders>
              <w:right w:val="single" w:sz="8" w:color="auto"/>
            </w:tcBorders>
            <w:shd w:val="clear" w:color="auto" w:fill="94B2DA"/>
          </w:tcPr>
          <w:p>
            <w:pPr>
              <w:ind w:left="860"/>
              <w:spacing w:after="0"/>
              <w:rPr>
                <w:sz w:val="20"/>
                <w:szCs w:val="20"/>
                <w:color w:val="auto"/>
              </w:rPr>
            </w:pPr>
            <w:r>
              <w:rPr>
                <w:rFonts w:ascii="Arial" w:cs="Arial" w:eastAsia="Arial" w:hAnsi="Arial"/>
                <w:sz w:val="16"/>
                <w:szCs w:val="16"/>
                <w:b w:val="1"/>
                <w:bCs w:val="1"/>
                <w:color w:val="auto"/>
              </w:rPr>
              <w:t>Year 2</w:t>
            </w:r>
          </w:p>
        </w:tc>
        <w:tc>
          <w:tcPr>
            <w:tcW w:w="2020" w:type="dxa"/>
            <w:vAlign w:val="bottom"/>
            <w:tcBorders>
              <w:right w:val="single" w:sz="8" w:color="auto"/>
            </w:tcBorders>
            <w:shd w:val="clear" w:color="auto" w:fill="006DB6"/>
          </w:tcPr>
          <w:p>
            <w:pPr>
              <w:ind w:left="860"/>
              <w:spacing w:after="0"/>
              <w:rPr>
                <w:sz w:val="20"/>
                <w:szCs w:val="20"/>
                <w:color w:val="auto"/>
              </w:rPr>
            </w:pPr>
            <w:r>
              <w:rPr>
                <w:rFonts w:ascii="Arial" w:cs="Arial" w:eastAsia="Arial" w:hAnsi="Arial"/>
                <w:sz w:val="16"/>
                <w:szCs w:val="16"/>
                <w:b w:val="1"/>
                <w:bCs w:val="1"/>
                <w:color w:val="FFFFFF"/>
              </w:rPr>
              <w:t>Year 3</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spacing w:after="0"/>
              <w:rPr>
                <w:sz w:val="21"/>
                <w:szCs w:val="21"/>
                <w:color w:val="auto"/>
              </w:rPr>
            </w:pPr>
          </w:p>
        </w:tc>
        <w:tc>
          <w:tcPr>
            <w:tcW w:w="2000" w:type="dxa"/>
            <w:vAlign w:val="bottom"/>
            <w:tcBorders>
              <w:right w:val="single" w:sz="8" w:color="auto"/>
            </w:tcBorders>
            <w:shd w:val="clear" w:color="auto" w:fill="94B2DA"/>
          </w:tcPr>
          <w:p>
            <w:pPr>
              <w:spacing w:after="0"/>
              <w:rPr>
                <w:sz w:val="21"/>
                <w:szCs w:val="21"/>
                <w:color w:val="auto"/>
              </w:rPr>
            </w:pPr>
          </w:p>
        </w:tc>
        <w:tc>
          <w:tcPr>
            <w:tcW w:w="2020" w:type="dxa"/>
            <w:vAlign w:val="bottom"/>
            <w:tcBorders>
              <w:right w:val="single" w:sz="8" w:color="auto"/>
            </w:tcBorders>
            <w:shd w:val="clear" w:color="auto" w:fill="006DB6"/>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54"/>
        </w:trPr>
        <w:tc>
          <w:tcPr>
            <w:tcW w:w="11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b w:val="1"/>
                <w:bCs w:val="1"/>
                <w:color w:val="auto"/>
              </w:rPr>
              <w:t>FY23 PSA</w:t>
            </w:r>
          </w:p>
        </w:tc>
        <w:tc>
          <w:tcPr>
            <w:tcW w:w="2020" w:type="dxa"/>
            <w:vAlign w:val="bottom"/>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1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00" w:type="dxa"/>
            <w:vAlign w:val="bottom"/>
            <w:tcBorders>
              <w:right w:val="single" w:sz="8" w:color="auto"/>
            </w:tcBorders>
            <w:vMerge w:val="continue"/>
          </w:tcPr>
          <w:p>
            <w:pPr>
              <w:spacing w:after="0"/>
              <w:rPr>
                <w:sz w:val="21"/>
                <w:szCs w:val="21"/>
                <w:color w:val="auto"/>
              </w:rPr>
            </w:pPr>
          </w:p>
        </w:tc>
        <w:tc>
          <w:tcPr>
            <w:tcW w:w="202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shd w:val="clear" w:color="auto" w:fill="BED0E9"/>
          </w:tcPr>
          <w:p>
            <w:pPr>
              <w:ind w:left="860"/>
              <w:spacing w:after="0"/>
              <w:rPr>
                <w:sz w:val="20"/>
                <w:szCs w:val="20"/>
                <w:color w:val="auto"/>
              </w:rPr>
            </w:pPr>
            <w:r>
              <w:rPr>
                <w:rFonts w:ascii="Arial" w:cs="Arial" w:eastAsia="Arial" w:hAnsi="Arial"/>
                <w:sz w:val="16"/>
                <w:szCs w:val="16"/>
                <w:b w:val="1"/>
                <w:bCs w:val="1"/>
                <w:color w:val="auto"/>
              </w:rPr>
              <w:t>Year 1</w:t>
            </w:r>
          </w:p>
        </w:tc>
        <w:tc>
          <w:tcPr>
            <w:tcW w:w="2020" w:type="dxa"/>
            <w:vAlign w:val="bottom"/>
            <w:tcBorders>
              <w:right w:val="single" w:sz="8" w:color="auto"/>
            </w:tcBorders>
            <w:shd w:val="clear" w:color="auto" w:fill="94B2DA"/>
          </w:tcPr>
          <w:p>
            <w:pPr>
              <w:ind w:left="860"/>
              <w:spacing w:after="0"/>
              <w:rPr>
                <w:sz w:val="20"/>
                <w:szCs w:val="20"/>
                <w:color w:val="auto"/>
              </w:rPr>
            </w:pPr>
            <w:r>
              <w:rPr>
                <w:rFonts w:ascii="Arial" w:cs="Arial" w:eastAsia="Arial" w:hAnsi="Arial"/>
                <w:sz w:val="16"/>
                <w:szCs w:val="16"/>
                <w:b w:val="1"/>
                <w:bCs w:val="1"/>
                <w:color w:val="auto"/>
              </w:rPr>
              <w:t>Year 2</w:t>
            </w:r>
          </w:p>
        </w:tc>
        <w:tc>
          <w:tcPr>
            <w:tcW w:w="1960" w:type="dxa"/>
            <w:vAlign w:val="bottom"/>
            <w:tcBorders>
              <w:right w:val="single" w:sz="8" w:color="auto"/>
            </w:tcBorders>
            <w:shd w:val="clear" w:color="auto" w:fill="006DB6"/>
          </w:tcPr>
          <w:p>
            <w:pPr>
              <w:jc w:val="center"/>
              <w:spacing w:after="0"/>
              <w:rPr>
                <w:sz w:val="20"/>
                <w:szCs w:val="20"/>
                <w:color w:val="auto"/>
              </w:rPr>
            </w:pPr>
            <w:r>
              <w:rPr>
                <w:rFonts w:ascii="Arial" w:cs="Arial" w:eastAsia="Arial" w:hAnsi="Arial"/>
                <w:sz w:val="16"/>
                <w:szCs w:val="16"/>
                <w:b w:val="1"/>
                <w:bCs w:val="1"/>
                <w:color w:val="FFFFFF"/>
                <w:w w:val="99"/>
              </w:rPr>
              <w:t>Year 3</w:t>
            </w:r>
          </w:p>
        </w:tc>
        <w:tc>
          <w:tcPr>
            <w:tcW w:w="0" w:type="dxa"/>
            <w:vAlign w:val="bottom"/>
          </w:tcPr>
          <w:p>
            <w:pPr>
              <w:spacing w:after="0"/>
              <w:rPr>
                <w:sz w:val="1"/>
                <w:szCs w:val="1"/>
                <w:color w:val="auto"/>
              </w:rPr>
            </w:pPr>
          </w:p>
        </w:tc>
      </w:tr>
      <w:tr>
        <w:trPr>
          <w:trHeight w:val="108"/>
        </w:trPr>
        <w:tc>
          <w:tcPr>
            <w:tcW w:w="1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shd w:val="clear" w:color="auto" w:fill="BED0E9"/>
          </w:tcPr>
          <w:p>
            <w:pPr>
              <w:spacing w:after="0"/>
              <w:rPr>
                <w:sz w:val="9"/>
                <w:szCs w:val="9"/>
                <w:color w:val="auto"/>
              </w:rPr>
            </w:pPr>
          </w:p>
        </w:tc>
        <w:tc>
          <w:tcPr>
            <w:tcW w:w="2020" w:type="dxa"/>
            <w:vAlign w:val="bottom"/>
            <w:tcBorders>
              <w:right w:val="single" w:sz="8" w:color="auto"/>
            </w:tcBorders>
            <w:shd w:val="clear" w:color="auto" w:fill="94B2DA"/>
          </w:tcPr>
          <w:p>
            <w:pPr>
              <w:spacing w:after="0"/>
              <w:rPr>
                <w:sz w:val="9"/>
                <w:szCs w:val="9"/>
                <w:color w:val="auto"/>
              </w:rPr>
            </w:pPr>
          </w:p>
        </w:tc>
        <w:tc>
          <w:tcPr>
            <w:tcW w:w="1960" w:type="dxa"/>
            <w:vAlign w:val="bottom"/>
            <w:tcBorders>
              <w:right w:val="single" w:sz="8" w:color="auto"/>
            </w:tcBorders>
            <w:shd w:val="clear" w:color="auto" w:fill="006DB6"/>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All performance share awards have been approved by the Compensation Committee and the board of directors. Due to the Company's share price and the Compensation Committee's desire to limit shareholder dilution, no performance share awards were granted in 2020; cliff-vesting cash awards were granted to executives. These cash awards vested and were paid in 2023. For those performance share awards that were granted in 2021, the performance period is January 1, 2021 to December 31, 2023. For those performance share awards that were granted in 2022, the performance period is January 1, 2022 to December 31, 2024. For those performance share awards that were granted in 2023, the performance period is January 1, 2023 to December 31, 2025.</w:t>
      </w:r>
    </w:p>
    <w:p>
      <w:pPr>
        <w:spacing w:after="0" w:line="9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 xml:space="preserve">All long-term incentive awards under the EPP are expensed in accordance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(“FASB ASC Topic 718—Stock Compensation”). Except in special circumstances, long-term incentive awards are made to participants in these plans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361950</wp:posOffset>
            </wp:positionV>
            <wp:extent cx="394335" cy="1968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Chief Executive Officer Compensation for 2023</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During its evaluation of Mr. Dodson’s compensation, the Compensation Committee reviewed (i) performance against the 2023 business plan, (ii) TSR performance against a group of peer companies, (iii) pay levels and compensation trends at peer group companies and (iv) progress against the Company’s strategic plan.</w:t>
      </w:r>
    </w:p>
    <w:p>
      <w:pPr>
        <w:spacing w:after="0" w:line="4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graphic provides information about equity and non-equity awards granted to Mr. Dodson in 2023. LTIP Awarded reflects the value of phantom share units and performance shares as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262255</wp:posOffset>
            </wp:positionV>
            <wp:extent cx="3291840" cy="16459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29184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Other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Benefit Plans</w:t>
      </w:r>
    </w:p>
    <w:p>
      <w:pPr>
        <w:spacing w:after="0" w:line="8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6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Retirement Plans</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Civeo offers a defined contribution 401(k) retirement plan to all of its U.S. employees, including its U.S.-based executives. Those participating in the plan can make contributions from their base salaries and cash incentive eligible compensation up to annual limits defined by the IRS. Civeo makes matching contributions under this plan on the first 6% of the participant’s eligible compensation, providing a 100% match on the employee’s contribution up to 4% of his or her eligible compensation and a 50% match on the employee’s contribution up to an additional 2% of the employee’s eligible compensation. A similar defined contribution plan, which uses the same contribution formula, is in place in Canada and is structured pursuant to regulations established by the Canadian Revenue Agency. In Australia, employees and executives must contribute 10.5% of base salary (and may make additional contributions up to an annual capped limit established by the Australia Taxation Office) to a superannuation fund administered by the Government.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70706F"/>
        </w:rPr>
        <w:t>Other Perquisites and Personal Benefits</w:t>
      </w:r>
    </w:p>
    <w:p>
      <w:pPr>
        <w:spacing w:after="0" w:line="112"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In general, Civeo does not offer any executive perquisites or other personal benefits with an aggregate annual value over $10,000. Some executives are provided paid club memberships, which are used for business purposes.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Procedures for Determining Compensation</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Compensation Decision-Making and Approval Process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All executive compensation decisions for NEOs are made on behalf of Civeo solely by the Compensation Committee. Where appropriate, the Compensation Committee engages Mercer to research and make recommendations on issues considered important to executive compensation, as well as to provide the Compensation Committee with insights on evolving compensation trends in relevant industry sectors.</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Executive Officers</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Compensation Committee consults our Chief Executive Officer in its determination of compensation matters related to the Company's designated Section 16 officers. The Chief Executive Officer makes recommendations to the Compensation Committee on matters such as salary adjustments, target annual incentive opportunities and the value of long-term incentive awards for all other executives officers.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Role of Compensation Consultant</w:t>
      </w:r>
    </w:p>
    <w:p>
      <w:pPr>
        <w:spacing w:after="0" w:line="141" w:lineRule="exact"/>
        <w:rPr>
          <w:sz w:val="20"/>
          <w:szCs w:val="20"/>
          <w:color w:val="auto"/>
        </w:rPr>
      </w:pPr>
    </w:p>
    <w:p>
      <w:pPr>
        <w:ind w:right="880"/>
        <w:spacing w:after="0" w:line="286" w:lineRule="auto"/>
        <w:rPr>
          <w:sz w:val="20"/>
          <w:szCs w:val="20"/>
          <w:color w:val="auto"/>
        </w:rPr>
      </w:pPr>
      <w:r>
        <w:rPr>
          <w:rFonts w:ascii="Arial" w:cs="Arial" w:eastAsia="Arial" w:hAnsi="Arial"/>
          <w:sz w:val="16"/>
          <w:szCs w:val="16"/>
          <w:color w:val="auto"/>
        </w:rPr>
        <w:t>The Compensation Committee engages Mercer as its independent compensation consultant. Subsequent to its initial engagement of Mercer, the Compensation Committee has reviewed and confirmed its selection of Mercer on an annual basis.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relationship with Mercer in 2023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2023:</w:t>
      </w:r>
    </w:p>
    <w:p>
      <w:pPr>
        <w:spacing w:after="0" w:line="86"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Mercer did not provide any services to Civeo or management other than services requested by or with the approval of the Compensation Committee;</w:t>
      </w:r>
    </w:p>
    <w:p>
      <w:pPr>
        <w:spacing w:after="0" w:line="72" w:lineRule="exact"/>
        <w:rPr>
          <w:rFonts w:ascii="Arial" w:cs="Arial" w:eastAsia="Arial" w:hAnsi="Arial"/>
          <w:sz w:val="16"/>
          <w:szCs w:val="16"/>
          <w:color w:val="006DB6"/>
        </w:rPr>
      </w:pPr>
    </w:p>
    <w:p>
      <w:pPr>
        <w:ind w:left="200" w:right="600" w:hanging="192"/>
        <w:spacing w:after="0" w:line="299" w:lineRule="auto"/>
        <w:tabs>
          <w:tab w:leader="none" w:pos="17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Mercer maintains a conflicts policy, which was provided to the Compensation Committee, with specific policies and procedures designed to ensure independence;</w:t>
      </w:r>
    </w:p>
    <w:p>
      <w:pPr>
        <w:ind w:left="180" w:hanging="172"/>
        <w:spacing w:after="0"/>
        <w:tabs>
          <w:tab w:leader="none" w:pos="18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Fees paid to Mercer by Civeo during 2023 were less than 1% of Mercer’s total revenue;</w:t>
      </w:r>
    </w:p>
    <w:p>
      <w:pPr>
        <w:spacing w:after="0" w:line="86" w:lineRule="exact"/>
        <w:rPr>
          <w:rFonts w:ascii="Arial" w:cs="Arial" w:eastAsia="Arial" w:hAnsi="Arial"/>
          <w:sz w:val="16"/>
          <w:szCs w:val="16"/>
          <w:color w:val="006DB6"/>
        </w:rPr>
      </w:pPr>
    </w:p>
    <w:p>
      <w:pPr>
        <w:ind w:left="200" w:right="20" w:hanging="192"/>
        <w:spacing w:after="0" w:line="299" w:lineRule="auto"/>
        <w:tabs>
          <w:tab w:leader="none" w:pos="17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had any business or personal relationship with Compensation Committee members (other than in connection with working on matters with us);</w:t>
      </w:r>
    </w:p>
    <w:p>
      <w:pPr>
        <w:ind w:left="200" w:right="520" w:hanging="192"/>
        <w:spacing w:after="0" w:line="299" w:lineRule="auto"/>
        <w:tabs>
          <w:tab w:leader="none" w:pos="17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(or any consultants at Mercer) had any business or personal relationship with any of our executive officers; and</w:t>
      </w:r>
    </w:p>
    <w:p>
      <w:pPr>
        <w:ind w:left="180" w:hanging="172"/>
        <w:spacing w:after="0"/>
        <w:tabs>
          <w:tab w:leader="none" w:pos="180" w:val="left"/>
        </w:tabs>
        <w:numPr>
          <w:ilvl w:val="0"/>
          <w:numId w:val="45"/>
        </w:numPr>
        <w:rPr>
          <w:rFonts w:ascii="Arial" w:cs="Arial" w:eastAsia="Arial" w:hAnsi="Arial"/>
          <w:sz w:val="16"/>
          <w:szCs w:val="16"/>
          <w:color w:val="006DB6"/>
        </w:rPr>
      </w:pPr>
      <w:r>
        <w:rPr>
          <w:rFonts w:ascii="Arial" w:cs="Arial" w:eastAsia="Arial" w:hAnsi="Arial"/>
          <w:sz w:val="16"/>
          <w:szCs w:val="16"/>
          <w:color w:val="auto"/>
        </w:rPr>
        <w:t>None of the Mercer consultants working on matters with us own our common shares.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Since 2015, the Compensation Committee also annually approved the engagement of Mercer to provide benefits consulting services to Civeo. The decision to engage the consultant for these additional services was recommended by management, but approved by the Compensation Committee. During 2023, fees paid to Mercer in the form of commissions by our Canadian insurer and retirement plan fund manager totaled $47,718 and $15,777, respectively, for benefits consulting services provided to our Canadian operations. During 2023, fees paid to Mercer in the form of commissions by our U.S. insurers and retirement plan administrator totaled $115,683 and $30,651, respectively, for benefits consulting services provided to our U.S. operations. In the opinion of the Compensation Committee, the scale of these fees ($209,829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$164,948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372110</wp:posOffset>
            </wp:positionV>
            <wp:extent cx="394335" cy="1968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Other Items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Executive and Change of Control Agreements</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Civeo maintains Executive Agreements with Messrs. Dodson and McCann and a Change of Control Agreement with Mr. Schoening. Ms. Stone was also party to a Change of Control Agreement prior to her termination of employment in March 2024. These agreements are not considered long-term employment agreements. Our U.S. executives are employed “at will” by Civeo. The agreements provide protection in the event of a qualified termination, which is defined as an (i) involuntary termination of the executive officer by Civeo other than for Cause (as defined in each agreement) or (ii) 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66"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based on the executive officer's base salary and target annual incentive amount in place on the date of termination. Under the terms of their Executive Agreements, Messrs. Dodson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and McCann will be entitled to receive a lump-sum payment equal to one year’s base salary and target annual bonus amount as well as other benefits described below. Under the terms of Mr. Schoening’s Change of Control Agreement (and Ms. Stone's agreement prior to her termination), each officer is entitled to receive a lump-sum payment equal to 2 times his or her base salary and annual incentive amount if a qualified termination occurs during the 18-month period following a Change of Control.</w:t>
      </w:r>
    </w:p>
    <w:p>
      <w:pPr>
        <w:spacing w:after="0" w:line="88"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In addition, the agreements provide that all restricted stock awards, restricted share units, performance shares, deferred shares, phantom units, options and other equity-based awards will vest immediately, that all restrictions on such awards will lapse upon a qualifying termination during the protection period following a Change of Control and that outstanding options will remain exercisable for a period of 90 days. The executive officer will also be entitled to (A) in the case of Messrs. Dodson and Schoening (and, prior to her termination Ms. Stone), health benefits until the earlier of (i) 36 months (in the case of Mr. Dodson) or 12 months (in the case of Mr. Schoening and Ms. Stone) and (ii) the date the executive began receiving comparable benefits from a subsequent employer, (B) in the case of Messrs. Dodson, and Schoening (and, prior to her termination Ms. Stone), vesting of all employer contributions to our 401(k) plan to the extent not already vested and (C) for each of Messrs. Dodson, McCann and Schoening (and, prior to her termination Ms. Stone), outplacement services equal to a maximum of 15% of the executive’s salary at the time of termination until the earliest to occur of (i) December 31 of the second calendar year following the year of termination and (ii) the date the executive accepts subsequent employment. Where a qualified termination occurs outside of the protection period following a Change of Control, (1) Mr. Dodson’s Executive Agreement provides that all restricted stock awards, restricted share units, performance shares, deferred shares, phantom units, options and other equity-based awards will vest immediately, that all restrictions on such awards will lapse and that he will be entitled to health benefits until the earlier of (x) 24 months and (y) the date the Mr. Dodson began receiving comparable benefits from a subsequent employer and (2) Mr. McCann’s Executive Agreement provides for the full vesting of all restricted stock awards, restricted share units, performance shares, deferred shares, phantom units, options and other equity-based awards to the extent that such equity-based award would have vested over the year following his termination in accordance with their terms. The executive agreement entered into with Mr. Dodson in 2006 while employed by Oil States International Inc. entitled Mr. Dodson to be made whole for any excise taxes incurred with respect to severance payments that were in excess of the limits set forth under the Internal Revenue Code. No excise tax gross-up protection is available to any other named executive officer. See “Potential Payments Under Termination or Change of Control” in this proxy statement for additional disclosures of severance and Change of Control payments for NEOs.</w:t>
      </w:r>
    </w:p>
    <w:p>
      <w:pPr>
        <w:spacing w:after="0" w:line="7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Civeo’s Executive Agreements have a term of three years, Mr. Schoening's Change of Control Agreement has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of the date notice was given. To receive benefits under the Executive Agreement or Change of Control Agreement, the executive officer is required to execute a release of all claims against Civeo.</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With respect to outstanding performance share awards, 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awards, then the participant is entitled to payout of the performance share award under terms provided within the Performance Share Award Program.</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on July 26, 2022, Civeo entered into a retention commitment agreement with Mr. Schoening, which was amended in October 2023 (as amended “Retention Agreement”). The Retention Agreement provides that in the event that Mr. Schoening’s employment with the Company is terminated without Cause (as defined in his Change of Control Agreement) at any time prior to December 31, 2024 (the “Retention Date”), then, subject to his execution and non-revocation of a release of claims in favor of the Company, Mr. Schoening will receive: (1) a cash lump sum equal to the amount of Mr. Schoening’s base salary that he would have received over the period commencing on his termination date and ending on the Retention Date, (2) a cash lump sum equal to Mr. Schoening’s target bonus for each annual bonus period ending prior to the Retention Date (3) accelerated vesting of all outstanding equity awards (except that any performance-based equity awards will continue to vest based on actual performance and remain outstanding for the applicable performance period), and (4) continued medical and dental benefits at coverage levels that are at least equal to those provided to Mr. Schoening and his dependents immediately prior to Mr. Schoening’s termination of employment until the Retention Date. The Agreement also provides that if Mr. Schoening’s employment with the Company terminates following the Retention Date, he may elect to enter into a consulting relationship with the Company to provide part-time advisory and support services. During any such consulting period Mr. Schoening’s then outstanding equity awards will continue to vest in accordance with their terms. If Mr. Schoening’s consulting relationship is terminated without Cause, all of Mr. Schoening’s then unvested equity awards will immediately accelerate in full. In the event that Mr. Schoening’s employment is terminated in connection with a Change in Control of the Company at any time prior to the Retention Date, the Change of Control Agreement will supersede the Agreement and Mr. Schoening will only be entitled to any payments and benefits due to him under the Change of Control Agreement. Mr. Schoening announced his intention to retire from the Company effective December 31, 2024.</w:t>
      </w:r>
    </w:p>
    <w:p>
      <w:pPr>
        <w:spacing w:after="0" w:line="80"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For additional information on non-change of control severance payments available under the Executive Agreements as well as additional information on these benefits, see the section entitled “Potential Payments Upon Termination or Change of Control” below.</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Carolyn Stone Separation</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As previously announced, the Company terminated Ms. Stone’s employment without cause effective March 4, 2024. In connection with her termination of employment, Ms. Stone and the Company entered into a Separation, Waiver and Release Agreement (the “Stone Separation Agreement”) pursuant to which she will receive: (i) a lump sum cash severance payment of $690,467.32; (ii) reimbursement of the difference between (a) the amount paid by Ms. Stone for continued medical and dental coverage for herself and her dependents under COBRA, for up to 12 months following the Separation Date; and (b) the contribution amounts paid by active employees for such medical and dental coverage, with such reimbursements to be provided to Ms. Stone by the Company in two lump sum payments within 30 days following September 4, 2024 and March 4, 2025; (iii) outplacement services at an aggregate cost not to exceed $20,000; and (iv) a supplemental lump sum cash payment of $423,650, in recognition of the value of certain outstanding phantom share units and performance share awards that were forfeited upon her termination. The Separation Agreement also includes a general release of claims in favor of the Company and confidentiality, non-solicitation and non-disparagement covenants. Ms. Stone forfeited all outstanding, unvested equity awards upon her termination.</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Accounting Considerations</w:t>
      </w:r>
    </w:p>
    <w:p>
      <w:pPr>
        <w:spacing w:after="0" w:line="11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Policies and Practices</w:t>
      </w:r>
    </w:p>
    <w:p>
      <w:pPr>
        <w:spacing w:after="0" w:line="12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following are key policies and practices of our executive compensation program, which we believe align the interests of management with those of our shareholders and are best practices in compensation and governance.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Equity Awards Pricing</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Civeo’s practice is to price awards at not less than the closing price on the date of grant.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Insider Trading and Hedging Policy</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Civeo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352425</wp:posOffset>
            </wp:positionV>
            <wp:extent cx="394335" cy="1968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Clawback Policy</w:t>
      </w:r>
    </w:p>
    <w:p>
      <w:pPr>
        <w:spacing w:after="0" w:line="11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Under Civeo’s clawback policy, in the event that Civeo is required to prepare an accounting restatement due to Civeo’s material non-compliance with any financial reporting requirement under the federal securities laws, Civeo will, subject to limited exceptions, recover the amount of any applicable incentive-based compensation received by an executive covered by the policy during the applicable recovery period (generally the prior three completed fiscal years) that exceeds the amount that otherwise would have been received had it been determined based on the restated financial statements. The clawback policy is intended to comply with, and will be administered and interpreted consistent with the requirements of Exchange Act Rule 10D-1 and applicable NYSE listing standards.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Executive Share Ownership Requirements</w:t>
      </w:r>
    </w:p>
    <w:p>
      <w:pPr>
        <w:spacing w:after="0" w:line="11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Civeo has established executive share ownership requirements to further align the interests of key executives with those of its shareholders. Our Executive Share Ownership Guidelines require our executives to attain ownership of shares equal in value to an amount calculated based on a multiple of the executive’s base salary,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282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114935</wp:posOffset>
            </wp:positionV>
            <wp:extent cx="771525" cy="1117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1525" cy="111760"/>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200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Executives who are covered by these guidelines have five years to reach their respective share ownership levels. On an annual basis, the Compensation Committee monitors compliance with these guidelines. As of March 18, 2024, all current executive officers were in compliance with the guidelines as demonstrated in the chart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00" w:type="dxa"/>
            <w:vAlign w:val="bottom"/>
          </w:tcPr>
          <w:p>
            <w:pPr>
              <w:spacing w:after="0"/>
              <w:rPr>
                <w:sz w:val="19"/>
                <w:szCs w:val="19"/>
                <w:color w:val="auto"/>
              </w:rPr>
            </w:pPr>
          </w:p>
        </w:tc>
        <w:tc>
          <w:tcPr>
            <w:tcW w:w="3260" w:type="dxa"/>
            <w:vAlign w:val="bottom"/>
            <w:tcBorders>
              <w:bottom w:val="single" w:sz="8" w:color="006DB6"/>
            </w:tcBorders>
            <w:gridSpan w:val="2"/>
          </w:tcPr>
          <w:p>
            <w:pPr>
              <w:jc w:val="right"/>
              <w:ind w:right="841"/>
              <w:spacing w:after="0"/>
              <w:rPr>
                <w:sz w:val="20"/>
                <w:szCs w:val="20"/>
                <w:color w:val="auto"/>
              </w:rPr>
            </w:pPr>
            <w:r>
              <w:rPr>
                <w:rFonts w:ascii="Arial" w:cs="Arial" w:eastAsia="Arial" w:hAnsi="Arial"/>
                <w:sz w:val="14"/>
                <w:szCs w:val="14"/>
                <w:b w:val="1"/>
                <w:bCs w:val="1"/>
                <w:color w:val="706F6F"/>
              </w:rPr>
              <w:t>Ownership in Shares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706F6F"/>
              </w:rPr>
              <w:t>Compliance</w:t>
            </w:r>
          </w:p>
        </w:tc>
      </w:tr>
      <w:tr>
        <w:trPr>
          <w:trHeight w:val="237"/>
        </w:trPr>
        <w:tc>
          <w:tcPr>
            <w:tcW w:w="670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Executives</w:t>
            </w:r>
          </w:p>
        </w:tc>
        <w:tc>
          <w:tcPr>
            <w:tcW w:w="1820" w:type="dxa"/>
            <w:vAlign w:val="bottom"/>
            <w:tcBorders>
              <w:bottom w:val="single" w:sz="8" w:color="006DB6"/>
            </w:tcBorders>
          </w:tcPr>
          <w:p>
            <w:pPr>
              <w:jc w:val="right"/>
              <w:ind w:right="162"/>
              <w:spacing w:after="0"/>
              <w:rPr>
                <w:sz w:val="20"/>
                <w:szCs w:val="20"/>
                <w:color w:val="auto"/>
              </w:rPr>
            </w:pPr>
            <w:r>
              <w:rPr>
                <w:rFonts w:ascii="Arial" w:cs="Arial" w:eastAsia="Arial" w:hAnsi="Arial"/>
                <w:sz w:val="14"/>
                <w:szCs w:val="14"/>
                <w:b w:val="1"/>
                <w:bCs w:val="1"/>
                <w:color w:val="706F6F"/>
              </w:rPr>
              <w:t>Target Ownership</w:t>
            </w:r>
          </w:p>
        </w:tc>
        <w:tc>
          <w:tcPr>
            <w:tcW w:w="14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Current Holdings</w:t>
            </w:r>
          </w:p>
        </w:tc>
        <w:tc>
          <w:tcPr>
            <w:tcW w:w="12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Y/N</w:t>
            </w:r>
          </w:p>
        </w:tc>
      </w:tr>
      <w:tr>
        <w:trPr>
          <w:trHeight w:val="23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195,618</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389,284</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31,202</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79,544</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39,433</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44,113</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r>
        <w:trPr>
          <w:trHeight w:val="23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Barclay H. Brewer</w:t>
            </w:r>
          </w:p>
        </w:tc>
        <w:tc>
          <w:tcPr>
            <w:tcW w:w="18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11,655</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14,946</w:t>
            </w:r>
          </w:p>
        </w:tc>
        <w:tc>
          <w:tcPr>
            <w:tcW w:w="128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Yes</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706F6F"/>
        </w:rPr>
        <w:t>Executive Retention and Succession Planning</w:t>
      </w:r>
    </w:p>
    <w:p>
      <w:pPr>
        <w:spacing w:after="0" w:line="12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Compensation Committee is sensitive to the critical importance of key employee and executive retention, recognizing the costs, potential impacts and replacement challenges that accompany the loss of talented leadership particularly in a difficult market environment. Each year executive retention is carefully considered by the Compensation Committee in arriving at its long-term incentive award determinations for our NEOs, all of which remained consistent with our past practices.</w:t>
      </w:r>
    </w:p>
    <w:p>
      <w:pPr>
        <w:spacing w:after="0" w:line="6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Compensation Committee Report</w:t>
      </w:r>
    </w:p>
    <w:p>
      <w:pPr>
        <w:spacing w:after="0" w:line="146"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Martin A. Lambert, </w:t>
      </w:r>
      <w:r>
        <w:rPr>
          <w:rFonts w:ascii="Arial" w:cs="Arial" w:eastAsia="Arial" w:hAnsi="Arial"/>
          <w:sz w:val="16"/>
          <w:szCs w:val="16"/>
          <w:b w:val="1"/>
          <w:bCs w:val="1"/>
          <w:i w:val="1"/>
          <w:iCs w:val="1"/>
          <w:color w:val="006DB6"/>
        </w:rPr>
        <w:t>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Constance B. Moore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Michael Montelongo</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Executive Compensation Tables</w:t>
      </w:r>
    </w:p>
    <w:p>
      <w:pPr>
        <w:spacing w:after="0" w:line="1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Summary Compensation Table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the compensation of our NEOs for the fiscal years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3"/>
              <w:spacing w:after="0"/>
              <w:rPr>
                <w:sz w:val="20"/>
                <w:szCs w:val="20"/>
                <w:color w:val="auto"/>
              </w:rPr>
            </w:pPr>
            <w:r>
              <w:rPr>
                <w:rFonts w:ascii="Arial" w:cs="Arial" w:eastAsia="Arial" w:hAnsi="Arial"/>
                <w:sz w:val="14"/>
                <w:szCs w:val="14"/>
                <w:b w:val="1"/>
                <w:bCs w:val="1"/>
                <w:color w:val="706F6F"/>
              </w:rPr>
              <w:t>Non-Equity</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706F6F"/>
              </w:rPr>
              <w:t>Stock</w:t>
            </w:r>
          </w:p>
        </w:tc>
        <w:tc>
          <w:tcPr>
            <w:tcW w:w="220" w:type="dxa"/>
            <w:vAlign w:val="bottom"/>
          </w:tcPr>
          <w:p>
            <w:pPr>
              <w:spacing w:after="0"/>
              <w:rPr>
                <w:sz w:val="14"/>
                <w:szCs w:val="14"/>
                <w:color w:val="auto"/>
              </w:rPr>
            </w:pPr>
          </w:p>
        </w:tc>
        <w:tc>
          <w:tcPr>
            <w:tcW w:w="1140" w:type="dxa"/>
            <w:vAlign w:val="bottom"/>
          </w:tcPr>
          <w:p>
            <w:pPr>
              <w:jc w:val="right"/>
              <w:ind w:right="23"/>
              <w:spacing w:after="0"/>
              <w:rPr>
                <w:sz w:val="20"/>
                <w:szCs w:val="20"/>
                <w:color w:val="auto"/>
              </w:rPr>
            </w:pPr>
            <w:r>
              <w:rPr>
                <w:rFonts w:ascii="Arial" w:cs="Arial" w:eastAsia="Arial" w:hAnsi="Arial"/>
                <w:sz w:val="14"/>
                <w:szCs w:val="14"/>
                <w:b w:val="1"/>
                <w:bCs w:val="1"/>
                <w:color w:val="706F6F"/>
              </w:rPr>
              <w:t>Incentive Plan</w:t>
            </w:r>
          </w:p>
        </w:tc>
        <w:tc>
          <w:tcPr>
            <w:tcW w:w="220" w:type="dxa"/>
            <w:vAlign w:val="bottom"/>
          </w:tcPr>
          <w:p>
            <w:pPr>
              <w:spacing w:after="0"/>
              <w:rPr>
                <w:sz w:val="14"/>
                <w:szCs w:val="14"/>
                <w:color w:val="auto"/>
              </w:rPr>
            </w:pPr>
          </w:p>
        </w:tc>
        <w:tc>
          <w:tcPr>
            <w:tcW w:w="1040" w:type="dxa"/>
            <w:vAlign w:val="bottom"/>
          </w:tcPr>
          <w:p>
            <w:pPr>
              <w:jc w:val="center"/>
              <w:ind w:left="321"/>
              <w:spacing w:after="0"/>
              <w:rPr>
                <w:sz w:val="20"/>
                <w:szCs w:val="20"/>
                <w:color w:val="auto"/>
              </w:rPr>
            </w:pPr>
            <w:r>
              <w:rPr>
                <w:rFonts w:ascii="Arial" w:cs="Arial" w:eastAsia="Arial" w:hAnsi="Arial"/>
                <w:sz w:val="14"/>
                <w:szCs w:val="14"/>
                <w:b w:val="1"/>
                <w:bCs w:val="1"/>
                <w:color w:val="706F6F"/>
              </w:rPr>
              <w:t>All Other</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706F6F"/>
              </w:rPr>
              <w:t>Salary</w:t>
            </w:r>
          </w:p>
        </w:tc>
        <w:tc>
          <w:tcPr>
            <w:tcW w:w="2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706F6F"/>
              </w:rPr>
              <w:t>Bonus</w:t>
            </w:r>
          </w:p>
        </w:tc>
        <w:tc>
          <w:tcPr>
            <w:tcW w:w="340" w:type="dxa"/>
            <w:vAlign w:val="bottom"/>
          </w:tcPr>
          <w:p>
            <w:pPr>
              <w:spacing w:after="0"/>
              <w:rPr>
                <w:sz w:val="15"/>
                <w:szCs w:val="15"/>
                <w:color w:val="auto"/>
              </w:rPr>
            </w:pPr>
          </w:p>
        </w:tc>
        <w:tc>
          <w:tcPr>
            <w:tcW w:w="1020" w:type="dxa"/>
            <w:vAlign w:val="bottom"/>
          </w:tcPr>
          <w:p>
            <w:pPr>
              <w:jc w:val="right"/>
              <w:ind w:right="1"/>
              <w:spacing w:after="0"/>
              <w:rPr>
                <w:sz w:val="20"/>
                <w:szCs w:val="20"/>
                <w:color w:val="auto"/>
              </w:rPr>
            </w:pPr>
            <w:r>
              <w:rPr>
                <w:rFonts w:ascii="Arial" w:cs="Arial" w:eastAsia="Arial" w:hAnsi="Arial"/>
                <w:sz w:val="14"/>
                <w:szCs w:val="14"/>
                <w:b w:val="1"/>
                <w:bCs w:val="1"/>
                <w:color w:val="706F6F"/>
              </w:rPr>
              <w:t>Awards</w:t>
            </w:r>
          </w:p>
        </w:tc>
        <w:tc>
          <w:tcPr>
            <w:tcW w:w="220" w:type="dxa"/>
            <w:vAlign w:val="bottom"/>
          </w:tcPr>
          <w:p>
            <w:pPr>
              <w:spacing w:after="0"/>
              <w:rPr>
                <w:sz w:val="15"/>
                <w:szCs w:val="15"/>
                <w:color w:val="auto"/>
              </w:rPr>
            </w:pPr>
          </w:p>
        </w:tc>
        <w:tc>
          <w:tcPr>
            <w:tcW w:w="1140" w:type="dxa"/>
            <w:vAlign w:val="bottom"/>
          </w:tcPr>
          <w:p>
            <w:pPr>
              <w:jc w:val="right"/>
              <w:ind w:right="23"/>
              <w:spacing w:after="0"/>
              <w:rPr>
                <w:sz w:val="20"/>
                <w:szCs w:val="20"/>
                <w:color w:val="auto"/>
              </w:rPr>
            </w:pPr>
            <w:r>
              <w:rPr>
                <w:rFonts w:ascii="Arial" w:cs="Arial" w:eastAsia="Arial" w:hAnsi="Arial"/>
                <w:sz w:val="14"/>
                <w:szCs w:val="14"/>
                <w:b w:val="1"/>
                <w:bCs w:val="1"/>
                <w:color w:val="706F6F"/>
              </w:rPr>
              <w:t>Compensation</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706F6F"/>
              </w:rPr>
              <w:t>Compensation</w:t>
            </w:r>
          </w:p>
        </w:tc>
        <w:tc>
          <w:tcPr>
            <w:tcW w:w="28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706F6F"/>
              </w:rPr>
              <w:t>Total</w:t>
            </w:r>
          </w:p>
        </w:tc>
        <w:tc>
          <w:tcPr>
            <w:tcW w:w="0" w:type="dxa"/>
            <w:vAlign w:val="bottom"/>
          </w:tcPr>
          <w:p>
            <w:pPr>
              <w:spacing w:after="0"/>
              <w:rPr>
                <w:sz w:val="1"/>
                <w:szCs w:val="1"/>
                <w:color w:val="auto"/>
              </w:rPr>
            </w:pPr>
          </w:p>
        </w:tc>
      </w:tr>
      <w:tr>
        <w:trPr>
          <w:trHeight w:val="221"/>
        </w:trPr>
        <w:tc>
          <w:tcPr>
            <w:tcW w:w="25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 and Principal Position</w:t>
            </w:r>
          </w:p>
        </w:tc>
        <w:tc>
          <w:tcPr>
            <w:tcW w:w="640" w:type="dxa"/>
            <w:vAlign w:val="bottom"/>
            <w:tcBorders>
              <w:bottom w:val="single" w:sz="8" w:color="006DB6"/>
            </w:tcBorders>
          </w:tcPr>
          <w:p>
            <w:pPr>
              <w:jc w:val="right"/>
              <w:ind w:right="240"/>
              <w:spacing w:after="0"/>
              <w:rPr>
                <w:sz w:val="20"/>
                <w:szCs w:val="20"/>
                <w:color w:val="auto"/>
              </w:rPr>
            </w:pPr>
            <w:r>
              <w:rPr>
                <w:rFonts w:ascii="Arial" w:cs="Arial" w:eastAsia="Arial" w:hAnsi="Arial"/>
                <w:sz w:val="14"/>
                <w:szCs w:val="14"/>
                <w:b w:val="1"/>
                <w:bCs w:val="1"/>
                <w:color w:val="706F6F"/>
                <w:w w:val="98"/>
              </w:rPr>
              <w:t>Year</w:t>
            </w:r>
          </w:p>
        </w:tc>
        <w:tc>
          <w:tcPr>
            <w:tcW w:w="380" w:type="dxa"/>
            <w:vAlign w:val="bottom"/>
            <w:tcBorders>
              <w:bottom w:val="single" w:sz="8" w:color="006DB6"/>
            </w:tcBorders>
          </w:tcPr>
          <w:p>
            <w:pPr>
              <w:spacing w:after="0"/>
              <w:rPr>
                <w:sz w:val="19"/>
                <w:szCs w:val="19"/>
                <w:color w:val="auto"/>
              </w:rPr>
            </w:pPr>
          </w:p>
        </w:tc>
        <w:tc>
          <w:tcPr>
            <w:tcW w:w="8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280" w:type="dxa"/>
            <w:vAlign w:val="bottom"/>
            <w:tcBorders>
              <w:bottom w:val="single" w:sz="8" w:color="006DB6"/>
            </w:tcBorders>
          </w:tcPr>
          <w:p>
            <w:pPr>
              <w:spacing w:after="0"/>
              <w:rPr>
                <w:sz w:val="19"/>
                <w:szCs w:val="19"/>
                <w:color w:val="auto"/>
              </w:rPr>
            </w:pPr>
          </w:p>
        </w:tc>
        <w:tc>
          <w:tcPr>
            <w:tcW w:w="1000" w:type="dxa"/>
            <w:vAlign w:val="bottom"/>
            <w:tcBorders>
              <w:bottom w:val="single" w:sz="8" w:color="006DB6"/>
            </w:tcBorders>
          </w:tcPr>
          <w:p>
            <w:pPr>
              <w:jc w:val="right"/>
              <w:ind w:right="8"/>
              <w:spacing w:after="0" w:line="214"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(4)</w:t>
            </w:r>
          </w:p>
        </w:tc>
        <w:tc>
          <w:tcPr>
            <w:tcW w:w="340" w:type="dxa"/>
            <w:vAlign w:val="bottom"/>
            <w:tcBorders>
              <w:bottom w:val="single" w:sz="8" w:color="006DB6"/>
            </w:tcBorders>
          </w:tcPr>
          <w:p>
            <w:pPr>
              <w:spacing w:after="0"/>
              <w:rPr>
                <w:sz w:val="19"/>
                <w:szCs w:val="19"/>
                <w:color w:val="auto"/>
              </w:rPr>
            </w:pPr>
          </w:p>
        </w:tc>
        <w:tc>
          <w:tcPr>
            <w:tcW w:w="1020" w:type="dxa"/>
            <w:vAlign w:val="bottom"/>
            <w:tcBorders>
              <w:bottom w:val="single" w:sz="8" w:color="006DB6"/>
            </w:tcBorders>
          </w:tcPr>
          <w:p>
            <w:pPr>
              <w:jc w:val="right"/>
              <w:ind w:right="1"/>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9"/>
                <w:szCs w:val="9"/>
                <w:b w:val="1"/>
                <w:bCs w:val="1"/>
                <w:color w:val="706F6F"/>
              </w:rPr>
              <w:t>(5)</w:t>
            </w:r>
          </w:p>
        </w:tc>
        <w:tc>
          <w:tcPr>
            <w:tcW w:w="220" w:type="dxa"/>
            <w:vAlign w:val="bottom"/>
            <w:tcBorders>
              <w:bottom w:val="single" w:sz="8" w:color="006DB6"/>
            </w:tcBorders>
          </w:tcPr>
          <w:p>
            <w:pPr>
              <w:spacing w:after="0"/>
              <w:rPr>
                <w:sz w:val="19"/>
                <w:szCs w:val="19"/>
                <w:color w:val="auto"/>
              </w:rPr>
            </w:pPr>
          </w:p>
        </w:tc>
        <w:tc>
          <w:tcPr>
            <w:tcW w:w="1140" w:type="dxa"/>
            <w:vAlign w:val="bottom"/>
            <w:tcBorders>
              <w:bottom w:val="single" w:sz="8" w:color="006DB6"/>
            </w:tcBorders>
          </w:tcPr>
          <w:p>
            <w:pPr>
              <w:jc w:val="right"/>
              <w:ind w:right="23"/>
              <w:spacing w:after="0" w:line="214"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9"/>
                <w:szCs w:val="9"/>
                <w:b w:val="1"/>
                <w:bCs w:val="1"/>
                <w:color w:val="706F6F"/>
              </w:rPr>
              <w:t>(6)</w:t>
            </w:r>
          </w:p>
        </w:tc>
        <w:tc>
          <w:tcPr>
            <w:tcW w:w="220" w:type="dxa"/>
            <w:vAlign w:val="bottom"/>
            <w:tcBorders>
              <w:bottom w:val="single" w:sz="8" w:color="006DB6"/>
            </w:tcBorders>
          </w:tcPr>
          <w:p>
            <w:pPr>
              <w:spacing w:after="0"/>
              <w:rPr>
                <w:sz w:val="19"/>
                <w:szCs w:val="19"/>
                <w:color w:val="auto"/>
              </w:rPr>
            </w:pPr>
          </w:p>
        </w:tc>
        <w:tc>
          <w:tcPr>
            <w:tcW w:w="104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9"/>
                <w:szCs w:val="9"/>
                <w:b w:val="1"/>
                <w:bCs w:val="1"/>
                <w:color w:val="706F6F"/>
              </w:rPr>
              <w:t>(7)</w:t>
            </w:r>
          </w:p>
        </w:tc>
        <w:tc>
          <w:tcPr>
            <w:tcW w:w="280" w:type="dxa"/>
            <w:vAlign w:val="bottom"/>
            <w:tcBorders>
              <w:bottom w:val="single" w:sz="8" w:color="006DB6"/>
            </w:tcBorders>
          </w:tcPr>
          <w:p>
            <w:pPr>
              <w:spacing w:after="0"/>
              <w:rPr>
                <w:sz w:val="19"/>
                <w:szCs w:val="19"/>
                <w:color w:val="auto"/>
              </w:rPr>
            </w:pPr>
          </w:p>
        </w:tc>
        <w:tc>
          <w:tcPr>
            <w:tcW w:w="1080" w:type="dxa"/>
            <w:vAlign w:val="bottom"/>
            <w:tcBorders>
              <w:bottom w:val="single" w:sz="8" w:color="006DB6"/>
            </w:tcBorders>
            <w:gridSpan w:val="2"/>
          </w:tcPr>
          <w:p>
            <w:pPr>
              <w:jc w:val="right"/>
              <w:ind w:right="20"/>
              <w:spacing w:after="0"/>
              <w:rPr>
                <w:sz w:val="20"/>
                <w:szCs w:val="20"/>
                <w:color w:val="auto"/>
              </w:rPr>
            </w:pPr>
            <w:r>
              <w:rPr>
                <w:rFonts w:ascii="Arial" w:cs="Arial" w:eastAsia="Arial" w:hAnsi="Arial"/>
                <w:sz w:val="14"/>
                <w:szCs w:val="14"/>
                <w:b w:val="1"/>
                <w:bCs w:val="1"/>
                <w:color w:val="706F6F"/>
              </w:rPr>
              <w:t>($)</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750,000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8"/>
              <w:spacing w:after="0"/>
              <w:rPr>
                <w:sz w:val="20"/>
                <w:szCs w:val="20"/>
                <w:color w:val="auto"/>
              </w:rPr>
            </w:pPr>
            <w:r>
              <w:rPr>
                <w:rFonts w:ascii="Arial" w:cs="Arial" w:eastAsia="Arial" w:hAnsi="Arial"/>
                <w:sz w:val="16"/>
                <w:szCs w:val="16"/>
                <w:color w:val="auto"/>
              </w:rPr>
              <w:t>1,256,251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2,811,698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1,474,995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321"/>
              <w:spacing w:after="0"/>
              <w:rPr>
                <w:sz w:val="20"/>
                <w:szCs w:val="20"/>
                <w:color w:val="auto"/>
              </w:rPr>
            </w:pPr>
            <w:r>
              <w:rPr>
                <w:rFonts w:ascii="Arial" w:cs="Arial" w:eastAsia="Arial" w:hAnsi="Arial"/>
                <w:sz w:val="16"/>
                <w:szCs w:val="16"/>
                <w:color w:val="auto"/>
                <w:w w:val="98"/>
              </w:rPr>
              <w:t>18,918</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6,311,862</w:t>
            </w:r>
          </w:p>
        </w:tc>
        <w:tc>
          <w:tcPr>
            <w:tcW w:w="40" w:type="dxa"/>
            <w:vAlign w:val="bottom"/>
            <w:tcBorders>
              <w:bottom w:val="single" w:sz="8" w:color="E8EEF7"/>
            </w:tcBorders>
            <w:shd w:val="clear" w:color="auto" w:fill="E8EEF7"/>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2540" w:type="dxa"/>
            <w:vAlign w:val="bottom"/>
          </w:tcPr>
          <w:p>
            <w:pPr>
              <w:ind w:left="20"/>
              <w:spacing w:after="0" w:line="142" w:lineRule="exact"/>
              <w:rPr>
                <w:sz w:val="20"/>
                <w:szCs w:val="20"/>
                <w:color w:val="auto"/>
              </w:rPr>
            </w:pPr>
            <w:r>
              <w:rPr>
                <w:rFonts w:ascii="Arial" w:cs="Arial" w:eastAsia="Arial" w:hAnsi="Arial"/>
                <w:sz w:val="16"/>
                <w:szCs w:val="16"/>
                <w:color w:val="auto"/>
              </w:rPr>
              <w:t>President and Chief Executive</w:t>
            </w:r>
          </w:p>
        </w:tc>
        <w:tc>
          <w:tcPr>
            <w:tcW w:w="6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2022</w:t>
            </w: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750,000</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2,839,301</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rPr>
              <w:t>1,110,600</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center"/>
              <w:ind w:left="321"/>
              <w:spacing w:after="0"/>
              <w:rPr>
                <w:sz w:val="20"/>
                <w:szCs w:val="20"/>
                <w:color w:val="auto"/>
              </w:rPr>
            </w:pPr>
            <w:r>
              <w:rPr>
                <w:rFonts w:ascii="Arial" w:cs="Arial" w:eastAsia="Arial" w:hAnsi="Arial"/>
                <w:sz w:val="16"/>
                <w:szCs w:val="16"/>
                <w:color w:val="auto"/>
                <w:w w:val="98"/>
              </w:rPr>
              <w:t>17,884</w:t>
            </w:r>
          </w:p>
        </w:tc>
        <w:tc>
          <w:tcPr>
            <w:tcW w:w="280" w:type="dxa"/>
            <w:vAlign w:val="bottom"/>
            <w:tcBorders>
              <w:top w:val="single" w:sz="8" w:color="auto"/>
            </w:tcBorders>
            <w:shd w:val="clear" w:color="auto" w:fill="E8EEF7"/>
          </w:tcPr>
          <w:p>
            <w:pPr>
              <w:spacing w:after="0"/>
              <w:rPr>
                <w:sz w:val="12"/>
                <w:szCs w:val="12"/>
                <w:color w:val="auto"/>
              </w:rPr>
            </w:pPr>
          </w:p>
        </w:tc>
        <w:tc>
          <w:tcPr>
            <w:tcW w:w="104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4,717,785</w:t>
            </w:r>
          </w:p>
        </w:tc>
        <w:tc>
          <w:tcPr>
            <w:tcW w:w="40" w:type="dxa"/>
            <w:vAlign w:val="bottom"/>
            <w:tcBorders>
              <w:top w:val="single" w:sz="8" w:color="auto"/>
            </w:tcBorders>
            <w:shd w:val="clear" w:color="auto" w:fill="E8EEF7"/>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Officer</w:t>
            </w:r>
          </w:p>
        </w:tc>
        <w:tc>
          <w:tcPr>
            <w:tcW w:w="6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80" w:type="dxa"/>
            <w:vAlign w:val="bottom"/>
            <w:tcBorders>
              <w:bottom w:val="single" w:sz="8" w:color="E8EEF7"/>
            </w:tcBorders>
            <w:shd w:val="clear" w:color="auto" w:fill="E8EEF7"/>
          </w:tcPr>
          <w:p>
            <w:pPr>
              <w:spacing w:after="0"/>
              <w:rPr>
                <w:sz w:val="8"/>
                <w:szCs w:val="8"/>
                <w:color w:val="auto"/>
              </w:rPr>
            </w:pPr>
          </w:p>
        </w:tc>
        <w:tc>
          <w:tcPr>
            <w:tcW w:w="1040" w:type="dxa"/>
            <w:vAlign w:val="bottom"/>
            <w:tcBorders>
              <w:bottom w:val="single" w:sz="8" w:color="E8EEF7"/>
            </w:tcBorders>
            <w:vMerge w:val="continue"/>
            <w:shd w:val="clear" w:color="auto" w:fill="E8EEF7"/>
          </w:tcPr>
          <w:p>
            <w:pPr>
              <w:spacing w:after="0"/>
              <w:rPr>
                <w:sz w:val="8"/>
                <w:szCs w:val="8"/>
                <w:color w:val="auto"/>
              </w:rPr>
            </w:pPr>
          </w:p>
        </w:tc>
        <w:tc>
          <w:tcPr>
            <w:tcW w:w="40" w:type="dxa"/>
            <w:vAlign w:val="bottom"/>
            <w:tcBorders>
              <w:bottom w:val="single" w:sz="8" w:color="E8EEF7"/>
            </w:tcBorders>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40" w:type="dxa"/>
            <w:vAlign w:val="bottom"/>
            <w:vMerge w:val="continue"/>
          </w:tcPr>
          <w:p>
            <w:pPr>
              <w:spacing w:after="0"/>
              <w:rPr>
                <w:sz w:val="8"/>
                <w:szCs w:val="8"/>
                <w:color w:val="auto"/>
              </w:rPr>
            </w:pPr>
          </w:p>
        </w:tc>
        <w:tc>
          <w:tcPr>
            <w:tcW w:w="6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2021</w:t>
            </w:r>
          </w:p>
        </w:tc>
        <w:tc>
          <w:tcPr>
            <w:tcW w:w="3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744,808</w:t>
            </w:r>
          </w:p>
        </w:tc>
        <w:tc>
          <w:tcPr>
            <w:tcW w:w="28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2,960,437</w:t>
            </w:r>
          </w:p>
        </w:tc>
        <w:tc>
          <w:tcPr>
            <w:tcW w:w="22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rPr>
              <w:t>1,336,323</w:t>
            </w:r>
          </w:p>
        </w:tc>
        <w:tc>
          <w:tcPr>
            <w:tcW w:w="2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vMerge w:val="restart"/>
          </w:tcPr>
          <w:p>
            <w:pPr>
              <w:jc w:val="center"/>
              <w:ind w:left="321"/>
              <w:spacing w:after="0"/>
              <w:rPr>
                <w:sz w:val="20"/>
                <w:szCs w:val="20"/>
                <w:color w:val="auto"/>
              </w:rPr>
            </w:pPr>
            <w:r>
              <w:rPr>
                <w:rFonts w:ascii="Arial" w:cs="Arial" w:eastAsia="Arial" w:hAnsi="Arial"/>
                <w:sz w:val="16"/>
                <w:szCs w:val="16"/>
                <w:color w:val="auto"/>
                <w:w w:val="98"/>
              </w:rPr>
              <w:t>17,123</w:t>
            </w:r>
          </w:p>
        </w:tc>
        <w:tc>
          <w:tcPr>
            <w:tcW w:w="280" w:type="dxa"/>
            <w:vAlign w:val="bottom"/>
            <w:tcBorders>
              <w:top w:val="single" w:sz="8" w:color="auto"/>
            </w:tcBorders>
            <w:shd w:val="clear" w:color="auto" w:fill="E8EEF7"/>
          </w:tcPr>
          <w:p>
            <w:pPr>
              <w:spacing w:after="0"/>
              <w:rPr>
                <w:sz w:val="8"/>
                <w:szCs w:val="8"/>
                <w:color w:val="auto"/>
              </w:rPr>
            </w:pPr>
          </w:p>
        </w:tc>
        <w:tc>
          <w:tcPr>
            <w:tcW w:w="104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5,058,691</w:t>
            </w:r>
          </w:p>
        </w:tc>
        <w:tc>
          <w:tcPr>
            <w:tcW w:w="40" w:type="dxa"/>
            <w:vAlign w:val="bottom"/>
            <w:tcBorders>
              <w:top w:val="single" w:sz="8" w:color="auto"/>
            </w:tcBorders>
            <w:shd w:val="clear" w:color="auto" w:fill="E8EEF7"/>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5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80" w:type="dxa"/>
            <w:vAlign w:val="bottom"/>
            <w:shd w:val="clear" w:color="auto" w:fill="E8EEF7"/>
          </w:tcPr>
          <w:p>
            <w:pPr>
              <w:spacing w:after="0"/>
              <w:rPr>
                <w:sz w:val="10"/>
                <w:szCs w:val="10"/>
                <w:color w:val="auto"/>
              </w:rPr>
            </w:pPr>
          </w:p>
        </w:tc>
        <w:tc>
          <w:tcPr>
            <w:tcW w:w="1040" w:type="dxa"/>
            <w:vAlign w:val="bottom"/>
            <w:vMerge w:val="continue"/>
            <w:shd w:val="clear" w:color="auto" w:fill="E8EEF7"/>
          </w:tcPr>
          <w:p>
            <w:pPr>
              <w:spacing w:after="0"/>
              <w:rPr>
                <w:sz w:val="10"/>
                <w:szCs w:val="10"/>
                <w:color w:val="auto"/>
              </w:rPr>
            </w:pPr>
          </w:p>
        </w:tc>
        <w:tc>
          <w:tcPr>
            <w:tcW w:w="40" w:type="dxa"/>
            <w:vAlign w:val="bottom"/>
            <w:shd w:val="clear" w:color="auto" w:fill="E8EEF7"/>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2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E8EEF7"/>
          </w:tcPr>
          <w:p>
            <w:pPr>
              <w:spacing w:after="0"/>
              <w:rPr>
                <w:sz w:val="24"/>
                <w:szCs w:val="24"/>
                <w:color w:val="auto"/>
              </w:rPr>
            </w:pPr>
          </w:p>
        </w:tc>
        <w:tc>
          <w:tcPr>
            <w:tcW w:w="1040" w:type="dxa"/>
            <w:vAlign w:val="bottom"/>
            <w:tcBorders>
              <w:bottom w:val="single" w:sz="8" w:color="auto"/>
            </w:tcBorders>
            <w:shd w:val="clear" w:color="auto" w:fill="E8EEF7"/>
          </w:tcPr>
          <w:p>
            <w:pPr>
              <w:spacing w:after="0"/>
              <w:rPr>
                <w:sz w:val="24"/>
                <w:szCs w:val="24"/>
                <w:color w:val="auto"/>
              </w:rPr>
            </w:pPr>
          </w:p>
        </w:tc>
        <w:tc>
          <w:tcPr>
            <w:tcW w:w="4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Peter L. McCann </w:t>
            </w:r>
            <w:r>
              <w:rPr>
                <w:rFonts w:ascii="Arial" w:cs="Arial" w:eastAsia="Arial" w:hAnsi="Arial"/>
                <w:sz w:val="21"/>
                <w:szCs w:val="21"/>
                <w:b w:val="1"/>
                <w:bCs w:val="1"/>
                <w:color w:val="006DB6"/>
                <w:vertAlign w:val="superscript"/>
              </w:rPr>
              <w:t>(1)</w:t>
            </w: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299,070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8"/>
              <w:spacing w:after="0"/>
              <w:rPr>
                <w:sz w:val="20"/>
                <w:szCs w:val="20"/>
                <w:color w:val="auto"/>
              </w:rPr>
            </w:pPr>
            <w:r>
              <w:rPr>
                <w:rFonts w:ascii="Arial" w:cs="Arial" w:eastAsia="Arial" w:hAnsi="Arial"/>
                <w:sz w:val="16"/>
                <w:szCs w:val="16"/>
                <w:color w:val="auto"/>
              </w:rPr>
              <w:t>178,133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437,718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358,060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321"/>
              <w:spacing w:after="0"/>
              <w:rPr>
                <w:sz w:val="20"/>
                <w:szCs w:val="20"/>
                <w:color w:val="auto"/>
              </w:rPr>
            </w:pPr>
            <w:r>
              <w:rPr>
                <w:rFonts w:ascii="Arial" w:cs="Arial" w:eastAsia="Arial" w:hAnsi="Arial"/>
                <w:sz w:val="16"/>
                <w:szCs w:val="16"/>
                <w:color w:val="auto"/>
                <w:w w:val="98"/>
              </w:rPr>
              <w:t>18,210</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1,291,191</w:t>
            </w:r>
          </w:p>
        </w:tc>
        <w:tc>
          <w:tcPr>
            <w:tcW w:w="40" w:type="dxa"/>
            <w:vAlign w:val="bottom"/>
            <w:tcBorders>
              <w:bottom w:val="single" w:sz="8" w:color="E8EEF7"/>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4" w:lineRule="exact"/>
              <w:rPr>
                <w:sz w:val="20"/>
                <w:szCs w:val="20"/>
                <w:color w:val="auto"/>
              </w:rPr>
            </w:pPr>
            <w:r>
              <w:rPr>
                <w:rFonts w:ascii="Arial" w:cs="Arial" w:eastAsia="Arial" w:hAnsi="Arial"/>
                <w:sz w:val="16"/>
                <w:szCs w:val="16"/>
                <w:color w:val="auto"/>
              </w:rPr>
              <w:t>Senior Vice President, Australia</w:t>
            </w:r>
          </w:p>
        </w:tc>
        <w:tc>
          <w:tcPr>
            <w:tcW w:w="6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2022</w:t>
            </w: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312,615</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501,764</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rPr>
              <w:t>294,601</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center"/>
              <w:ind w:left="321"/>
              <w:spacing w:after="0"/>
              <w:rPr>
                <w:sz w:val="20"/>
                <w:szCs w:val="20"/>
                <w:color w:val="auto"/>
              </w:rPr>
            </w:pPr>
            <w:r>
              <w:rPr>
                <w:rFonts w:ascii="Arial" w:cs="Arial" w:eastAsia="Arial" w:hAnsi="Arial"/>
                <w:sz w:val="16"/>
                <w:szCs w:val="16"/>
                <w:color w:val="auto"/>
                <w:w w:val="98"/>
              </w:rPr>
              <w:t>16,972</w:t>
            </w:r>
          </w:p>
        </w:tc>
        <w:tc>
          <w:tcPr>
            <w:tcW w:w="280" w:type="dxa"/>
            <w:vAlign w:val="bottom"/>
            <w:tcBorders>
              <w:top w:val="single" w:sz="8" w:color="auto"/>
            </w:tcBorders>
            <w:shd w:val="clear" w:color="auto" w:fill="E8EEF7"/>
          </w:tcPr>
          <w:p>
            <w:pPr>
              <w:spacing w:after="0"/>
              <w:rPr>
                <w:sz w:val="13"/>
                <w:szCs w:val="13"/>
                <w:color w:val="auto"/>
              </w:rPr>
            </w:pPr>
          </w:p>
        </w:tc>
        <w:tc>
          <w:tcPr>
            <w:tcW w:w="104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1,125,952</w:t>
            </w:r>
          </w:p>
        </w:tc>
        <w:tc>
          <w:tcPr>
            <w:tcW w:w="40" w:type="dxa"/>
            <w:vAlign w:val="bottom"/>
            <w:tcBorders>
              <w:top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5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80" w:type="dxa"/>
            <w:vAlign w:val="bottom"/>
            <w:tcBorders>
              <w:bottom w:val="single" w:sz="8" w:color="E8EEF7"/>
            </w:tcBorders>
            <w:shd w:val="clear" w:color="auto" w:fill="E8EEF7"/>
          </w:tcPr>
          <w:p>
            <w:pPr>
              <w:spacing w:after="0"/>
              <w:rPr>
                <w:sz w:val="7"/>
                <w:szCs w:val="7"/>
                <w:color w:val="auto"/>
              </w:rPr>
            </w:pPr>
          </w:p>
        </w:tc>
        <w:tc>
          <w:tcPr>
            <w:tcW w:w="1040" w:type="dxa"/>
            <w:vAlign w:val="bottom"/>
            <w:tcBorders>
              <w:bottom w:val="single" w:sz="8" w:color="E8EEF7"/>
            </w:tcBorders>
            <w:vMerge w:val="continue"/>
            <w:shd w:val="clear" w:color="auto" w:fill="E8EEF7"/>
          </w:tcPr>
          <w:p>
            <w:pPr>
              <w:spacing w:after="0"/>
              <w:rPr>
                <w:sz w:val="7"/>
                <w:szCs w:val="7"/>
                <w:color w:val="auto"/>
              </w:rPr>
            </w:pPr>
          </w:p>
        </w:tc>
        <w:tc>
          <w:tcPr>
            <w:tcW w:w="40" w:type="dxa"/>
            <w:vAlign w:val="bottom"/>
            <w:tcBorders>
              <w:bottom w:val="single" w:sz="8" w:color="E8EEF7"/>
            </w:tcBorders>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2021</w:t>
            </w: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336,097</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523,179</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239,920</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left="321"/>
              <w:spacing w:after="0"/>
              <w:rPr>
                <w:sz w:val="20"/>
                <w:szCs w:val="20"/>
                <w:color w:val="auto"/>
              </w:rPr>
            </w:pPr>
            <w:r>
              <w:rPr>
                <w:rFonts w:ascii="Arial" w:cs="Arial" w:eastAsia="Arial" w:hAnsi="Arial"/>
                <w:sz w:val="16"/>
                <w:szCs w:val="16"/>
                <w:color w:val="auto"/>
                <w:w w:val="98"/>
              </w:rPr>
              <w:t>17,053</w:t>
            </w:r>
          </w:p>
        </w:tc>
        <w:tc>
          <w:tcPr>
            <w:tcW w:w="280" w:type="dxa"/>
            <w:vAlign w:val="bottom"/>
            <w:tcBorders>
              <w:top w:val="single" w:sz="8" w:color="auto"/>
            </w:tcBorders>
            <w:shd w:val="clear" w:color="auto" w:fill="E8EEF7"/>
          </w:tcPr>
          <w:p>
            <w:pPr>
              <w:spacing w:after="0"/>
              <w:rPr>
                <w:sz w:val="18"/>
                <w:szCs w:val="18"/>
                <w:color w:val="auto"/>
              </w:rPr>
            </w:pPr>
          </w:p>
        </w:tc>
        <w:tc>
          <w:tcPr>
            <w:tcW w:w="104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1,116,249</w:t>
            </w:r>
          </w:p>
        </w:tc>
        <w:tc>
          <w:tcPr>
            <w:tcW w:w="40" w:type="dxa"/>
            <w:vAlign w:val="bottom"/>
            <w:tcBorders>
              <w:top w:val="single" w:sz="8" w:color="auto"/>
            </w:tcBorders>
            <w:shd w:val="clear" w:color="auto" w:fill="E8EEF7"/>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E8EEF7"/>
          </w:tcPr>
          <w:p>
            <w:pPr>
              <w:spacing w:after="0"/>
              <w:rPr>
                <w:sz w:val="24"/>
                <w:szCs w:val="24"/>
                <w:color w:val="auto"/>
              </w:rPr>
            </w:pPr>
          </w:p>
        </w:tc>
        <w:tc>
          <w:tcPr>
            <w:tcW w:w="1040" w:type="dxa"/>
            <w:vAlign w:val="bottom"/>
            <w:tcBorders>
              <w:bottom w:val="single" w:sz="8" w:color="auto"/>
            </w:tcBorders>
            <w:shd w:val="clear" w:color="auto" w:fill="E8EEF7"/>
          </w:tcPr>
          <w:p>
            <w:pPr>
              <w:spacing w:after="0"/>
              <w:rPr>
                <w:sz w:val="24"/>
                <w:szCs w:val="24"/>
                <w:color w:val="auto"/>
              </w:rPr>
            </w:pPr>
          </w:p>
        </w:tc>
        <w:tc>
          <w:tcPr>
            <w:tcW w:w="4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Allan D. Schoening </w:t>
            </w:r>
            <w:r>
              <w:rPr>
                <w:rFonts w:ascii="Arial" w:cs="Arial" w:eastAsia="Arial" w:hAnsi="Arial"/>
                <w:sz w:val="21"/>
                <w:szCs w:val="21"/>
                <w:b w:val="1"/>
                <w:bCs w:val="1"/>
                <w:color w:val="006DB6"/>
                <w:vertAlign w:val="superscript"/>
              </w:rPr>
              <w:t>(2)</w:t>
            </w: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377,961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8"/>
              <w:spacing w:after="0"/>
              <w:rPr>
                <w:sz w:val="20"/>
                <w:szCs w:val="20"/>
                <w:color w:val="auto"/>
              </w:rPr>
            </w:pPr>
            <w:r>
              <w:rPr>
                <w:rFonts w:ascii="Arial" w:cs="Arial" w:eastAsia="Arial" w:hAnsi="Arial"/>
                <w:sz w:val="16"/>
                <w:szCs w:val="16"/>
                <w:color w:val="auto"/>
              </w:rPr>
              <w:t>268,079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637,030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522,795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321"/>
              <w:spacing w:after="0"/>
              <w:rPr>
                <w:sz w:val="20"/>
                <w:szCs w:val="20"/>
                <w:color w:val="auto"/>
              </w:rPr>
            </w:pPr>
            <w:r>
              <w:rPr>
                <w:rFonts w:ascii="Arial" w:cs="Arial" w:eastAsia="Arial" w:hAnsi="Arial"/>
                <w:sz w:val="16"/>
                <w:szCs w:val="16"/>
                <w:color w:val="auto"/>
                <w:w w:val="98"/>
              </w:rPr>
              <w:t>42,054</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1,847,920</w:t>
            </w:r>
          </w:p>
        </w:tc>
        <w:tc>
          <w:tcPr>
            <w:tcW w:w="40" w:type="dxa"/>
            <w:vAlign w:val="bottom"/>
            <w:tcBorders>
              <w:bottom w:val="single" w:sz="8" w:color="E8EEF7"/>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line="154" w:lineRule="exact"/>
              <w:rPr>
                <w:sz w:val="20"/>
                <w:szCs w:val="20"/>
                <w:color w:val="auto"/>
              </w:rPr>
            </w:pPr>
            <w:r>
              <w:rPr>
                <w:rFonts w:ascii="Arial" w:cs="Arial" w:eastAsia="Arial" w:hAnsi="Arial"/>
                <w:sz w:val="16"/>
                <w:szCs w:val="16"/>
                <w:color w:val="auto"/>
              </w:rPr>
              <w:t>Senior Vice President, Canada</w:t>
            </w:r>
          </w:p>
        </w:tc>
        <w:tc>
          <w:tcPr>
            <w:tcW w:w="6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2022</w:t>
            </w: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392,139</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685,239</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rPr>
              <w:t>480,480</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center"/>
              <w:ind w:left="321"/>
              <w:spacing w:after="0"/>
              <w:rPr>
                <w:sz w:val="20"/>
                <w:szCs w:val="20"/>
                <w:color w:val="auto"/>
              </w:rPr>
            </w:pPr>
            <w:r>
              <w:rPr>
                <w:rFonts w:ascii="Arial" w:cs="Arial" w:eastAsia="Arial" w:hAnsi="Arial"/>
                <w:sz w:val="16"/>
                <w:szCs w:val="16"/>
                <w:color w:val="auto"/>
                <w:w w:val="98"/>
              </w:rPr>
              <w:t>43,508</w:t>
            </w:r>
          </w:p>
        </w:tc>
        <w:tc>
          <w:tcPr>
            <w:tcW w:w="280" w:type="dxa"/>
            <w:vAlign w:val="bottom"/>
            <w:tcBorders>
              <w:top w:val="single" w:sz="8" w:color="auto"/>
            </w:tcBorders>
            <w:shd w:val="clear" w:color="auto" w:fill="E8EEF7"/>
          </w:tcPr>
          <w:p>
            <w:pPr>
              <w:spacing w:after="0"/>
              <w:rPr>
                <w:sz w:val="13"/>
                <w:szCs w:val="13"/>
                <w:color w:val="auto"/>
              </w:rPr>
            </w:pPr>
          </w:p>
        </w:tc>
        <w:tc>
          <w:tcPr>
            <w:tcW w:w="104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1,601,366</w:t>
            </w:r>
          </w:p>
        </w:tc>
        <w:tc>
          <w:tcPr>
            <w:tcW w:w="40" w:type="dxa"/>
            <w:vAlign w:val="bottom"/>
            <w:tcBorders>
              <w:top w:val="single" w:sz="8" w:color="auto"/>
            </w:tcBorders>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5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80" w:type="dxa"/>
            <w:vAlign w:val="bottom"/>
            <w:tcBorders>
              <w:bottom w:val="single" w:sz="8" w:color="E8EEF7"/>
            </w:tcBorders>
            <w:shd w:val="clear" w:color="auto" w:fill="E8EEF7"/>
          </w:tcPr>
          <w:p>
            <w:pPr>
              <w:spacing w:after="0"/>
              <w:rPr>
                <w:sz w:val="7"/>
                <w:szCs w:val="7"/>
                <w:color w:val="auto"/>
              </w:rPr>
            </w:pPr>
          </w:p>
        </w:tc>
        <w:tc>
          <w:tcPr>
            <w:tcW w:w="1040" w:type="dxa"/>
            <w:vAlign w:val="bottom"/>
            <w:tcBorders>
              <w:bottom w:val="single" w:sz="8" w:color="E8EEF7"/>
            </w:tcBorders>
            <w:vMerge w:val="continue"/>
            <w:shd w:val="clear" w:color="auto" w:fill="E8EEF7"/>
          </w:tcPr>
          <w:p>
            <w:pPr>
              <w:spacing w:after="0"/>
              <w:rPr>
                <w:sz w:val="7"/>
                <w:szCs w:val="7"/>
                <w:color w:val="auto"/>
              </w:rPr>
            </w:pPr>
          </w:p>
        </w:tc>
        <w:tc>
          <w:tcPr>
            <w:tcW w:w="40" w:type="dxa"/>
            <w:vAlign w:val="bottom"/>
            <w:tcBorders>
              <w:bottom w:val="single" w:sz="8" w:color="E8EEF7"/>
            </w:tcBorders>
            <w:shd w:val="clear" w:color="auto" w:fill="E8EEF7"/>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6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2021</w:t>
            </w: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402,275</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714,485</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496,049</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left="321"/>
              <w:spacing w:after="0"/>
              <w:rPr>
                <w:sz w:val="20"/>
                <w:szCs w:val="20"/>
                <w:color w:val="auto"/>
              </w:rPr>
            </w:pPr>
            <w:r>
              <w:rPr>
                <w:rFonts w:ascii="Arial" w:cs="Arial" w:eastAsia="Arial" w:hAnsi="Arial"/>
                <w:sz w:val="16"/>
                <w:szCs w:val="16"/>
                <w:color w:val="auto"/>
                <w:w w:val="98"/>
              </w:rPr>
              <w:t>36,500</w:t>
            </w:r>
          </w:p>
        </w:tc>
        <w:tc>
          <w:tcPr>
            <w:tcW w:w="280" w:type="dxa"/>
            <w:vAlign w:val="bottom"/>
            <w:tcBorders>
              <w:top w:val="single" w:sz="8" w:color="auto"/>
            </w:tcBorders>
            <w:shd w:val="clear" w:color="auto" w:fill="E8EEF7"/>
          </w:tcPr>
          <w:p>
            <w:pPr>
              <w:spacing w:after="0"/>
              <w:rPr>
                <w:sz w:val="18"/>
                <w:szCs w:val="18"/>
                <w:color w:val="auto"/>
              </w:rPr>
            </w:pPr>
          </w:p>
        </w:tc>
        <w:tc>
          <w:tcPr>
            <w:tcW w:w="1040" w:type="dxa"/>
            <w:vAlign w:val="bottom"/>
            <w:tcBorders>
              <w:top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1,649,309</w:t>
            </w:r>
          </w:p>
        </w:tc>
        <w:tc>
          <w:tcPr>
            <w:tcW w:w="40" w:type="dxa"/>
            <w:vAlign w:val="bottom"/>
            <w:tcBorders>
              <w:top w:val="single" w:sz="8" w:color="auto"/>
            </w:tcBorders>
            <w:shd w:val="clear" w:color="auto" w:fill="E8EEF7"/>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2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E8EEF7"/>
          </w:tcPr>
          <w:p>
            <w:pPr>
              <w:spacing w:after="0"/>
              <w:rPr>
                <w:sz w:val="24"/>
                <w:szCs w:val="24"/>
                <w:color w:val="auto"/>
              </w:rPr>
            </w:pPr>
          </w:p>
        </w:tc>
        <w:tc>
          <w:tcPr>
            <w:tcW w:w="1040" w:type="dxa"/>
            <w:vAlign w:val="bottom"/>
            <w:tcBorders>
              <w:bottom w:val="single" w:sz="8" w:color="auto"/>
            </w:tcBorders>
            <w:shd w:val="clear" w:color="auto" w:fill="E8EEF7"/>
          </w:tcPr>
          <w:p>
            <w:pPr>
              <w:spacing w:after="0"/>
              <w:rPr>
                <w:sz w:val="24"/>
                <w:szCs w:val="24"/>
                <w:color w:val="auto"/>
              </w:rPr>
            </w:pPr>
          </w:p>
        </w:tc>
        <w:tc>
          <w:tcPr>
            <w:tcW w:w="40" w:type="dxa"/>
            <w:vAlign w:val="bottom"/>
            <w:tcBorders>
              <w:bottom w:val="single" w:sz="8" w:color="auto"/>
            </w:tcBorders>
            <w:shd w:val="clear" w:color="auto" w:fill="E8EEF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40" w:type="dxa"/>
            <w:vAlign w:val="bottom"/>
          </w:tcPr>
          <w:p>
            <w:pPr>
              <w:ind w:left="20"/>
              <w:spacing w:after="0" w:line="196" w:lineRule="exact"/>
              <w:rPr>
                <w:sz w:val="20"/>
                <w:szCs w:val="20"/>
                <w:color w:val="auto"/>
              </w:rPr>
            </w:pPr>
            <w:r>
              <w:rPr>
                <w:rFonts w:ascii="Arial" w:cs="Arial" w:eastAsia="Arial" w:hAnsi="Arial"/>
                <w:sz w:val="16"/>
                <w:szCs w:val="16"/>
                <w:b w:val="1"/>
                <w:bCs w:val="1"/>
                <w:color w:val="006DB6"/>
              </w:rPr>
              <w:t xml:space="preserve">Carolyn J. Stone </w:t>
            </w:r>
            <w:r>
              <w:rPr>
                <w:rFonts w:ascii="Arial" w:cs="Arial" w:eastAsia="Arial" w:hAnsi="Arial"/>
                <w:sz w:val="21"/>
                <w:szCs w:val="21"/>
                <w:b w:val="1"/>
                <w:bCs w:val="1"/>
                <w:color w:val="006DB6"/>
                <w:vertAlign w:val="superscript"/>
              </w:rPr>
              <w:t>(3)</w:t>
            </w:r>
          </w:p>
        </w:tc>
        <w:tc>
          <w:tcPr>
            <w:tcW w:w="640" w:type="dxa"/>
            <w:vAlign w:val="bottom"/>
          </w:tcPr>
          <w:p>
            <w:pPr>
              <w:jc w:val="right"/>
              <w:ind w:right="80"/>
              <w:spacing w:after="0"/>
              <w:rPr>
                <w:sz w:val="20"/>
                <w:szCs w:val="20"/>
                <w:color w:val="auto"/>
              </w:rPr>
            </w:pPr>
            <w:r>
              <w:rPr>
                <w:rFonts w:ascii="Arial" w:cs="Arial" w:eastAsia="Arial" w:hAnsi="Arial"/>
                <w:sz w:val="16"/>
                <w:szCs w:val="16"/>
                <w:color w:val="auto"/>
              </w:rPr>
              <w:t>2023</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425,000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8"/>
              <w:spacing w:after="0"/>
              <w:rPr>
                <w:sz w:val="20"/>
                <w:szCs w:val="20"/>
                <w:color w:val="auto"/>
              </w:rPr>
            </w:pPr>
            <w:r>
              <w:rPr>
                <w:rFonts w:ascii="Arial" w:cs="Arial" w:eastAsia="Arial" w:hAnsi="Arial"/>
                <w:sz w:val="16"/>
                <w:szCs w:val="16"/>
                <w:color w:val="auto"/>
              </w:rPr>
              <w:t>255,000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808,543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585,081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321"/>
              <w:spacing w:after="0"/>
              <w:rPr>
                <w:sz w:val="20"/>
                <w:szCs w:val="20"/>
                <w:color w:val="auto"/>
              </w:rPr>
            </w:pPr>
            <w:r>
              <w:rPr>
                <w:rFonts w:ascii="Arial" w:cs="Arial" w:eastAsia="Arial" w:hAnsi="Arial"/>
                <w:sz w:val="16"/>
                <w:szCs w:val="16"/>
                <w:color w:val="auto"/>
                <w:w w:val="98"/>
              </w:rPr>
              <w:t>18,902</w:t>
            </w:r>
          </w:p>
        </w:tc>
        <w:tc>
          <w:tcPr>
            <w:tcW w:w="28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8EEF7"/>
            </w:tcBorders>
            <w:shd w:val="clear" w:color="auto" w:fill="E8EEF7"/>
          </w:tcPr>
          <w:p>
            <w:pPr>
              <w:jc w:val="right"/>
              <w:spacing w:after="0"/>
              <w:rPr>
                <w:sz w:val="20"/>
                <w:szCs w:val="20"/>
                <w:color w:val="auto"/>
              </w:rPr>
            </w:pPr>
            <w:r>
              <w:rPr>
                <w:rFonts w:ascii="Arial" w:cs="Arial" w:eastAsia="Arial" w:hAnsi="Arial"/>
                <w:sz w:val="16"/>
                <w:szCs w:val="16"/>
                <w:color w:val="auto"/>
              </w:rPr>
              <w:t>2,092,526</w:t>
            </w:r>
          </w:p>
        </w:tc>
        <w:tc>
          <w:tcPr>
            <w:tcW w:w="40" w:type="dxa"/>
            <w:vAlign w:val="bottom"/>
            <w:tcBorders>
              <w:bottom w:val="single" w:sz="8" w:color="E8EEF7"/>
            </w:tcBorders>
            <w:shd w:val="clear" w:color="auto" w:fill="E8EEF7"/>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540" w:type="dxa"/>
            <w:vAlign w:val="bottom"/>
          </w:tcPr>
          <w:p>
            <w:pPr>
              <w:ind w:left="20"/>
              <w:spacing w:after="0" w:line="128" w:lineRule="exact"/>
              <w:rPr>
                <w:sz w:val="20"/>
                <w:szCs w:val="20"/>
                <w:color w:val="auto"/>
              </w:rPr>
            </w:pPr>
            <w:r>
              <w:rPr>
                <w:rFonts w:ascii="Arial" w:cs="Arial" w:eastAsia="Arial" w:hAnsi="Arial"/>
                <w:sz w:val="14"/>
                <w:szCs w:val="14"/>
                <w:color w:val="auto"/>
              </w:rPr>
              <w:t>Former Senior Vice President,</w:t>
            </w:r>
          </w:p>
        </w:tc>
        <w:tc>
          <w:tcPr>
            <w:tcW w:w="6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2022</w:t>
            </w:r>
          </w:p>
        </w:tc>
        <w:tc>
          <w:tcPr>
            <w:tcW w:w="3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416,173</w:t>
            </w: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816,477</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rPr>
              <w:t>461,388</w:t>
            </w: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center"/>
              <w:ind w:left="321"/>
              <w:spacing w:after="0"/>
              <w:rPr>
                <w:sz w:val="20"/>
                <w:szCs w:val="20"/>
                <w:color w:val="auto"/>
              </w:rPr>
            </w:pPr>
            <w:r>
              <w:rPr>
                <w:rFonts w:ascii="Arial" w:cs="Arial" w:eastAsia="Arial" w:hAnsi="Arial"/>
                <w:sz w:val="16"/>
                <w:szCs w:val="16"/>
                <w:color w:val="auto"/>
                <w:w w:val="98"/>
              </w:rPr>
              <w:t>17,521</w:t>
            </w:r>
          </w:p>
        </w:tc>
        <w:tc>
          <w:tcPr>
            <w:tcW w:w="280" w:type="dxa"/>
            <w:vAlign w:val="bottom"/>
            <w:tcBorders>
              <w:top w:val="single" w:sz="8" w:color="auto"/>
            </w:tcBorders>
            <w:shd w:val="clear" w:color="auto" w:fill="E8EEF7"/>
          </w:tcPr>
          <w:p>
            <w:pPr>
              <w:spacing w:after="0"/>
              <w:rPr>
                <w:sz w:val="11"/>
                <w:szCs w:val="11"/>
                <w:color w:val="auto"/>
              </w:rPr>
            </w:pPr>
          </w:p>
        </w:tc>
        <w:tc>
          <w:tcPr>
            <w:tcW w:w="104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1,711,559</w:t>
            </w:r>
          </w:p>
        </w:tc>
        <w:tc>
          <w:tcPr>
            <w:tcW w:w="40" w:type="dxa"/>
            <w:vAlign w:val="bottom"/>
            <w:tcBorders>
              <w:top w:val="single" w:sz="8" w:color="auto"/>
            </w:tcBorders>
            <w:shd w:val="clear" w:color="auto" w:fill="E8EEF7"/>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 and</w:t>
            </w:r>
          </w:p>
        </w:tc>
        <w:tc>
          <w:tcPr>
            <w:tcW w:w="64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80" w:type="dxa"/>
            <w:vAlign w:val="bottom"/>
            <w:tcBorders>
              <w:bottom w:val="single" w:sz="8" w:color="E8EEF7"/>
            </w:tcBorders>
            <w:shd w:val="clear" w:color="auto" w:fill="E8EEF7"/>
          </w:tcPr>
          <w:p>
            <w:pPr>
              <w:spacing w:after="0"/>
              <w:rPr>
                <w:sz w:val="9"/>
                <w:szCs w:val="9"/>
                <w:color w:val="auto"/>
              </w:rPr>
            </w:pPr>
          </w:p>
        </w:tc>
        <w:tc>
          <w:tcPr>
            <w:tcW w:w="1040" w:type="dxa"/>
            <w:vAlign w:val="bottom"/>
            <w:tcBorders>
              <w:bottom w:val="single" w:sz="8" w:color="E8EEF7"/>
            </w:tcBorders>
            <w:vMerge w:val="continue"/>
            <w:shd w:val="clear" w:color="auto" w:fill="E8EEF7"/>
          </w:tcPr>
          <w:p>
            <w:pPr>
              <w:spacing w:after="0"/>
              <w:rPr>
                <w:sz w:val="9"/>
                <w:szCs w:val="9"/>
                <w:color w:val="auto"/>
              </w:rPr>
            </w:pPr>
          </w:p>
        </w:tc>
        <w:tc>
          <w:tcPr>
            <w:tcW w:w="40" w:type="dxa"/>
            <w:vAlign w:val="bottom"/>
            <w:tcBorders>
              <w:bottom w:val="single" w:sz="8" w:color="E8EEF7"/>
            </w:tcBorders>
            <w:shd w:val="clear" w:color="auto" w:fill="E8EEF7"/>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540" w:type="dxa"/>
            <w:vAlign w:val="bottom"/>
            <w:vMerge w:val="continue"/>
          </w:tcPr>
          <w:p>
            <w:pPr>
              <w:spacing w:after="0"/>
              <w:rPr>
                <w:sz w:val="5"/>
                <w:szCs w:val="5"/>
                <w:color w:val="auto"/>
              </w:rPr>
            </w:pPr>
          </w:p>
        </w:tc>
        <w:tc>
          <w:tcPr>
            <w:tcW w:w="6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2021</w:t>
            </w:r>
          </w:p>
        </w:tc>
        <w:tc>
          <w:tcPr>
            <w:tcW w:w="380" w:type="dxa"/>
            <w:vAlign w:val="bottom"/>
            <w:tcBorders>
              <w:top w:val="single" w:sz="8" w:color="auto"/>
            </w:tcBorders>
          </w:tcPr>
          <w:p>
            <w:pPr>
              <w:spacing w:after="0"/>
              <w:rPr>
                <w:sz w:val="5"/>
                <w:szCs w:val="5"/>
                <w:color w:val="auto"/>
              </w:rPr>
            </w:pPr>
          </w:p>
        </w:tc>
        <w:tc>
          <w:tcPr>
            <w:tcW w:w="8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372,308</w:t>
            </w:r>
          </w:p>
        </w:tc>
        <w:tc>
          <w:tcPr>
            <w:tcW w:w="28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6"/>
                <w:szCs w:val="16"/>
                <w:color w:val="auto"/>
              </w:rPr>
              <w:t>671,624</w:t>
            </w:r>
          </w:p>
        </w:tc>
        <w:tc>
          <w:tcPr>
            <w:tcW w:w="220" w:type="dxa"/>
            <w:vAlign w:val="bottom"/>
            <w:tcBorders>
              <w:top w:val="single" w:sz="8" w:color="auto"/>
            </w:tcBorders>
          </w:tcPr>
          <w:p>
            <w:pPr>
              <w:spacing w:after="0"/>
              <w:rPr>
                <w:sz w:val="5"/>
                <w:szCs w:val="5"/>
                <w:color w:val="auto"/>
              </w:rPr>
            </w:pPr>
          </w:p>
        </w:tc>
        <w:tc>
          <w:tcPr>
            <w:tcW w:w="1140" w:type="dxa"/>
            <w:vAlign w:val="bottom"/>
            <w:tcBorders>
              <w:top w:val="single" w:sz="8" w:color="auto"/>
            </w:tcBorders>
            <w:vMerge w:val="restart"/>
          </w:tcPr>
          <w:p>
            <w:pPr>
              <w:jc w:val="right"/>
              <w:ind w:right="63"/>
              <w:spacing w:after="0"/>
              <w:rPr>
                <w:sz w:val="20"/>
                <w:szCs w:val="20"/>
                <w:color w:val="auto"/>
              </w:rPr>
            </w:pPr>
            <w:r>
              <w:rPr>
                <w:rFonts w:ascii="Arial" w:cs="Arial" w:eastAsia="Arial" w:hAnsi="Arial"/>
                <w:sz w:val="16"/>
                <w:szCs w:val="16"/>
                <w:color w:val="auto"/>
              </w:rPr>
              <w:t>434,193</w:t>
            </w:r>
          </w:p>
        </w:tc>
        <w:tc>
          <w:tcPr>
            <w:tcW w:w="220" w:type="dxa"/>
            <w:vAlign w:val="bottom"/>
            <w:tcBorders>
              <w:top w:val="single" w:sz="8" w:color="auto"/>
            </w:tcBorders>
          </w:tcPr>
          <w:p>
            <w:pPr>
              <w:spacing w:after="0"/>
              <w:rPr>
                <w:sz w:val="5"/>
                <w:szCs w:val="5"/>
                <w:color w:val="auto"/>
              </w:rPr>
            </w:pPr>
          </w:p>
        </w:tc>
        <w:tc>
          <w:tcPr>
            <w:tcW w:w="1040" w:type="dxa"/>
            <w:vAlign w:val="bottom"/>
            <w:tcBorders>
              <w:top w:val="single" w:sz="8" w:color="auto"/>
            </w:tcBorders>
            <w:vMerge w:val="restart"/>
          </w:tcPr>
          <w:p>
            <w:pPr>
              <w:jc w:val="center"/>
              <w:ind w:left="321"/>
              <w:spacing w:after="0"/>
              <w:rPr>
                <w:sz w:val="20"/>
                <w:szCs w:val="20"/>
                <w:color w:val="auto"/>
              </w:rPr>
            </w:pPr>
            <w:r>
              <w:rPr>
                <w:rFonts w:ascii="Arial" w:cs="Arial" w:eastAsia="Arial" w:hAnsi="Arial"/>
                <w:sz w:val="16"/>
                <w:szCs w:val="16"/>
                <w:color w:val="auto"/>
                <w:w w:val="98"/>
              </w:rPr>
              <w:t>15,872</w:t>
            </w:r>
          </w:p>
        </w:tc>
        <w:tc>
          <w:tcPr>
            <w:tcW w:w="280" w:type="dxa"/>
            <w:vAlign w:val="bottom"/>
            <w:tcBorders>
              <w:top w:val="single" w:sz="8" w:color="auto"/>
            </w:tcBorders>
            <w:shd w:val="clear" w:color="auto" w:fill="E8EEF7"/>
          </w:tcPr>
          <w:p>
            <w:pPr>
              <w:spacing w:after="0"/>
              <w:rPr>
                <w:sz w:val="5"/>
                <w:szCs w:val="5"/>
                <w:color w:val="auto"/>
              </w:rPr>
            </w:pPr>
          </w:p>
        </w:tc>
        <w:tc>
          <w:tcPr>
            <w:tcW w:w="1040" w:type="dxa"/>
            <w:vAlign w:val="bottom"/>
            <w:tcBorders>
              <w:top w:val="single" w:sz="8" w:color="auto"/>
            </w:tcBorders>
            <w:vMerge w:val="restart"/>
            <w:shd w:val="clear" w:color="auto" w:fill="E8EEF7"/>
          </w:tcPr>
          <w:p>
            <w:pPr>
              <w:jc w:val="right"/>
              <w:spacing w:after="0"/>
              <w:rPr>
                <w:sz w:val="20"/>
                <w:szCs w:val="20"/>
                <w:color w:val="auto"/>
              </w:rPr>
            </w:pPr>
            <w:r>
              <w:rPr>
                <w:rFonts w:ascii="Arial" w:cs="Arial" w:eastAsia="Arial" w:hAnsi="Arial"/>
                <w:sz w:val="16"/>
                <w:szCs w:val="16"/>
                <w:color w:val="auto"/>
              </w:rPr>
              <w:t>1,493,997</w:t>
            </w:r>
          </w:p>
        </w:tc>
        <w:tc>
          <w:tcPr>
            <w:tcW w:w="40" w:type="dxa"/>
            <w:vAlign w:val="bottom"/>
            <w:tcBorders>
              <w:top w:val="single" w:sz="8" w:color="auto"/>
            </w:tcBorders>
            <w:shd w:val="clear" w:color="auto" w:fill="E8EEF7"/>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54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Treasurer</w:t>
            </w:r>
          </w:p>
        </w:tc>
        <w:tc>
          <w:tcPr>
            <w:tcW w:w="6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80" w:type="dxa"/>
            <w:vAlign w:val="bottom"/>
            <w:shd w:val="clear" w:color="auto" w:fill="E8EEF7"/>
          </w:tcPr>
          <w:p>
            <w:pPr>
              <w:spacing w:after="0"/>
              <w:rPr>
                <w:sz w:val="13"/>
                <w:szCs w:val="13"/>
                <w:color w:val="auto"/>
              </w:rPr>
            </w:pPr>
          </w:p>
        </w:tc>
        <w:tc>
          <w:tcPr>
            <w:tcW w:w="1040" w:type="dxa"/>
            <w:vAlign w:val="bottom"/>
            <w:vMerge w:val="continue"/>
            <w:shd w:val="clear" w:color="auto" w:fill="E8EEF7"/>
          </w:tcPr>
          <w:p>
            <w:pPr>
              <w:spacing w:after="0"/>
              <w:rPr>
                <w:sz w:val="13"/>
                <w:szCs w:val="13"/>
                <w:color w:val="auto"/>
              </w:rPr>
            </w:pPr>
          </w:p>
        </w:tc>
        <w:tc>
          <w:tcPr>
            <w:tcW w:w="40" w:type="dxa"/>
            <w:vAlign w:val="bottom"/>
            <w:shd w:val="clear" w:color="auto" w:fill="E8EEF7"/>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54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E8EEF7"/>
          </w:tcPr>
          <w:p>
            <w:pPr>
              <w:spacing w:after="0" w:line="20" w:lineRule="exact"/>
              <w:rPr>
                <w:sz w:val="1"/>
                <w:szCs w:val="1"/>
                <w:color w:val="auto"/>
              </w:rPr>
            </w:pPr>
          </w:p>
        </w:tc>
        <w:tc>
          <w:tcPr>
            <w:tcW w:w="1040" w:type="dxa"/>
            <w:vAlign w:val="bottom"/>
            <w:shd w:val="clear" w:color="auto" w:fill="E8EEF7"/>
          </w:tcPr>
          <w:p>
            <w:pPr>
              <w:spacing w:after="0" w:line="20" w:lineRule="exact"/>
              <w:rPr>
                <w:sz w:val="1"/>
                <w:szCs w:val="1"/>
                <w:color w:val="auto"/>
              </w:rPr>
            </w:pPr>
          </w:p>
        </w:tc>
        <w:tc>
          <w:tcPr>
            <w:tcW w:w="40" w:type="dxa"/>
            <w:vAlign w:val="bottom"/>
            <w:shd w:val="clear" w:color="auto" w:fill="E8EE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shd w:val="clear" w:color="auto" w:fill="E8EEF7"/>
          </w:tcPr>
          <w:p>
            <w:pPr>
              <w:spacing w:after="0"/>
              <w:rPr>
                <w:sz w:val="22"/>
                <w:szCs w:val="22"/>
                <w:color w:val="auto"/>
              </w:rPr>
            </w:pPr>
          </w:p>
        </w:tc>
        <w:tc>
          <w:tcPr>
            <w:tcW w:w="1040" w:type="dxa"/>
            <w:vAlign w:val="bottom"/>
            <w:tcBorders>
              <w:bottom w:val="single" w:sz="8" w:color="auto"/>
            </w:tcBorders>
            <w:shd w:val="clear" w:color="auto" w:fill="E8EEF7"/>
          </w:tcPr>
          <w:p>
            <w:pPr>
              <w:spacing w:after="0"/>
              <w:rPr>
                <w:sz w:val="22"/>
                <w:szCs w:val="22"/>
                <w:color w:val="auto"/>
              </w:rPr>
            </w:pPr>
          </w:p>
        </w:tc>
        <w:tc>
          <w:tcPr>
            <w:tcW w:w="40" w:type="dxa"/>
            <w:vAlign w:val="bottom"/>
            <w:tcBorders>
              <w:bottom w:val="single" w:sz="8" w:color="auto"/>
            </w:tcBorders>
            <w:shd w:val="clear" w:color="auto" w:fill="E8EEF7"/>
          </w:tcPr>
          <w:p>
            <w:pPr>
              <w:spacing w:after="0"/>
              <w:rPr>
                <w:sz w:val="22"/>
                <w:szCs w:val="2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220" w:hanging="252"/>
        <w:spacing w:after="0" w:line="305"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Compensation reported for Mr. McCann, other than share awards, was made in Australian dollars and is reflected in this table in U.S. dollars using the average exchange rate for each year. The U.S. dollar to Australian dollar average exchange rate for 2023, 2022, and 2021 was $0.6646, $0.6947, and $0.7517 respectively.</w:t>
      </w:r>
    </w:p>
    <w:p>
      <w:pPr>
        <w:spacing w:after="0" w:line="49" w:lineRule="exact"/>
        <w:rPr>
          <w:rFonts w:ascii="Arial" w:cs="Arial" w:eastAsia="Arial" w:hAnsi="Arial"/>
          <w:sz w:val="9"/>
          <w:szCs w:val="9"/>
          <w:color w:val="auto"/>
        </w:rPr>
      </w:pPr>
    </w:p>
    <w:p>
      <w:pPr>
        <w:ind w:left="260" w:right="100" w:hanging="252"/>
        <w:spacing w:after="0" w:line="231"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Compensation reported for Mr. Schoening, other than share awards, was made in Canadian dollars and is reflected in this table in U.S. dollars using the average exchange rate for each year. The U.S. dollar to Canadian dollar average exchange rate for 2023, 2022 and 2021 was $0.7411, $0.7689 and $0.7979 respectively.</w:t>
      </w:r>
    </w:p>
    <w:p>
      <w:pPr>
        <w:spacing w:after="0" w:line="93" w:lineRule="exact"/>
        <w:rPr>
          <w:rFonts w:ascii="Arial" w:cs="Arial" w:eastAsia="Arial" w:hAnsi="Arial"/>
          <w:sz w:val="19"/>
          <w:szCs w:val="19"/>
          <w:color w:val="auto"/>
          <w:vertAlign w:val="superscript"/>
        </w:rPr>
      </w:pPr>
    </w:p>
    <w:p>
      <w:pPr>
        <w:ind w:left="260" w:right="440" w:hanging="252"/>
        <w:spacing w:after="0" w:line="222"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As previously announced, Ms. Stone’s employment was terminated without cause on March 4, 2024, and she was succeeded by Barclay Brewer, the Company’s Vice President and Controller, who was appointed as Interim Chief Financial Officer.</w:t>
      </w:r>
    </w:p>
    <w:p>
      <w:pPr>
        <w:spacing w:after="0" w:line="94" w:lineRule="exact"/>
        <w:rPr>
          <w:rFonts w:ascii="Arial" w:cs="Arial" w:eastAsia="Arial" w:hAnsi="Arial"/>
          <w:sz w:val="19"/>
          <w:szCs w:val="19"/>
          <w:color w:val="auto"/>
          <w:vertAlign w:val="superscript"/>
        </w:rPr>
      </w:pPr>
    </w:p>
    <w:p>
      <w:pPr>
        <w:ind w:left="260" w:right="120" w:hanging="252"/>
        <w:spacing w:after="0" w:line="276"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The amounts shown in this column reflect a one-time cash payment made to each of the NEOs in 2023 in settlement of time-vested cash bonus awards granted in 2020 in lieu of performance shares. Performance shares were not granted in 2020 given the number of shares then available under the EPP, the Company's stock price at the time and feedback from the Company’s largest investors regarding potential dilution. Pursuant to SEC rules, these 2020 awards are required to be shown as compensation for the year earned and paid, whereas the full grant date fair value of performance shares is typically reported as compensation in the year of grant.</w:t>
      </w:r>
    </w:p>
    <w:p>
      <w:pPr>
        <w:spacing w:after="0" w:line="55" w:lineRule="exact"/>
        <w:rPr>
          <w:rFonts w:ascii="Arial" w:cs="Arial" w:eastAsia="Arial" w:hAnsi="Arial"/>
          <w:sz w:val="9"/>
          <w:szCs w:val="9"/>
          <w:color w:val="auto"/>
        </w:rPr>
      </w:pPr>
    </w:p>
    <w:p>
      <w:pPr>
        <w:ind w:left="260" w:hanging="252"/>
        <w:spacing w:after="0" w:line="264"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This column represents the dollar amounts, for the years shown, of the aggregate grant date fair value of performance shares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and does not necessarily correspond to the actual value that will be recognized by the NEOs.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NEOs. See Note 19 to Civeo’s consolidated financial statements included in its Annual Report on Form 10-K for the fiscal year ended December 31, 2023 for additional detail regarding assumptions underlying the value of these awards. If the maximum performance level were achieved for the performance shares included in this column, the following amounts, including phantom share units, would have been included for Messrs. Dodson, McCann, Schoening and Ms. Stone, respectively in 2023, $3,768,756, $586,721, $853,875 and $1,083,769.</w:t>
      </w:r>
    </w:p>
    <w:p>
      <w:pPr>
        <w:spacing w:after="0" w:line="80" w:lineRule="exact"/>
        <w:rPr>
          <w:rFonts w:ascii="Arial" w:cs="Arial" w:eastAsia="Arial" w:hAnsi="Arial"/>
          <w:sz w:val="9"/>
          <w:szCs w:val="9"/>
          <w:color w:val="auto"/>
        </w:rPr>
      </w:pPr>
    </w:p>
    <w:p>
      <w:pPr>
        <w:ind w:left="260" w:right="300" w:hanging="252"/>
        <w:spacing w:after="0" w:line="234"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Amounts for “Non-Equity Incentive Plan Compensation” were earned for the applicable fiscal year pursuant to Civeo’s AICP and were paid to each of the NEOs in 2024, 2023 and 2022, respectively. For a description of Civeo’s AICP, see “Compensation Discussion and Analysis—Compensation Program Components—Annual Incentive Compensation Plan.” Ms. Stone's amount for 2022 also includes a project bonus of $30,000.</w:t>
      </w:r>
    </w:p>
    <w:p>
      <w:pPr>
        <w:spacing w:after="0" w:line="77"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amounts shown in the “All Other Compensation” column reflect the following for each NEO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382270</wp:posOffset>
            </wp:positionV>
            <wp:extent cx="394335" cy="1968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3"/>
        </w:trPr>
        <w:tc>
          <w:tcPr>
            <w:tcW w:w="31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006DB6"/>
                <w:w w:val="99"/>
              </w:rPr>
              <w:t>Executive Compensation</w:t>
            </w:r>
          </w:p>
        </w:tc>
      </w:tr>
      <w:tr>
        <w:trPr>
          <w:trHeight w:val="732"/>
        </w:trPr>
        <w:tc>
          <w:tcPr>
            <w:tcW w:w="3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Arial" w:cs="Arial" w:eastAsia="Arial" w:hAnsi="Arial"/>
                <w:sz w:val="13"/>
                <w:szCs w:val="13"/>
                <w:b w:val="1"/>
                <w:bCs w:val="1"/>
                <w:color w:val="706F6F"/>
              </w:rPr>
              <w:t>Retirement</w:t>
            </w:r>
          </w:p>
        </w:tc>
        <w:tc>
          <w:tcPr>
            <w:tcW w:w="1220" w:type="dxa"/>
            <w:vAlign w:val="bottom"/>
            <w:gridSpan w:val="2"/>
          </w:tcPr>
          <w:p>
            <w:pPr>
              <w:ind w:left="180"/>
              <w:spacing w:after="0"/>
              <w:rPr>
                <w:sz w:val="20"/>
                <w:szCs w:val="20"/>
                <w:color w:val="auto"/>
              </w:rPr>
            </w:pPr>
            <w:r>
              <w:rPr>
                <w:rFonts w:ascii="Arial" w:cs="Arial" w:eastAsia="Arial" w:hAnsi="Arial"/>
                <w:sz w:val="13"/>
                <w:szCs w:val="13"/>
                <w:b w:val="1"/>
                <w:bCs w:val="1"/>
                <w:color w:val="706F6F"/>
              </w:rPr>
              <w:t>Non-Registered</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706F6F"/>
              </w:rPr>
              <w:t>Life Insurance</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48"/>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right"/>
              <w:ind w:right="115"/>
              <w:spacing w:after="0"/>
              <w:rPr>
                <w:sz w:val="20"/>
                <w:szCs w:val="20"/>
                <w:color w:val="auto"/>
              </w:rPr>
            </w:pPr>
            <w:r>
              <w:rPr>
                <w:rFonts w:ascii="Arial" w:cs="Arial" w:eastAsia="Arial" w:hAnsi="Arial"/>
                <w:sz w:val="13"/>
                <w:szCs w:val="13"/>
                <w:b w:val="1"/>
                <w:bCs w:val="1"/>
                <w:color w:val="706F6F"/>
                <w:w w:val="99"/>
              </w:rPr>
              <w:t>Plan Match</w:t>
            </w:r>
          </w:p>
        </w:tc>
        <w:tc>
          <w:tcPr>
            <w:tcW w:w="280" w:type="dxa"/>
            <w:vAlign w:val="bottom"/>
          </w:tcPr>
          <w:p>
            <w:pPr>
              <w:spacing w:after="0"/>
              <w:rPr>
                <w:sz w:val="12"/>
                <w:szCs w:val="12"/>
                <w:color w:val="auto"/>
              </w:rPr>
            </w:pPr>
          </w:p>
        </w:tc>
        <w:tc>
          <w:tcPr>
            <w:tcW w:w="940" w:type="dxa"/>
            <w:vAlign w:val="bottom"/>
          </w:tcPr>
          <w:p>
            <w:pPr>
              <w:jc w:val="right"/>
              <w:ind w:right="31"/>
              <w:spacing w:after="0"/>
              <w:rPr>
                <w:sz w:val="20"/>
                <w:szCs w:val="20"/>
                <w:color w:val="auto"/>
              </w:rPr>
            </w:pPr>
            <w:r>
              <w:rPr>
                <w:rFonts w:ascii="Arial" w:cs="Arial" w:eastAsia="Arial" w:hAnsi="Arial"/>
                <w:sz w:val="13"/>
                <w:szCs w:val="13"/>
                <w:b w:val="1"/>
                <w:bCs w:val="1"/>
                <w:color w:val="706F6F"/>
              </w:rPr>
              <w:t>Savings Plan</w:t>
            </w:r>
          </w:p>
        </w:tc>
        <w:tc>
          <w:tcPr>
            <w:tcW w:w="4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706F6F"/>
              </w:rPr>
              <w:t>Benefits</w:t>
            </w:r>
          </w:p>
        </w:tc>
        <w:tc>
          <w:tcPr>
            <w:tcW w:w="600" w:type="dxa"/>
            <w:vAlign w:val="bottom"/>
          </w:tcPr>
          <w:p>
            <w:pPr>
              <w:spacing w:after="0"/>
              <w:rPr>
                <w:sz w:val="12"/>
                <w:szCs w:val="12"/>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706F6F"/>
              </w:rPr>
              <w:t>Total</w:t>
            </w:r>
          </w:p>
        </w:tc>
      </w:tr>
      <w:tr>
        <w:trPr>
          <w:trHeight w:val="214"/>
        </w:trPr>
        <w:tc>
          <w:tcPr>
            <w:tcW w:w="312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Name</w:t>
            </w:r>
          </w:p>
        </w:tc>
        <w:tc>
          <w:tcPr>
            <w:tcW w:w="2540" w:type="dxa"/>
            <w:vAlign w:val="bottom"/>
            <w:tcBorders>
              <w:bottom w:val="single" w:sz="8" w:color="006DB6"/>
            </w:tcBorders>
          </w:tcPr>
          <w:p>
            <w:pPr>
              <w:jc w:val="center"/>
              <w:ind w:left="1250"/>
              <w:spacing w:after="0"/>
              <w:rPr>
                <w:sz w:val="20"/>
                <w:szCs w:val="20"/>
                <w:color w:val="auto"/>
              </w:rPr>
            </w:pPr>
            <w:r>
              <w:rPr>
                <w:rFonts w:ascii="Arial" w:cs="Arial" w:eastAsia="Arial" w:hAnsi="Arial"/>
                <w:sz w:val="13"/>
                <w:szCs w:val="13"/>
                <w:b w:val="1"/>
                <w:bCs w:val="1"/>
                <w:color w:val="706F6F"/>
                <w:w w:val="92"/>
              </w:rPr>
              <w:t>Year</w:t>
            </w:r>
          </w:p>
        </w:tc>
        <w:tc>
          <w:tcPr>
            <w:tcW w:w="560" w:type="dxa"/>
            <w:vAlign w:val="bottom"/>
            <w:tcBorders>
              <w:bottom w:val="single" w:sz="8" w:color="006DB6"/>
            </w:tcBorders>
          </w:tcPr>
          <w:p>
            <w:pPr>
              <w:spacing w:after="0"/>
              <w:rPr>
                <w:sz w:val="18"/>
                <w:szCs w:val="18"/>
                <w:color w:val="auto"/>
              </w:rPr>
            </w:pPr>
          </w:p>
        </w:tc>
        <w:tc>
          <w:tcPr>
            <w:tcW w:w="880" w:type="dxa"/>
            <w:vAlign w:val="bottom"/>
            <w:tcBorders>
              <w:bottom w:val="single" w:sz="8" w:color="006DB6"/>
            </w:tcBorders>
          </w:tcPr>
          <w:p>
            <w:pPr>
              <w:jc w:val="right"/>
              <w:ind w:right="115"/>
              <w:spacing w:after="0" w:line="207"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8"/>
                <w:szCs w:val="8"/>
                <w:b w:val="1"/>
                <w:bCs w:val="1"/>
                <w:color w:val="706F6F"/>
              </w:rPr>
              <w:t>(a)</w:t>
            </w:r>
          </w:p>
        </w:tc>
        <w:tc>
          <w:tcPr>
            <w:tcW w:w="280" w:type="dxa"/>
            <w:vAlign w:val="bottom"/>
            <w:tcBorders>
              <w:bottom w:val="single" w:sz="8" w:color="006DB6"/>
            </w:tcBorders>
          </w:tcPr>
          <w:p>
            <w:pPr>
              <w:spacing w:after="0"/>
              <w:rPr>
                <w:sz w:val="18"/>
                <w:szCs w:val="18"/>
                <w:color w:val="auto"/>
              </w:rPr>
            </w:pPr>
          </w:p>
        </w:tc>
        <w:tc>
          <w:tcPr>
            <w:tcW w:w="940" w:type="dxa"/>
            <w:vAlign w:val="bottom"/>
            <w:tcBorders>
              <w:bottom w:val="single" w:sz="8" w:color="006DB6"/>
            </w:tcBorders>
          </w:tcPr>
          <w:p>
            <w:pPr>
              <w:jc w:val="right"/>
              <w:ind w:right="31"/>
              <w:spacing w:after="0"/>
              <w:rPr>
                <w:sz w:val="20"/>
                <w:szCs w:val="20"/>
                <w:color w:val="auto"/>
              </w:rPr>
            </w:pPr>
            <w:r>
              <w:rPr>
                <w:rFonts w:ascii="Arial" w:cs="Arial" w:eastAsia="Arial" w:hAnsi="Arial"/>
                <w:sz w:val="13"/>
                <w:szCs w:val="13"/>
                <w:b w:val="1"/>
                <w:bCs w:val="1"/>
                <w:color w:val="706F6F"/>
              </w:rPr>
              <w:t>Match ($)</w:t>
            </w:r>
            <w:r>
              <w:rPr>
                <w:rFonts w:ascii="Arial" w:cs="Arial" w:eastAsia="Arial" w:hAnsi="Arial"/>
                <w:sz w:val="16"/>
                <w:szCs w:val="16"/>
                <w:b w:val="1"/>
                <w:bCs w:val="1"/>
                <w:color w:val="706F6F"/>
                <w:vertAlign w:val="superscript"/>
              </w:rPr>
              <w:t>(a)</w:t>
            </w:r>
          </w:p>
        </w:tc>
        <w:tc>
          <w:tcPr>
            <w:tcW w:w="400" w:type="dxa"/>
            <w:vAlign w:val="bottom"/>
            <w:tcBorders>
              <w:bottom w:val="single" w:sz="8" w:color="006DB6"/>
            </w:tcBorders>
          </w:tcPr>
          <w:p>
            <w:pPr>
              <w:spacing w:after="0"/>
              <w:rPr>
                <w:sz w:val="18"/>
                <w:szCs w:val="18"/>
                <w:color w:val="auto"/>
              </w:rPr>
            </w:pPr>
          </w:p>
        </w:tc>
        <w:tc>
          <w:tcPr>
            <w:tcW w:w="580" w:type="dxa"/>
            <w:vAlign w:val="bottom"/>
            <w:tcBorders>
              <w:bottom w:val="single" w:sz="8" w:color="006DB6"/>
            </w:tcBorders>
          </w:tcPr>
          <w:p>
            <w:pPr>
              <w:jc w:val="right"/>
              <w:spacing w:after="0" w:line="207" w:lineRule="exact"/>
              <w:rPr>
                <w:sz w:val="20"/>
                <w:szCs w:val="20"/>
                <w:color w:val="auto"/>
              </w:rPr>
            </w:pPr>
            <w:r>
              <w:rPr>
                <w:rFonts w:ascii="Arial" w:cs="Arial" w:eastAsia="Arial" w:hAnsi="Arial"/>
                <w:sz w:val="24"/>
                <w:szCs w:val="24"/>
                <w:b w:val="1"/>
                <w:bCs w:val="1"/>
                <w:color w:val="706F6F"/>
                <w:vertAlign w:val="subscript"/>
              </w:rPr>
              <w:t>($)</w:t>
            </w:r>
            <w:r>
              <w:rPr>
                <w:rFonts w:ascii="Arial" w:cs="Arial" w:eastAsia="Arial" w:hAnsi="Arial"/>
                <w:sz w:val="8"/>
                <w:szCs w:val="8"/>
                <w:b w:val="1"/>
                <w:bCs w:val="1"/>
                <w:color w:val="706F6F"/>
              </w:rPr>
              <w:t>(b)</w:t>
            </w:r>
          </w:p>
        </w:tc>
        <w:tc>
          <w:tcPr>
            <w:tcW w:w="600" w:type="dxa"/>
            <w:vAlign w:val="bottom"/>
            <w:tcBorders>
              <w:bottom w:val="single" w:sz="8" w:color="006DB6"/>
            </w:tcBorders>
          </w:tcPr>
          <w:p>
            <w:pPr>
              <w:spacing w:after="0"/>
              <w:rPr>
                <w:sz w:val="18"/>
                <w:szCs w:val="18"/>
                <w:color w:val="auto"/>
              </w:rPr>
            </w:pPr>
          </w:p>
        </w:tc>
        <w:tc>
          <w:tcPr>
            <w:tcW w:w="58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w:t>
            </w:r>
          </w:p>
        </w:tc>
        <w:tc>
          <w:tcPr>
            <w:tcW w:w="760" w:type="dxa"/>
            <w:vAlign w:val="bottom"/>
          </w:tcPr>
          <w:p>
            <w:pPr>
              <w:spacing w:after="0"/>
              <w:rPr>
                <w:sz w:val="18"/>
                <w:szCs w:val="18"/>
                <w:color w:val="auto"/>
              </w:rPr>
            </w:pPr>
          </w:p>
        </w:tc>
      </w:tr>
      <w:tr>
        <w:trPr>
          <w:trHeight w:val="22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Bradley J. Dodson</w:t>
            </w:r>
          </w:p>
        </w:tc>
        <w:tc>
          <w:tcPr>
            <w:tcW w:w="2540" w:type="dxa"/>
            <w:vAlign w:val="bottom"/>
            <w:tcBorders>
              <w:bottom w:val="single" w:sz="8" w:color="auto"/>
            </w:tcBorders>
          </w:tcPr>
          <w:p>
            <w:pPr>
              <w:jc w:val="center"/>
              <w:ind w:left="1270"/>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16,500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18,918</w:t>
            </w:r>
          </w:p>
        </w:tc>
        <w:tc>
          <w:tcPr>
            <w:tcW w:w="760" w:type="dxa"/>
            <w:vAlign w:val="bottom"/>
          </w:tcPr>
          <w:p>
            <w:pPr>
              <w:spacing w:after="0"/>
              <w:rPr>
                <w:sz w:val="19"/>
                <w:szCs w:val="19"/>
                <w:color w:val="auto"/>
              </w:rPr>
            </w:pPr>
          </w:p>
        </w:tc>
      </w:tr>
      <w:tr>
        <w:trPr>
          <w:trHeight w:val="22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Peter L. McCann</w:t>
            </w:r>
          </w:p>
        </w:tc>
        <w:tc>
          <w:tcPr>
            <w:tcW w:w="2540" w:type="dxa"/>
            <w:vAlign w:val="bottom"/>
            <w:tcBorders>
              <w:bottom w:val="single" w:sz="8" w:color="auto"/>
            </w:tcBorders>
          </w:tcPr>
          <w:p>
            <w:pPr>
              <w:jc w:val="center"/>
              <w:ind w:left="1270"/>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18,210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18,210</w:t>
            </w:r>
          </w:p>
        </w:tc>
        <w:tc>
          <w:tcPr>
            <w:tcW w:w="760" w:type="dxa"/>
            <w:vAlign w:val="bottom"/>
          </w:tcPr>
          <w:p>
            <w:pPr>
              <w:spacing w:after="0"/>
              <w:rPr>
                <w:sz w:val="19"/>
                <w:szCs w:val="19"/>
                <w:color w:val="auto"/>
              </w:rPr>
            </w:pPr>
          </w:p>
        </w:tc>
      </w:tr>
      <w:tr>
        <w:trPr>
          <w:trHeight w:val="22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Allan D. Schoening</w:t>
            </w:r>
          </w:p>
        </w:tc>
        <w:tc>
          <w:tcPr>
            <w:tcW w:w="2540" w:type="dxa"/>
            <w:vAlign w:val="bottom"/>
            <w:tcBorders>
              <w:bottom w:val="single" w:sz="8" w:color="auto"/>
            </w:tcBorders>
          </w:tcPr>
          <w:p>
            <w:pPr>
              <w:jc w:val="center"/>
              <w:ind w:left="1270"/>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11,695</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30,359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42,054</w:t>
            </w:r>
          </w:p>
        </w:tc>
        <w:tc>
          <w:tcPr>
            <w:tcW w:w="760" w:type="dxa"/>
            <w:vAlign w:val="bottom"/>
          </w:tcPr>
          <w:p>
            <w:pPr>
              <w:spacing w:after="0"/>
              <w:rPr>
                <w:sz w:val="19"/>
                <w:szCs w:val="19"/>
                <w:color w:val="auto"/>
              </w:rPr>
            </w:pPr>
          </w:p>
        </w:tc>
      </w:tr>
      <w:tr>
        <w:trPr>
          <w:trHeight w:val="22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6"/>
              </w:rPr>
              <w:t>Carolyn J. Stone</w:t>
            </w:r>
          </w:p>
        </w:tc>
        <w:tc>
          <w:tcPr>
            <w:tcW w:w="2540" w:type="dxa"/>
            <w:vAlign w:val="bottom"/>
            <w:tcBorders>
              <w:bottom w:val="single" w:sz="8" w:color="auto"/>
            </w:tcBorders>
          </w:tcPr>
          <w:p>
            <w:pPr>
              <w:jc w:val="center"/>
              <w:ind w:left="1270"/>
              <w:spacing w:after="0"/>
              <w:rPr>
                <w:sz w:val="20"/>
                <w:szCs w:val="20"/>
                <w:color w:val="auto"/>
              </w:rPr>
            </w:pPr>
            <w:r>
              <w:rPr>
                <w:rFonts w:ascii="Arial" w:cs="Arial" w:eastAsia="Arial" w:hAnsi="Arial"/>
                <w:sz w:val="14"/>
                <w:szCs w:val="14"/>
                <w:color w:val="auto"/>
              </w:rPr>
              <w:t>2023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16,500</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18,902</w:t>
            </w:r>
          </w:p>
        </w:tc>
        <w:tc>
          <w:tcPr>
            <w:tcW w:w="760" w:type="dxa"/>
            <w:vAlign w:val="bottom"/>
          </w:tcPr>
          <w:p>
            <w:pPr>
              <w:spacing w:after="0"/>
              <w:rPr>
                <w:sz w:val="19"/>
                <w:szCs w:val="19"/>
                <w:color w:val="auto"/>
              </w:rPr>
            </w:pPr>
          </w:p>
        </w:tc>
      </w:tr>
    </w:tbl>
    <w:p>
      <w:pPr>
        <w:spacing w:after="0" w:line="85" w:lineRule="exact"/>
        <w:rPr>
          <w:sz w:val="20"/>
          <w:szCs w:val="20"/>
          <w:color w:val="auto"/>
        </w:rPr>
      </w:pPr>
    </w:p>
    <w:p>
      <w:pPr>
        <w:ind w:left="520" w:right="120" w:hanging="253"/>
        <w:spacing w:after="0" w:line="245" w:lineRule="auto"/>
        <w:tabs>
          <w:tab w:leader="none" w:pos="537"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Represents the matching contributions allocated by Civeo, as applicable, to Messrs. Dodson, Schoening and Ms. Stone pursuant to the 401(k) Retirement Plan and Canadian Retirement Plan, as more fully described in “Compensation Discussion and Analysis Compensation Program Components—Retirement Plans” and “—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spacing w:after="0" w:line="51" w:lineRule="exact"/>
        <w:rPr>
          <w:rFonts w:ascii="Arial" w:cs="Arial" w:eastAsia="Arial" w:hAnsi="Arial"/>
          <w:sz w:val="19"/>
          <w:szCs w:val="19"/>
          <w:color w:val="auto"/>
          <w:vertAlign w:val="superscript"/>
        </w:rPr>
      </w:pPr>
    </w:p>
    <w:p>
      <w:pPr>
        <w:ind w:left="520" w:right="240" w:hanging="253"/>
        <w:spacing w:after="0" w:line="231" w:lineRule="auto"/>
        <w:tabs>
          <w:tab w:leader="none" w:pos="52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the “Other” column for Mr. Dodson include $2,418 in imputed income attributable to life insurance benefits. The amounts shown in the “Other" column for Ms. Stone include $2,402 in imputed income attributable to life insurance benefits.</w:t>
      </w: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Grants of Plan Based Awards for 2023</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equity and non-equity awards granted to our NEOs in 2023.</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All Other</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Stock</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706F6F"/>
              </w:rPr>
              <w:t>Estimated Future Payouts</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706F6F"/>
              </w:rPr>
              <w:t>Grant</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80" w:type="dxa"/>
            <w:vAlign w:val="bottom"/>
            <w:gridSpan w:val="4"/>
            <w:vMerge w:val="continue"/>
          </w:tcPr>
          <w:p>
            <w:pPr>
              <w:spacing w:after="0"/>
              <w:rPr>
                <w:sz w:val="8"/>
                <w:szCs w:val="8"/>
                <w:color w:val="auto"/>
              </w:rPr>
            </w:pPr>
          </w:p>
        </w:tc>
        <w:tc>
          <w:tcPr>
            <w:tcW w:w="2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706F6F"/>
              </w:rPr>
              <w:t>Estimated Future Payouts Under</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Number of</w:t>
            </w:r>
          </w:p>
        </w:tc>
        <w:tc>
          <w:tcPr>
            <w:tcW w:w="3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Date</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20" w:type="dxa"/>
            <w:vAlign w:val="bottom"/>
            <w:gridSpan w:val="5"/>
            <w:vMerge w:val="restart"/>
          </w:tcPr>
          <w:p>
            <w:pPr>
              <w:jc w:val="right"/>
              <w:ind w:right="160"/>
              <w:spacing w:after="0" w:line="159" w:lineRule="exact"/>
              <w:rPr>
                <w:sz w:val="20"/>
                <w:szCs w:val="20"/>
                <w:color w:val="auto"/>
              </w:rPr>
            </w:pPr>
            <w:r>
              <w:rPr>
                <w:rFonts w:ascii="Arial" w:cs="Arial" w:eastAsia="Arial" w:hAnsi="Arial"/>
                <w:sz w:val="14"/>
                <w:szCs w:val="14"/>
                <w:b w:val="1"/>
                <w:bCs w:val="1"/>
                <w:color w:val="706F6F"/>
              </w:rPr>
              <w:t>Under Non-Equity Incentive</w:t>
            </w:r>
          </w:p>
        </w:tc>
        <w:tc>
          <w:tcPr>
            <w:tcW w:w="2620" w:type="dxa"/>
            <w:vAlign w:val="bottom"/>
            <w:gridSpan w:val="3"/>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gridSpan w:val="5"/>
            <w:vMerge w:val="continue"/>
          </w:tcPr>
          <w:p>
            <w:pPr>
              <w:spacing w:after="0"/>
              <w:rPr>
                <w:sz w:val="8"/>
                <w:szCs w:val="8"/>
                <w:color w:val="auto"/>
              </w:rPr>
            </w:pPr>
          </w:p>
        </w:tc>
        <w:tc>
          <w:tcPr>
            <w:tcW w:w="2620" w:type="dxa"/>
            <w:vAlign w:val="bottom"/>
            <w:gridSpan w:val="3"/>
            <w:vMerge w:val="continue"/>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Shares of</w:t>
            </w:r>
          </w:p>
        </w:tc>
        <w:tc>
          <w:tcPr>
            <w:tcW w:w="30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706F6F"/>
              </w:rPr>
              <w:t>Fair Value</w:t>
            </w:r>
          </w:p>
        </w:tc>
        <w:tc>
          <w:tcPr>
            <w:tcW w:w="0" w:type="dxa"/>
            <w:vAlign w:val="bottom"/>
          </w:tcPr>
          <w:p>
            <w:pPr>
              <w:spacing w:after="0"/>
              <w:rPr>
                <w:sz w:val="1"/>
                <w:szCs w:val="1"/>
                <w:color w:val="auto"/>
              </w:rPr>
            </w:pPr>
          </w:p>
        </w:tc>
      </w:tr>
      <w:tr>
        <w:trPr>
          <w:trHeight w:val="83"/>
        </w:trPr>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706F6F"/>
              </w:rPr>
              <w:t>Plan Awards</w:t>
            </w:r>
            <w:r>
              <w:rPr>
                <w:rFonts w:ascii="Arial" w:cs="Arial" w:eastAsia="Arial" w:hAnsi="Arial"/>
                <w:sz w:val="9"/>
                <w:szCs w:val="9"/>
                <w:b w:val="1"/>
                <w:bCs w:val="1"/>
                <w:color w:val="706F6F"/>
              </w:rPr>
              <w:t>(1)</w:t>
            </w:r>
          </w:p>
        </w:tc>
        <w:tc>
          <w:tcPr>
            <w:tcW w:w="140" w:type="dxa"/>
            <w:vAlign w:val="bottom"/>
            <w:vMerge w:val="restart"/>
          </w:tcPr>
          <w:p>
            <w:pPr>
              <w:spacing w:after="0"/>
              <w:rPr>
                <w:sz w:val="7"/>
                <w:szCs w:val="7"/>
                <w:color w:val="auto"/>
              </w:rPr>
            </w:pPr>
          </w:p>
        </w:tc>
        <w:tc>
          <w:tcPr>
            <w:tcW w:w="26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706F6F"/>
              </w:rPr>
              <w:t>Equity Incentive Plan Awards</w:t>
            </w:r>
            <w:r>
              <w:rPr>
                <w:rFonts w:ascii="Arial" w:cs="Arial" w:eastAsia="Arial" w:hAnsi="Arial"/>
                <w:sz w:val="18"/>
                <w:szCs w:val="18"/>
                <w:b w:val="1"/>
                <w:bCs w:val="1"/>
                <w:color w:val="706F6F"/>
                <w:vertAlign w:val="superscript"/>
              </w:rPr>
              <w:t>(2)</w:t>
            </w:r>
          </w:p>
        </w:tc>
        <w:tc>
          <w:tcPr>
            <w:tcW w:w="10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Borders>
              <w:bottom w:val="single" w:sz="8" w:color="006DB6"/>
            </w:tcBorders>
          </w:tcPr>
          <w:p>
            <w:pPr>
              <w:spacing w:after="0"/>
              <w:rPr>
                <w:sz w:val="11"/>
                <w:szCs w:val="11"/>
                <w:color w:val="auto"/>
              </w:rPr>
            </w:pPr>
          </w:p>
        </w:tc>
        <w:tc>
          <w:tcPr>
            <w:tcW w:w="500" w:type="dxa"/>
            <w:vAlign w:val="bottom"/>
            <w:tcBorders>
              <w:bottom w:val="single" w:sz="8" w:color="006DB6"/>
            </w:tcBorders>
          </w:tcPr>
          <w:p>
            <w:pPr>
              <w:spacing w:after="0"/>
              <w:rPr>
                <w:sz w:val="11"/>
                <w:szCs w:val="11"/>
                <w:color w:val="auto"/>
              </w:rPr>
            </w:pPr>
          </w:p>
        </w:tc>
        <w:tc>
          <w:tcPr>
            <w:tcW w:w="240" w:type="dxa"/>
            <w:vAlign w:val="bottom"/>
            <w:tcBorders>
              <w:bottom w:val="single" w:sz="8" w:color="006DB6"/>
            </w:tcBorders>
          </w:tcPr>
          <w:p>
            <w:pPr>
              <w:spacing w:after="0"/>
              <w:rPr>
                <w:sz w:val="11"/>
                <w:szCs w:val="11"/>
                <w:color w:val="auto"/>
              </w:rPr>
            </w:pPr>
          </w:p>
        </w:tc>
        <w:tc>
          <w:tcPr>
            <w:tcW w:w="780" w:type="dxa"/>
            <w:vAlign w:val="bottom"/>
            <w:tcBorders>
              <w:bottom w:val="single" w:sz="8" w:color="006DB6"/>
            </w:tcBorders>
          </w:tcPr>
          <w:p>
            <w:pPr>
              <w:spacing w:after="0"/>
              <w:rPr>
                <w:sz w:val="11"/>
                <w:szCs w:val="11"/>
                <w:color w:val="auto"/>
              </w:rPr>
            </w:pPr>
          </w:p>
        </w:tc>
        <w:tc>
          <w:tcPr>
            <w:tcW w:w="1060" w:type="dxa"/>
            <w:vAlign w:val="bottom"/>
            <w:tcBorders>
              <w:bottom w:val="single" w:sz="8" w:color="006DB6"/>
            </w:tcBorders>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2620" w:type="dxa"/>
            <w:vAlign w:val="bottom"/>
            <w:tcBorders>
              <w:bottom w:val="single" w:sz="8" w:color="006DB6"/>
            </w:tcBorders>
            <w:gridSpan w:val="3"/>
            <w:vMerge w:val="continue"/>
          </w:tcPr>
          <w:p>
            <w:pPr>
              <w:spacing w:after="0"/>
              <w:rPr>
                <w:sz w:val="11"/>
                <w:szCs w:val="11"/>
                <w:color w:val="auto"/>
              </w:rPr>
            </w:pPr>
          </w:p>
        </w:tc>
        <w:tc>
          <w:tcPr>
            <w:tcW w:w="1000" w:type="dxa"/>
            <w:vAlign w:val="bottom"/>
          </w:tcPr>
          <w:p>
            <w:pPr>
              <w:jc w:val="right"/>
              <w:spacing w:after="0" w:line="138" w:lineRule="exact"/>
              <w:rPr>
                <w:sz w:val="20"/>
                <w:szCs w:val="20"/>
                <w:color w:val="auto"/>
              </w:rPr>
            </w:pPr>
            <w:r>
              <w:rPr>
                <w:rFonts w:ascii="Arial" w:cs="Arial" w:eastAsia="Arial" w:hAnsi="Arial"/>
                <w:sz w:val="14"/>
                <w:szCs w:val="14"/>
                <w:b w:val="1"/>
                <w:bCs w:val="1"/>
                <w:color w:val="706F6F"/>
              </w:rPr>
              <w:t>Stock or</w:t>
            </w:r>
          </w:p>
        </w:tc>
        <w:tc>
          <w:tcPr>
            <w:tcW w:w="30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b w:val="1"/>
                <w:bCs w:val="1"/>
                <w:color w:val="706F6F"/>
              </w:rPr>
              <w:t>of Stock</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706F6F"/>
              </w:rPr>
              <w:t>Grant</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706F6F"/>
              </w:rPr>
              <w:t>Threshold</w:t>
            </w:r>
          </w:p>
        </w:tc>
        <w:tc>
          <w:tcPr>
            <w:tcW w:w="2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706F6F"/>
              </w:rPr>
              <w:t>Target</w:t>
            </w:r>
          </w:p>
        </w:tc>
        <w:tc>
          <w:tcPr>
            <w:tcW w:w="26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706F6F"/>
              </w:rPr>
              <w:t>Maximum</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706F6F"/>
              </w:rPr>
              <w:t>Threshold</w:t>
            </w: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706F6F"/>
              </w:rPr>
              <w:t>Target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706F6F"/>
              </w:rPr>
              <w:t>Maximum</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Units</w:t>
            </w: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706F6F"/>
              </w:rPr>
              <w:t>Awards</w:t>
            </w:r>
          </w:p>
        </w:tc>
        <w:tc>
          <w:tcPr>
            <w:tcW w:w="0" w:type="dxa"/>
            <w:vAlign w:val="bottom"/>
          </w:tcPr>
          <w:p>
            <w:pPr>
              <w:spacing w:after="0"/>
              <w:rPr>
                <w:sz w:val="1"/>
                <w:szCs w:val="1"/>
                <w:color w:val="auto"/>
              </w:rPr>
            </w:pPr>
          </w:p>
        </w:tc>
      </w:tr>
      <w:tr>
        <w:trPr>
          <w:trHeight w:val="221"/>
        </w:trPr>
        <w:tc>
          <w:tcPr>
            <w:tcW w:w="104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16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Award Type</w:t>
            </w: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Date</w:t>
            </w:r>
          </w:p>
        </w:tc>
        <w:tc>
          <w:tcPr>
            <w:tcW w:w="560" w:type="dxa"/>
            <w:vAlign w:val="bottom"/>
            <w:tcBorders>
              <w:bottom w:val="single" w:sz="8" w:color="006DB6"/>
            </w:tcBorders>
          </w:tcPr>
          <w:p>
            <w:pPr>
              <w:spacing w:after="0"/>
              <w:rPr>
                <w:sz w:val="19"/>
                <w:szCs w:val="19"/>
                <w:color w:val="auto"/>
              </w:rPr>
            </w:pPr>
          </w:p>
        </w:tc>
        <w:tc>
          <w:tcPr>
            <w:tcW w:w="500" w:type="dxa"/>
            <w:vAlign w:val="bottom"/>
            <w:tcBorders>
              <w:bottom w:val="single" w:sz="8" w:color="006DB6"/>
            </w:tcBorders>
          </w:tcPr>
          <w:p>
            <w:pPr>
              <w:jc w:val="right"/>
              <w:ind w:right="28"/>
              <w:spacing w:after="0"/>
              <w:rPr>
                <w:sz w:val="20"/>
                <w:szCs w:val="20"/>
                <w:color w:val="auto"/>
              </w:rPr>
            </w:pPr>
            <w:r>
              <w:rPr>
                <w:rFonts w:ascii="Arial" w:cs="Arial" w:eastAsia="Arial" w:hAnsi="Arial"/>
                <w:sz w:val="14"/>
                <w:szCs w:val="14"/>
                <w:b w:val="1"/>
                <w:bCs w:val="1"/>
                <w:color w:val="706F6F"/>
              </w:rPr>
              <w:t>($)</w:t>
            </w:r>
          </w:p>
        </w:tc>
        <w:tc>
          <w:tcPr>
            <w:tcW w:w="240" w:type="dxa"/>
            <w:vAlign w:val="bottom"/>
            <w:tcBorders>
              <w:bottom w:val="single" w:sz="8" w:color="006DB6"/>
            </w:tcBorders>
          </w:tcPr>
          <w:p>
            <w:pPr>
              <w:spacing w:after="0"/>
              <w:rPr>
                <w:sz w:val="19"/>
                <w:szCs w:val="19"/>
                <w:color w:val="auto"/>
              </w:rPr>
            </w:pPr>
          </w:p>
        </w:tc>
        <w:tc>
          <w:tcPr>
            <w:tcW w:w="780" w:type="dxa"/>
            <w:vAlign w:val="bottom"/>
            <w:tcBorders>
              <w:bottom w:val="single" w:sz="8" w:color="006DB6"/>
            </w:tcBorders>
          </w:tcPr>
          <w:p>
            <w:pPr>
              <w:jc w:val="right"/>
              <w:ind w:right="8"/>
              <w:spacing w:after="0"/>
              <w:rPr>
                <w:sz w:val="20"/>
                <w:szCs w:val="20"/>
                <w:color w:val="auto"/>
              </w:rPr>
            </w:pPr>
            <w:r>
              <w:rPr>
                <w:rFonts w:ascii="Arial" w:cs="Arial" w:eastAsia="Arial" w:hAnsi="Arial"/>
                <w:sz w:val="14"/>
                <w:szCs w:val="14"/>
                <w:b w:val="1"/>
                <w:bCs w:val="1"/>
                <w:color w:val="706F6F"/>
              </w:rPr>
              <w:t>($)</w:t>
            </w:r>
          </w:p>
        </w:tc>
        <w:tc>
          <w:tcPr>
            <w:tcW w:w="260" w:type="dxa"/>
            <w:vAlign w:val="bottom"/>
            <w:tcBorders>
              <w:bottom w:val="single" w:sz="8" w:color="006DB6"/>
            </w:tcBorders>
          </w:tcPr>
          <w:p>
            <w:pPr>
              <w:spacing w:after="0"/>
              <w:rPr>
                <w:sz w:val="19"/>
                <w:szCs w:val="19"/>
                <w:color w:val="auto"/>
              </w:rPr>
            </w:pPr>
          </w:p>
        </w:tc>
        <w:tc>
          <w:tcPr>
            <w:tcW w:w="8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40" w:type="dxa"/>
            <w:vAlign w:val="bottom"/>
            <w:tcBorders>
              <w:bottom w:val="single" w:sz="8" w:color="006DB6"/>
            </w:tcBorders>
          </w:tcPr>
          <w:p>
            <w:pPr>
              <w:spacing w:after="0"/>
              <w:rPr>
                <w:sz w:val="19"/>
                <w:szCs w:val="19"/>
                <w:color w:val="auto"/>
              </w:rPr>
            </w:pPr>
          </w:p>
        </w:tc>
        <w:tc>
          <w:tcPr>
            <w:tcW w:w="1060" w:type="dxa"/>
            <w:vAlign w:val="bottom"/>
            <w:tcBorders>
              <w:bottom w:val="single" w:sz="8" w:color="006DB6"/>
            </w:tcBorders>
          </w:tcPr>
          <w:p>
            <w:pPr>
              <w:jc w:val="right"/>
              <w:ind w:right="48"/>
              <w:spacing w:after="0"/>
              <w:rPr>
                <w:sz w:val="20"/>
                <w:szCs w:val="20"/>
                <w:color w:val="auto"/>
              </w:rPr>
            </w:pPr>
            <w:r>
              <w:rPr>
                <w:rFonts w:ascii="Arial" w:cs="Arial" w:eastAsia="Arial" w:hAnsi="Arial"/>
                <w:sz w:val="14"/>
                <w:szCs w:val="14"/>
                <w:b w:val="1"/>
                <w:bCs w:val="1"/>
                <w:color w:val="706F6F"/>
              </w:rPr>
              <w:t>(#)</w:t>
            </w:r>
          </w:p>
        </w:tc>
        <w:tc>
          <w:tcPr>
            <w:tcW w:w="740" w:type="dxa"/>
            <w:vAlign w:val="bottom"/>
            <w:tcBorders>
              <w:bottom w:val="single" w:sz="8" w:color="006DB6"/>
            </w:tcBorders>
          </w:tcPr>
          <w:p>
            <w:pPr>
              <w:jc w:val="right"/>
              <w:ind w:right="68"/>
              <w:spacing w:after="0"/>
              <w:rPr>
                <w:sz w:val="20"/>
                <w:szCs w:val="20"/>
                <w:color w:val="auto"/>
              </w:rPr>
            </w:pPr>
            <w:r>
              <w:rPr>
                <w:rFonts w:ascii="Arial" w:cs="Arial" w:eastAsia="Arial" w:hAnsi="Arial"/>
                <w:sz w:val="14"/>
                <w:szCs w:val="14"/>
                <w:b w:val="1"/>
                <w:bCs w:val="1"/>
                <w:color w:val="706F6F"/>
              </w:rPr>
              <w:t>(#)</w:t>
            </w:r>
          </w:p>
        </w:tc>
        <w:tc>
          <w:tcPr>
            <w:tcW w:w="82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10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w:t>
            </w:r>
            <w:r>
              <w:rPr>
                <w:rFonts w:ascii="Arial" w:cs="Arial" w:eastAsia="Arial" w:hAnsi="Arial"/>
                <w:sz w:val="18"/>
                <w:szCs w:val="18"/>
                <w:color w:val="706F6F"/>
                <w:vertAlign w:val="superscript"/>
              </w:rPr>
              <w:t>3</w:t>
            </w:r>
            <w:r>
              <w:rPr>
                <w:rFonts w:ascii="Arial" w:cs="Arial" w:eastAsia="Arial" w:hAnsi="Arial"/>
                <w:sz w:val="18"/>
                <w:szCs w:val="18"/>
                <w:b w:val="1"/>
                <w:bCs w:val="1"/>
                <w:color w:val="706F6F"/>
                <w:vertAlign w:val="superscript"/>
              </w:rPr>
              <w:t>)</w:t>
            </w:r>
          </w:p>
        </w:tc>
        <w:tc>
          <w:tcPr>
            <w:tcW w:w="300" w:type="dxa"/>
            <w:vAlign w:val="bottom"/>
            <w:tcBorders>
              <w:bottom w:val="single" w:sz="8" w:color="006DB6"/>
            </w:tcBorders>
          </w:tcPr>
          <w:p>
            <w:pPr>
              <w:spacing w:after="0"/>
              <w:rPr>
                <w:sz w:val="19"/>
                <w:szCs w:val="19"/>
                <w:color w:val="auto"/>
              </w:rPr>
            </w:pPr>
          </w:p>
        </w:tc>
        <w:tc>
          <w:tcPr>
            <w:tcW w:w="8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w:t>
            </w:r>
            <w:r>
              <w:rPr>
                <w:rFonts w:ascii="Arial" w:cs="Arial" w:eastAsia="Arial" w:hAnsi="Arial"/>
                <w:sz w:val="18"/>
                <w:szCs w:val="18"/>
                <w:color w:val="706F6F"/>
                <w:vertAlign w:val="superscript"/>
              </w:rPr>
              <w:t>4</w:t>
            </w:r>
            <w:r>
              <w:rPr>
                <w:rFonts w:ascii="Arial" w:cs="Arial" w:eastAsia="Arial" w:hAnsi="Arial"/>
                <w:sz w:val="18"/>
                <w:szCs w:val="18"/>
                <w:b w:val="1"/>
                <w:bCs w:val="1"/>
                <w:color w:val="706F6F"/>
                <w:vertAlign w:val="superscript"/>
              </w:rPr>
              <w:t>)</w:t>
            </w:r>
          </w:p>
        </w:tc>
        <w:tc>
          <w:tcPr>
            <w:tcW w:w="0" w:type="dxa"/>
            <w:vAlign w:val="bottom"/>
          </w:tcPr>
          <w:p>
            <w:pPr>
              <w:spacing w:after="0"/>
              <w:rPr>
                <w:sz w:val="1"/>
                <w:szCs w:val="1"/>
                <w:color w:val="auto"/>
              </w:rPr>
            </w:pPr>
          </w:p>
        </w:tc>
      </w:tr>
      <w:tr>
        <w:trPr>
          <w:trHeight w:val="235"/>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Bradley J.</w:t>
            </w:r>
          </w:p>
        </w:tc>
        <w:tc>
          <w:tcPr>
            <w:tcW w:w="1160" w:type="dxa"/>
            <w:vAlign w:val="bottom"/>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Pr>
          <w:p>
            <w:pPr>
              <w:spacing w:after="0"/>
              <w:rPr>
                <w:sz w:val="20"/>
                <w:szCs w:val="20"/>
                <w:color w:val="auto"/>
              </w:rPr>
            </w:pPr>
          </w:p>
        </w:tc>
        <w:tc>
          <w:tcPr>
            <w:tcW w:w="56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750,000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006DB6"/>
              </w:rPr>
              <w:t>Dodson</w:t>
            </w: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10,115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40,459</w:t>
            </w:r>
          </w:p>
        </w:tc>
        <w:tc>
          <w:tcPr>
            <w:tcW w:w="820" w:type="dxa"/>
            <w:vAlign w:val="bottom"/>
          </w:tcPr>
          <w:p>
            <w:pPr>
              <w:jc w:val="right"/>
              <w:spacing w:after="0"/>
              <w:rPr>
                <w:sz w:val="20"/>
                <w:szCs w:val="20"/>
                <w:color w:val="auto"/>
              </w:rPr>
            </w:pPr>
            <w:r>
              <w:rPr>
                <w:rFonts w:ascii="Arial" w:cs="Arial" w:eastAsia="Arial" w:hAnsi="Arial"/>
                <w:sz w:val="14"/>
                <w:szCs w:val="14"/>
                <w:color w:val="auto"/>
              </w:rPr>
              <w:t>80,918</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1,555,446</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40,459</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1,256,252</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Peter L.</w:t>
            </w:r>
          </w:p>
        </w:tc>
        <w:tc>
          <w:tcPr>
            <w:tcW w:w="1160" w:type="dxa"/>
            <w:vAlign w:val="bottom"/>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209,349</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418,698</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006DB6"/>
              </w:rPr>
              <w:t>McCann</w:t>
            </w:r>
            <w:r>
              <w:rPr>
                <w:rFonts w:ascii="Arial" w:cs="Arial" w:eastAsia="Arial" w:hAnsi="Arial"/>
                <w:sz w:val="18"/>
                <w:szCs w:val="18"/>
                <w:b w:val="1"/>
                <w:bCs w:val="1"/>
                <w:color w:val="006DB6"/>
                <w:vertAlign w:val="superscript"/>
              </w:rPr>
              <w:t>(5)</w:t>
            </w: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1,575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6,299</w:t>
            </w:r>
          </w:p>
        </w:tc>
        <w:tc>
          <w:tcPr>
            <w:tcW w:w="820" w:type="dxa"/>
            <w:vAlign w:val="bottom"/>
          </w:tcPr>
          <w:p>
            <w:pPr>
              <w:jc w:val="right"/>
              <w:spacing w:after="0"/>
              <w:rPr>
                <w:sz w:val="20"/>
                <w:szCs w:val="20"/>
                <w:color w:val="auto"/>
              </w:rPr>
            </w:pPr>
            <w:r>
              <w:rPr>
                <w:rFonts w:ascii="Arial" w:cs="Arial" w:eastAsia="Arial" w:hAnsi="Arial"/>
                <w:sz w:val="14"/>
                <w:szCs w:val="14"/>
                <w:color w:val="auto"/>
              </w:rPr>
              <w:t>12,598</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242,165</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6,298</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195,553</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Allan D.</w:t>
            </w:r>
          </w:p>
        </w:tc>
        <w:tc>
          <w:tcPr>
            <w:tcW w:w="1160" w:type="dxa"/>
            <w:vAlign w:val="bottom"/>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264,573</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529,145</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006DB6"/>
              </w:rPr>
              <w:t>Schoening</w:t>
            </w:r>
            <w:r>
              <w:rPr>
                <w:rFonts w:ascii="Arial" w:cs="Arial" w:eastAsia="Arial" w:hAnsi="Arial"/>
                <w:sz w:val="18"/>
                <w:szCs w:val="18"/>
                <w:b w:val="1"/>
                <w:bCs w:val="1"/>
                <w:color w:val="006DB6"/>
                <w:vertAlign w:val="superscript"/>
              </w:rPr>
              <w:t>(6)</w:t>
            </w: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2,292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9,167</w:t>
            </w:r>
          </w:p>
        </w:tc>
        <w:tc>
          <w:tcPr>
            <w:tcW w:w="820" w:type="dxa"/>
            <w:vAlign w:val="bottom"/>
          </w:tcPr>
          <w:p>
            <w:pPr>
              <w:jc w:val="right"/>
              <w:spacing w:after="0"/>
              <w:rPr>
                <w:sz w:val="20"/>
                <w:szCs w:val="20"/>
                <w:color w:val="auto"/>
              </w:rPr>
            </w:pPr>
            <w:r>
              <w:rPr>
                <w:rFonts w:ascii="Arial" w:cs="Arial" w:eastAsia="Arial" w:hAnsi="Arial"/>
                <w:sz w:val="14"/>
                <w:szCs w:val="14"/>
                <w:color w:val="auto"/>
              </w:rPr>
              <w:t>18,334</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352,425</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9,166</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284,604</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040" w:type="dxa"/>
            <w:vAlign w:val="bottom"/>
          </w:tcPr>
          <w:p>
            <w:pPr>
              <w:ind w:left="20"/>
              <w:spacing w:after="0"/>
              <w:rPr>
                <w:sz w:val="20"/>
                <w:szCs w:val="20"/>
                <w:color w:val="auto"/>
              </w:rPr>
            </w:pPr>
            <w:r>
              <w:rPr>
                <w:rFonts w:ascii="Arial" w:cs="Arial" w:eastAsia="Arial" w:hAnsi="Arial"/>
                <w:sz w:val="14"/>
                <w:szCs w:val="14"/>
                <w:b w:val="1"/>
                <w:bCs w:val="1"/>
                <w:color w:val="006DB6"/>
              </w:rPr>
              <w:t>Carolyn J.</w:t>
            </w:r>
          </w:p>
        </w:tc>
        <w:tc>
          <w:tcPr>
            <w:tcW w:w="1160" w:type="dxa"/>
            <w:vAlign w:val="bottom"/>
          </w:tcPr>
          <w:p>
            <w:pPr>
              <w:ind w:left="20"/>
              <w:spacing w:after="0"/>
              <w:rPr>
                <w:sz w:val="20"/>
                <w:szCs w:val="20"/>
                <w:color w:val="auto"/>
              </w:rPr>
            </w:pPr>
            <w:r>
              <w:rPr>
                <w:rFonts w:ascii="Arial" w:cs="Arial" w:eastAsia="Arial" w:hAnsi="Arial"/>
                <w:sz w:val="14"/>
                <w:szCs w:val="14"/>
                <w:color w:val="auto"/>
              </w:rPr>
              <w:t>AICP</w:t>
            </w:r>
          </w:p>
        </w:tc>
        <w:tc>
          <w:tcPr>
            <w:tcW w:w="96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297,500</w:t>
            </w:r>
          </w:p>
        </w:tc>
        <w:tc>
          <w:tcPr>
            <w:tcW w:w="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595,000</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006DB6"/>
              </w:rPr>
              <w:t>Stone</w:t>
            </w: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Performance</w:t>
            </w: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Shares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2,909</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11,635</w:t>
            </w:r>
          </w:p>
        </w:tc>
        <w:tc>
          <w:tcPr>
            <w:tcW w:w="820" w:type="dxa"/>
            <w:vAlign w:val="bottom"/>
          </w:tcPr>
          <w:p>
            <w:pPr>
              <w:jc w:val="right"/>
              <w:spacing w:after="0"/>
              <w:rPr>
                <w:sz w:val="20"/>
                <w:szCs w:val="20"/>
                <w:color w:val="auto"/>
              </w:rPr>
            </w:pPr>
            <w:r>
              <w:rPr>
                <w:rFonts w:ascii="Arial" w:cs="Arial" w:eastAsia="Arial" w:hAnsi="Arial"/>
                <w:sz w:val="14"/>
                <w:szCs w:val="14"/>
                <w:color w:val="auto"/>
              </w:rPr>
              <w:t>23,270</w:t>
            </w:r>
          </w:p>
        </w:tc>
        <w:tc>
          <w:tcPr>
            <w:tcW w:w="1000" w:type="dxa"/>
            <w:vAlign w:val="bottom"/>
          </w:tcPr>
          <w:p>
            <w:pPr>
              <w:spacing w:after="0"/>
              <w:rPr>
                <w:sz w:val="16"/>
                <w:szCs w:val="16"/>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447,308</w:t>
            </w:r>
          </w:p>
        </w:tc>
        <w:tc>
          <w:tcPr>
            <w:tcW w:w="0" w:type="dxa"/>
            <w:vAlign w:val="bottom"/>
          </w:tcPr>
          <w:p>
            <w:pPr>
              <w:spacing w:after="0"/>
              <w:rPr>
                <w:sz w:val="1"/>
                <w:szCs w:val="1"/>
                <w:color w:val="auto"/>
              </w:rPr>
            </w:pPr>
          </w:p>
        </w:tc>
      </w:tr>
      <w:tr>
        <w:trPr>
          <w:trHeight w:val="22"/>
        </w:trPr>
        <w:tc>
          <w:tcPr>
            <w:tcW w:w="1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04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4"/>
                <w:szCs w:val="14"/>
                <w:color w:val="auto"/>
              </w:rPr>
              <w:t>Phantom Units</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2/23/2023</w:t>
            </w: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11,634</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361,236</w:t>
            </w:r>
          </w:p>
        </w:tc>
        <w:tc>
          <w:tcPr>
            <w:tcW w:w="0" w:type="dxa"/>
            <w:vAlign w:val="bottom"/>
          </w:tcPr>
          <w:p>
            <w:pPr>
              <w:spacing w:after="0"/>
              <w:rPr>
                <w:sz w:val="1"/>
                <w:szCs w:val="1"/>
                <w:color w:val="auto"/>
              </w:rPr>
            </w:pPr>
          </w:p>
        </w:tc>
      </w:tr>
      <w:tr>
        <w:trPr>
          <w:trHeight w:val="22"/>
        </w:trPr>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20" w:hanging="252"/>
        <w:spacing w:after="0" w:line="245"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the columns “Threshold”, “Target” and “Maximum” reflect the threshold, target and maximum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2023;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51" w:lineRule="exact"/>
        <w:rPr>
          <w:rFonts w:ascii="Arial" w:cs="Arial" w:eastAsia="Arial" w:hAnsi="Arial"/>
          <w:sz w:val="19"/>
          <w:szCs w:val="19"/>
          <w:color w:val="auto"/>
          <w:vertAlign w:val="superscript"/>
        </w:rPr>
      </w:pPr>
    </w:p>
    <w:p>
      <w:pPr>
        <w:ind w:left="260" w:right="280" w:hanging="252"/>
        <w:spacing w:after="0"/>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the “Threshold”, “Target” and “Maximum” columns reflect the potential number of shares that may be earned under 2023 grants under our Performance Share Award Program based on our relative TSR and cumulative operating cash flow over the applicable three-year performance period (see discussion in “Compensation Discussion and Analysis - Compensation Program Components-Performance Share Award Programs”). Earned shares will vest in full on the third anniversary of the grant date.</w:t>
      </w:r>
    </w:p>
    <w:p>
      <w:pPr>
        <w:spacing w:after="0" w:line="54" w:lineRule="exact"/>
        <w:rPr>
          <w:rFonts w:ascii="Arial" w:cs="Arial" w:eastAsia="Arial" w:hAnsi="Arial"/>
          <w:sz w:val="19"/>
          <w:szCs w:val="19"/>
          <w:color w:val="auto"/>
          <w:vertAlign w:val="superscript"/>
        </w:rPr>
      </w:pPr>
    </w:p>
    <w:p>
      <w:pPr>
        <w:ind w:left="260" w:right="860" w:hanging="252"/>
        <w:spacing w:after="0" w:line="305"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Amounts included in the “All Other Stock Awards” column reflect phantom unit awards that vest annually at a rate of one-third per year on each of the first three anniversaries of the grant date.</w:t>
      </w:r>
    </w:p>
    <w:p>
      <w:pPr>
        <w:spacing w:after="0" w:line="9" w:lineRule="exact"/>
        <w:rPr>
          <w:rFonts w:ascii="Arial" w:cs="Arial" w:eastAsia="Arial" w:hAnsi="Arial"/>
          <w:sz w:val="9"/>
          <w:szCs w:val="9"/>
          <w:color w:val="auto"/>
        </w:rPr>
      </w:pPr>
    </w:p>
    <w:p>
      <w:pPr>
        <w:ind w:left="260" w:right="120" w:hanging="252"/>
        <w:spacing w:after="0" w:line="269" w:lineRule="auto"/>
        <w:tabs>
          <w:tab w:leader="none" w:pos="264" w:val="left"/>
        </w:tabs>
        <w:numPr>
          <w:ilvl w:val="0"/>
          <w:numId w:val="48"/>
        </w:numPr>
        <w:rPr>
          <w:rFonts w:ascii="Arial" w:cs="Arial" w:eastAsia="Arial" w:hAnsi="Arial"/>
          <w:sz w:val="9"/>
          <w:szCs w:val="9"/>
          <w:color w:val="auto"/>
        </w:rPr>
      </w:pPr>
      <w:r>
        <w:rPr>
          <w:rFonts w:ascii="Arial" w:cs="Arial" w:eastAsia="Arial" w:hAnsi="Arial"/>
          <w:sz w:val="14"/>
          <w:szCs w:val="14"/>
          <w:color w:val="auto"/>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NEOs during 2023. Generally, the full grant date fair value is the amount that Civeo would expense in its financial statements over the vesting schedule of the awards. See Note 19 to Civeo’s consolidated financial statements included in its Annual Report on Form 10-K for the year ended December 31, 2023 for additional detail regarding assumptions underlying the value of these awards.</w:t>
      </w:r>
    </w:p>
    <w:p>
      <w:pPr>
        <w:spacing w:after="0" w:line="223" w:lineRule="exact"/>
        <w:rPr>
          <w:rFonts w:ascii="Arial" w:cs="Arial" w:eastAsia="Arial" w:hAnsi="Arial"/>
          <w:sz w:val="9"/>
          <w:szCs w:val="9"/>
          <w:color w:val="auto"/>
        </w:rPr>
      </w:pPr>
    </w:p>
    <w:p>
      <w:pPr>
        <w:ind w:left="260" w:right="200" w:hanging="252"/>
        <w:spacing w:after="0" w:line="222" w:lineRule="auto"/>
        <w:tabs>
          <w:tab w:leader="none" w:pos="264"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Mr. McCann’s AICP award amounts were paid in Australian dollars and are reflected in this table in U.S. dollars using an average exchange rate for 2023 of $0.6646 U.S. dollar per Australian dollar.</w:t>
      </w:r>
    </w:p>
    <w:p>
      <w:pPr>
        <w:sectPr>
          <w:pgSz w:w="11900" w:h="16838" w:orient="portrait"/>
          <w:cols w:equalWidth="0" w:num="1">
            <w:col w:w="11240"/>
          </w:cols>
          <w:pgMar w:left="320" w:top="125" w:right="339" w:bottom="1440" w:gutter="0" w:footer="0" w:header="0"/>
        </w:sectPr>
      </w:pPr>
    </w:p>
    <w:p>
      <w:pPr>
        <w:spacing w:after="0" w:line="310"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7" w:lineRule="exact"/>
        <w:rPr>
          <w:sz w:val="20"/>
          <w:szCs w:val="20"/>
          <w:color w:val="auto"/>
        </w:rPr>
      </w:pPr>
    </w:p>
    <w:p>
      <w:pPr>
        <w:ind w:left="260" w:hanging="252"/>
        <w:spacing w:after="0" w:line="231"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Mr. Schoening’s AICP award amounts were paid in Canadian dollars and are reflected in this table in U.S. dollars using an average exchange rate for 2023 of $0.7411 U.S. dollar per Canadian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494030</wp:posOffset>
            </wp:positionV>
            <wp:extent cx="394335" cy="1968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Outstanding Equity Awards at 2023 Fiscal Year End</w:t>
      </w:r>
    </w:p>
    <w:p>
      <w:pPr>
        <w:spacing w:after="0" w:line="1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provides information on the holdings of share awards by our NEOs as of December 31, 2023. The NEOs do not have any outstanding options, and Civeo has not issued any options since we spun off from Oil States International in 2014 and became a publicly traded company. The market value of the share awards is based on the closing market price of Civeo’s common shares as of December 29, 2023, the last trading day of 2023, which was $22.85.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320" w:type="dxa"/>
            <w:vAlign w:val="bottom"/>
          </w:tcPr>
          <w:p>
            <w:pPr>
              <w:spacing w:after="0"/>
              <w:rPr>
                <w:sz w:val="19"/>
                <w:szCs w:val="19"/>
                <w:color w:val="auto"/>
              </w:rPr>
            </w:pPr>
          </w:p>
        </w:tc>
        <w:tc>
          <w:tcPr>
            <w:tcW w:w="1660" w:type="dxa"/>
            <w:vAlign w:val="bottom"/>
            <w:tcBorders>
              <w:bottom w:val="single" w:sz="8" w:color="006DB6"/>
            </w:tcBorders>
          </w:tcPr>
          <w:p>
            <w:pPr>
              <w:spacing w:after="0"/>
              <w:rPr>
                <w:sz w:val="19"/>
                <w:szCs w:val="19"/>
                <w:color w:val="auto"/>
              </w:rPr>
            </w:pPr>
          </w:p>
        </w:tc>
        <w:tc>
          <w:tcPr>
            <w:tcW w:w="56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spacing w:after="0"/>
              <w:rPr>
                <w:sz w:val="19"/>
                <w:szCs w:val="19"/>
                <w:color w:val="auto"/>
              </w:rPr>
            </w:pPr>
          </w:p>
        </w:tc>
        <w:tc>
          <w:tcPr>
            <w:tcW w:w="1620" w:type="dxa"/>
            <w:vAlign w:val="bottom"/>
            <w:tcBorders>
              <w:bottom w:val="single" w:sz="8" w:color="006DB6"/>
            </w:tcBorders>
          </w:tcPr>
          <w:p>
            <w:pPr>
              <w:jc w:val="right"/>
              <w:ind w:right="128"/>
              <w:spacing w:after="0"/>
              <w:rPr>
                <w:sz w:val="20"/>
                <w:szCs w:val="20"/>
                <w:color w:val="auto"/>
              </w:rPr>
            </w:pPr>
            <w:r>
              <w:rPr>
                <w:rFonts w:ascii="Arial" w:cs="Arial" w:eastAsia="Arial" w:hAnsi="Arial"/>
                <w:sz w:val="14"/>
                <w:szCs w:val="14"/>
                <w:b w:val="1"/>
                <w:bCs w:val="1"/>
                <w:color w:val="706F6F"/>
              </w:rPr>
              <w:t>Stock Awards</w:t>
            </w:r>
          </w:p>
        </w:tc>
        <w:tc>
          <w:tcPr>
            <w:tcW w:w="1280" w:type="dxa"/>
            <w:vAlign w:val="bottom"/>
            <w:tcBorders>
              <w:bottom w:val="single" w:sz="8" w:color="006DB6"/>
            </w:tcBorders>
          </w:tcPr>
          <w:p>
            <w:pPr>
              <w:spacing w:after="0"/>
              <w:rPr>
                <w:sz w:val="19"/>
                <w:szCs w:val="19"/>
                <w:color w:val="auto"/>
              </w:rPr>
            </w:pPr>
          </w:p>
        </w:tc>
        <w:tc>
          <w:tcPr>
            <w:tcW w:w="520" w:type="dxa"/>
            <w:vAlign w:val="bottom"/>
            <w:tcBorders>
              <w:bottom w:val="single" w:sz="8" w:color="006DB6"/>
            </w:tcBorders>
          </w:tcPr>
          <w:p>
            <w:pPr>
              <w:spacing w:after="0"/>
              <w:rPr>
                <w:sz w:val="19"/>
                <w:szCs w:val="19"/>
                <w:color w:val="auto"/>
              </w:rPr>
            </w:pPr>
          </w:p>
        </w:tc>
        <w:tc>
          <w:tcPr>
            <w:tcW w:w="620" w:type="dxa"/>
            <w:vAlign w:val="bottom"/>
            <w:tcBorders>
              <w:bottom w:val="single" w:sz="8" w:color="006DB6"/>
            </w:tcBorders>
          </w:tcPr>
          <w:p>
            <w:pPr>
              <w:spacing w:after="0"/>
              <w:rPr>
                <w:sz w:val="19"/>
                <w:szCs w:val="19"/>
                <w:color w:val="auto"/>
              </w:rPr>
            </w:pPr>
          </w:p>
        </w:tc>
        <w:tc>
          <w:tcPr>
            <w:tcW w:w="980" w:type="dxa"/>
            <w:vAlign w:val="bottom"/>
            <w:tcBorders>
              <w:bottom w:val="single" w:sz="8" w:color="006DB6"/>
            </w:tcBorders>
          </w:tcPr>
          <w:p>
            <w:pPr>
              <w:spacing w:after="0"/>
              <w:rPr>
                <w:sz w:val="19"/>
                <w:szCs w:val="19"/>
                <w:color w:val="auto"/>
              </w:rPr>
            </w:pPr>
          </w:p>
        </w:tc>
      </w:tr>
      <w:tr>
        <w:trPr>
          <w:trHeight w:val="193"/>
        </w:trPr>
        <w:tc>
          <w:tcPr>
            <w:tcW w:w="2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0" w:type="dxa"/>
            <w:vAlign w:val="bottom"/>
            <w:gridSpan w:val="2"/>
          </w:tcPr>
          <w:p>
            <w:pPr>
              <w:jc w:val="right"/>
              <w:ind w:right="85"/>
              <w:spacing w:after="0"/>
              <w:rPr>
                <w:sz w:val="20"/>
                <w:szCs w:val="20"/>
                <w:color w:val="auto"/>
              </w:rPr>
            </w:pPr>
            <w:r>
              <w:rPr>
                <w:rFonts w:ascii="Arial" w:cs="Arial" w:eastAsia="Arial" w:hAnsi="Arial"/>
                <w:sz w:val="14"/>
                <w:szCs w:val="14"/>
                <w:b w:val="1"/>
                <w:bCs w:val="1"/>
                <w:color w:val="706F6F"/>
              </w:rPr>
              <w:t>Equity Incentive Plan</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Equity Incentive Plan</w:t>
            </w:r>
          </w:p>
        </w:tc>
      </w:tr>
      <w:tr>
        <w:trPr>
          <w:trHeight w:val="175"/>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400" w:type="dxa"/>
            <w:vAlign w:val="bottom"/>
            <w:gridSpan w:val="4"/>
          </w:tcPr>
          <w:p>
            <w:pPr>
              <w:jc w:val="right"/>
              <w:spacing w:after="0"/>
              <w:rPr>
                <w:sz w:val="20"/>
                <w:szCs w:val="20"/>
                <w:color w:val="auto"/>
              </w:rPr>
            </w:pPr>
            <w:r>
              <w:rPr>
                <w:rFonts w:ascii="Arial" w:cs="Arial" w:eastAsia="Arial" w:hAnsi="Arial"/>
                <w:sz w:val="14"/>
                <w:szCs w:val="14"/>
                <w:b w:val="1"/>
                <w:bCs w:val="1"/>
                <w:color w:val="706F6F"/>
              </w:rPr>
              <w:t>Awards: Number of Awards: Market Value of</w:t>
            </w:r>
          </w:p>
        </w:tc>
      </w:tr>
      <w:tr>
        <w:trPr>
          <w:trHeight w:val="176"/>
        </w:trPr>
        <w:tc>
          <w:tcPr>
            <w:tcW w:w="2320" w:type="dxa"/>
            <w:vAlign w:val="bottom"/>
          </w:tcPr>
          <w:p>
            <w:pPr>
              <w:spacing w:after="0"/>
              <w:rPr>
                <w:sz w:val="15"/>
                <w:szCs w:val="15"/>
                <w:color w:val="auto"/>
              </w:rPr>
            </w:pPr>
          </w:p>
        </w:tc>
        <w:tc>
          <w:tcPr>
            <w:tcW w:w="222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706F6F"/>
              </w:rPr>
              <w:t>Number of Shares or Units</w:t>
            </w:r>
          </w:p>
        </w:tc>
        <w:tc>
          <w:tcPr>
            <w:tcW w:w="4320" w:type="dxa"/>
            <w:vAlign w:val="bottom"/>
            <w:gridSpan w:val="4"/>
          </w:tcPr>
          <w:p>
            <w:pPr>
              <w:jc w:val="right"/>
              <w:ind w:right="85"/>
              <w:spacing w:after="0"/>
              <w:rPr>
                <w:sz w:val="20"/>
                <w:szCs w:val="20"/>
                <w:color w:val="auto"/>
              </w:rPr>
            </w:pPr>
            <w:r>
              <w:rPr>
                <w:rFonts w:ascii="Arial" w:cs="Arial" w:eastAsia="Arial" w:hAnsi="Arial"/>
                <w:sz w:val="14"/>
                <w:szCs w:val="14"/>
                <w:b w:val="1"/>
                <w:bCs w:val="1"/>
                <w:color w:val="706F6F"/>
              </w:rPr>
              <w:t>Market Value of Shares or Unearned Shares or Units of</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Unearned Shares or</w:t>
            </w:r>
          </w:p>
        </w:tc>
      </w:tr>
      <w:tr>
        <w:trPr>
          <w:trHeight w:val="176"/>
        </w:trPr>
        <w:tc>
          <w:tcPr>
            <w:tcW w:w="2320" w:type="dxa"/>
            <w:vAlign w:val="bottom"/>
          </w:tcPr>
          <w:p>
            <w:pPr>
              <w:spacing w:after="0"/>
              <w:rPr>
                <w:sz w:val="15"/>
                <w:szCs w:val="15"/>
                <w:color w:val="auto"/>
              </w:rPr>
            </w:pPr>
          </w:p>
        </w:tc>
        <w:tc>
          <w:tcPr>
            <w:tcW w:w="2220" w:type="dxa"/>
            <w:vAlign w:val="bottom"/>
            <w:gridSpan w:val="2"/>
          </w:tcPr>
          <w:p>
            <w:pPr>
              <w:jc w:val="right"/>
              <w:ind w:right="165"/>
              <w:spacing w:after="0"/>
              <w:rPr>
                <w:sz w:val="20"/>
                <w:szCs w:val="20"/>
                <w:color w:val="auto"/>
              </w:rPr>
            </w:pPr>
            <w:r>
              <w:rPr>
                <w:rFonts w:ascii="Arial" w:cs="Arial" w:eastAsia="Arial" w:hAnsi="Arial"/>
                <w:sz w:val="14"/>
                <w:szCs w:val="14"/>
                <w:b w:val="1"/>
                <w:bCs w:val="1"/>
                <w:color w:val="706F6F"/>
              </w:rPr>
              <w:t>of Stock that Have Not</w:t>
            </w:r>
          </w:p>
        </w:tc>
        <w:tc>
          <w:tcPr>
            <w:tcW w:w="25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706F6F"/>
              </w:rPr>
              <w:t>Units of Stock that Have Not</w:t>
            </w:r>
          </w:p>
        </w:tc>
        <w:tc>
          <w:tcPr>
            <w:tcW w:w="1800" w:type="dxa"/>
            <w:vAlign w:val="bottom"/>
            <w:gridSpan w:val="2"/>
          </w:tcPr>
          <w:p>
            <w:pPr>
              <w:jc w:val="right"/>
              <w:ind w:right="85"/>
              <w:spacing w:after="0"/>
              <w:rPr>
                <w:sz w:val="20"/>
                <w:szCs w:val="20"/>
                <w:color w:val="auto"/>
              </w:rPr>
            </w:pPr>
            <w:r>
              <w:rPr>
                <w:rFonts w:ascii="Arial" w:cs="Arial" w:eastAsia="Arial" w:hAnsi="Arial"/>
                <w:sz w:val="14"/>
                <w:szCs w:val="14"/>
                <w:b w:val="1"/>
                <w:bCs w:val="1"/>
                <w:color w:val="706F6F"/>
              </w:rPr>
              <w:t>Stock that</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706F6F"/>
              </w:rPr>
              <w:t>Units of</w:t>
            </w:r>
          </w:p>
        </w:tc>
      </w:tr>
      <w:tr>
        <w:trPr>
          <w:trHeight w:val="162"/>
        </w:trPr>
        <w:tc>
          <w:tcPr>
            <w:tcW w:w="2320" w:type="dxa"/>
            <w:vAlign w:val="bottom"/>
          </w:tcPr>
          <w:p>
            <w:pPr>
              <w:spacing w:after="0"/>
              <w:rPr>
                <w:sz w:val="14"/>
                <w:szCs w:val="14"/>
                <w:color w:val="auto"/>
              </w:rPr>
            </w:pPr>
          </w:p>
        </w:tc>
        <w:tc>
          <w:tcPr>
            <w:tcW w:w="2220" w:type="dxa"/>
            <w:vAlign w:val="bottom"/>
            <w:gridSpan w:val="2"/>
          </w:tcPr>
          <w:p>
            <w:pPr>
              <w:jc w:val="center"/>
              <w:ind w:left="1228"/>
              <w:spacing w:after="0"/>
              <w:rPr>
                <w:sz w:val="20"/>
                <w:szCs w:val="20"/>
                <w:color w:val="auto"/>
              </w:rPr>
            </w:pPr>
            <w:r>
              <w:rPr>
                <w:rFonts w:ascii="Arial" w:cs="Arial" w:eastAsia="Arial" w:hAnsi="Arial"/>
                <w:sz w:val="14"/>
                <w:szCs w:val="14"/>
                <w:b w:val="1"/>
                <w:bCs w:val="1"/>
                <w:color w:val="706F6F"/>
              </w:rPr>
              <w:t>Vested</w:t>
            </w:r>
          </w:p>
        </w:tc>
        <w:tc>
          <w:tcPr>
            <w:tcW w:w="900" w:type="dxa"/>
            <w:vAlign w:val="bottom"/>
          </w:tcPr>
          <w:p>
            <w:pPr>
              <w:spacing w:after="0"/>
              <w:rPr>
                <w:sz w:val="14"/>
                <w:szCs w:val="14"/>
                <w:color w:val="auto"/>
              </w:rPr>
            </w:pPr>
          </w:p>
        </w:tc>
        <w:tc>
          <w:tcPr>
            <w:tcW w:w="1620" w:type="dxa"/>
            <w:vAlign w:val="bottom"/>
          </w:tcPr>
          <w:p>
            <w:pPr>
              <w:jc w:val="right"/>
              <w:ind w:right="308"/>
              <w:spacing w:after="0"/>
              <w:rPr>
                <w:sz w:val="20"/>
                <w:szCs w:val="20"/>
                <w:color w:val="auto"/>
              </w:rPr>
            </w:pPr>
            <w:r>
              <w:rPr>
                <w:rFonts w:ascii="Arial" w:cs="Arial" w:eastAsia="Arial" w:hAnsi="Arial"/>
                <w:sz w:val="14"/>
                <w:szCs w:val="14"/>
                <w:b w:val="1"/>
                <w:bCs w:val="1"/>
                <w:color w:val="706F6F"/>
              </w:rPr>
              <w:t>Vested</w:t>
            </w:r>
          </w:p>
        </w:tc>
        <w:tc>
          <w:tcPr>
            <w:tcW w:w="1800" w:type="dxa"/>
            <w:vAlign w:val="bottom"/>
            <w:gridSpan w:val="2"/>
          </w:tcPr>
          <w:p>
            <w:pPr>
              <w:jc w:val="right"/>
              <w:ind w:right="85"/>
              <w:spacing w:after="0"/>
              <w:rPr>
                <w:sz w:val="20"/>
                <w:szCs w:val="20"/>
                <w:color w:val="auto"/>
              </w:rPr>
            </w:pPr>
            <w:r>
              <w:rPr>
                <w:rFonts w:ascii="Arial" w:cs="Arial" w:eastAsia="Arial" w:hAnsi="Arial"/>
                <w:sz w:val="14"/>
                <w:szCs w:val="14"/>
                <w:b w:val="1"/>
                <w:bCs w:val="1"/>
                <w:color w:val="706F6F"/>
              </w:rPr>
              <w:t>Have Not Vested</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Stock that Have Not</w:t>
            </w:r>
          </w:p>
        </w:tc>
      </w:tr>
      <w:tr>
        <w:trPr>
          <w:trHeight w:val="219"/>
        </w:trPr>
        <w:tc>
          <w:tcPr>
            <w:tcW w:w="2320" w:type="dxa"/>
            <w:vAlign w:val="bottom"/>
            <w:tcBorders>
              <w:bottom w:val="single" w:sz="8" w:color="006DB6"/>
            </w:tcBorders>
          </w:tcPr>
          <w:p>
            <w:pPr>
              <w:ind w:left="20"/>
              <w:spacing w:after="0"/>
              <w:rPr>
                <w:sz w:val="20"/>
                <w:szCs w:val="20"/>
                <w:color w:val="auto"/>
              </w:rPr>
            </w:pPr>
            <w:r>
              <w:rPr>
                <w:rFonts w:ascii="Arial" w:cs="Arial" w:eastAsia="Arial" w:hAnsi="Arial"/>
                <w:sz w:val="14"/>
                <w:szCs w:val="14"/>
                <w:b w:val="1"/>
                <w:bCs w:val="1"/>
                <w:color w:val="706F6F"/>
              </w:rPr>
              <w:t>Name</w:t>
            </w:r>
          </w:p>
        </w:tc>
        <w:tc>
          <w:tcPr>
            <w:tcW w:w="1660" w:type="dxa"/>
            <w:vAlign w:val="bottom"/>
            <w:tcBorders>
              <w:bottom w:val="single" w:sz="8" w:color="006DB6"/>
            </w:tcBorders>
          </w:tcPr>
          <w:p>
            <w:pPr>
              <w:spacing w:after="0"/>
              <w:rPr>
                <w:sz w:val="19"/>
                <w:szCs w:val="19"/>
                <w:color w:val="auto"/>
              </w:rPr>
            </w:pPr>
          </w:p>
        </w:tc>
        <w:tc>
          <w:tcPr>
            <w:tcW w:w="560" w:type="dxa"/>
            <w:vAlign w:val="bottom"/>
            <w:tcBorders>
              <w:bottom w:val="single" w:sz="8" w:color="006DB6"/>
            </w:tcBorders>
          </w:tcPr>
          <w:p>
            <w:pPr>
              <w:jc w:val="right"/>
              <w:ind w:right="165"/>
              <w:spacing w:after="0"/>
              <w:rPr>
                <w:sz w:val="20"/>
                <w:szCs w:val="20"/>
                <w:color w:val="auto"/>
              </w:rPr>
            </w:pPr>
            <w:r>
              <w:rPr>
                <w:rFonts w:ascii="Arial" w:cs="Arial" w:eastAsia="Arial" w:hAnsi="Arial"/>
                <w:sz w:val="14"/>
                <w:szCs w:val="14"/>
                <w:b w:val="1"/>
                <w:bCs w:val="1"/>
                <w:color w:val="706F6F"/>
              </w:rPr>
              <w:t>(#)</w:t>
            </w:r>
          </w:p>
        </w:tc>
        <w:tc>
          <w:tcPr>
            <w:tcW w:w="900" w:type="dxa"/>
            <w:vAlign w:val="bottom"/>
            <w:tcBorders>
              <w:bottom w:val="single" w:sz="8" w:color="006DB6"/>
            </w:tcBorders>
          </w:tcPr>
          <w:p>
            <w:pPr>
              <w:spacing w:after="0"/>
              <w:rPr>
                <w:sz w:val="19"/>
                <w:szCs w:val="19"/>
                <w:color w:val="auto"/>
              </w:rPr>
            </w:pPr>
          </w:p>
        </w:tc>
        <w:tc>
          <w:tcPr>
            <w:tcW w:w="1620" w:type="dxa"/>
            <w:vAlign w:val="bottom"/>
            <w:tcBorders>
              <w:bottom w:val="single" w:sz="8" w:color="006DB6"/>
            </w:tcBorders>
          </w:tcPr>
          <w:p>
            <w:pPr>
              <w:jc w:val="right"/>
              <w:ind w:right="308"/>
              <w:spacing w:after="0"/>
              <w:rPr>
                <w:sz w:val="20"/>
                <w:szCs w:val="20"/>
                <w:color w:val="auto"/>
              </w:rPr>
            </w:pPr>
            <w:r>
              <w:rPr>
                <w:rFonts w:ascii="Arial" w:cs="Arial" w:eastAsia="Arial" w:hAnsi="Arial"/>
                <w:sz w:val="14"/>
                <w:szCs w:val="14"/>
                <w:b w:val="1"/>
                <w:bCs w:val="1"/>
                <w:color w:val="706F6F"/>
              </w:rPr>
              <w:t>($)</w:t>
            </w:r>
          </w:p>
        </w:tc>
        <w:tc>
          <w:tcPr>
            <w:tcW w:w="1280" w:type="dxa"/>
            <w:vAlign w:val="bottom"/>
            <w:tcBorders>
              <w:bottom w:val="single" w:sz="8" w:color="006DB6"/>
            </w:tcBorders>
          </w:tcPr>
          <w:p>
            <w:pPr>
              <w:spacing w:after="0"/>
              <w:rPr>
                <w:sz w:val="19"/>
                <w:szCs w:val="19"/>
                <w:color w:val="auto"/>
              </w:rPr>
            </w:pPr>
          </w:p>
        </w:tc>
        <w:tc>
          <w:tcPr>
            <w:tcW w:w="520" w:type="dxa"/>
            <w:vAlign w:val="bottom"/>
            <w:tcBorders>
              <w:bottom w:val="single" w:sz="8" w:color="006DB6"/>
            </w:tcBorders>
          </w:tcPr>
          <w:p>
            <w:pPr>
              <w:jc w:val="right"/>
              <w:ind w:right="85"/>
              <w:spacing w:after="0"/>
              <w:rPr>
                <w:sz w:val="20"/>
                <w:szCs w:val="20"/>
                <w:color w:val="auto"/>
              </w:rPr>
            </w:pPr>
            <w:r>
              <w:rPr>
                <w:rFonts w:ascii="Arial" w:cs="Arial" w:eastAsia="Arial" w:hAnsi="Arial"/>
                <w:sz w:val="14"/>
                <w:szCs w:val="14"/>
                <w:b w:val="1"/>
                <w:bCs w:val="1"/>
                <w:color w:val="706F6F"/>
              </w:rPr>
              <w:t>(#)</w:t>
            </w:r>
          </w:p>
        </w:tc>
        <w:tc>
          <w:tcPr>
            <w:tcW w:w="620" w:type="dxa"/>
            <w:vAlign w:val="bottom"/>
            <w:tcBorders>
              <w:bottom w:val="single" w:sz="8" w:color="006DB6"/>
            </w:tcBorders>
          </w:tcPr>
          <w:p>
            <w:pPr>
              <w:spacing w:after="0"/>
              <w:rPr>
                <w:sz w:val="19"/>
                <w:szCs w:val="19"/>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Vested ($)</w:t>
            </w:r>
          </w:p>
        </w:tc>
      </w:tr>
      <w:tr>
        <w:trPr>
          <w:trHeight w:val="239"/>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21,149</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483,255</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38,120</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871,042</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40,459</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924,488</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63,447</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(2)</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1,449,764</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57,181</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(4)</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1,306,586</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40,459</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(6)</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924,488</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Peter L. McCann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3,738</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85,413</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6,737</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153,940</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6,298</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143,909</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11,213</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(2)</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256,217</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10,105</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(4)</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230,899</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6,299</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(6)</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143,932</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2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5,104</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116,626</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9,200</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210,220</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9,166</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209,443</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15,313</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(2)</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349,902</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13,800</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(4)</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315,330</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9,167</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(6)</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209,466</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2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33"/>
        </w:trPr>
        <w:tc>
          <w:tcPr>
            <w:tcW w:w="2320" w:type="dxa"/>
            <w:vAlign w:val="bottom"/>
          </w:tcPr>
          <w:p>
            <w:pPr>
              <w:ind w:left="20"/>
              <w:spacing w:after="0"/>
              <w:rPr>
                <w:sz w:val="20"/>
                <w:szCs w:val="20"/>
                <w:color w:val="auto"/>
              </w:rPr>
            </w:pPr>
            <w:r>
              <w:rPr>
                <w:rFonts w:ascii="Arial" w:cs="Arial" w:eastAsia="Arial" w:hAnsi="Arial"/>
                <w:sz w:val="16"/>
                <w:szCs w:val="16"/>
                <w:b w:val="1"/>
                <w:bCs w:val="1"/>
                <w:color w:val="006DB6"/>
              </w:rPr>
              <w:t>Carolyn J. Stone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4,798</w:t>
            </w:r>
          </w:p>
        </w:tc>
        <w:tc>
          <w:tcPr>
            <w:tcW w:w="560" w:type="dxa"/>
            <w:vAlign w:val="bottom"/>
            <w:tcBorders>
              <w:bottom w:val="single" w:sz="8" w:color="auto"/>
            </w:tcBorders>
          </w:tcPr>
          <w:p>
            <w:pPr>
              <w:jc w:val="center"/>
              <w:ind w:right="285"/>
              <w:spacing w:after="0"/>
              <w:rPr>
                <w:sz w:val="20"/>
                <w:szCs w:val="20"/>
                <w:color w:val="auto"/>
              </w:rPr>
            </w:pPr>
            <w:r>
              <w:rPr>
                <w:rFonts w:ascii="Arial" w:cs="Arial" w:eastAsia="Arial" w:hAnsi="Arial"/>
                <w:sz w:val="11"/>
                <w:szCs w:val="11"/>
                <w:color w:val="auto"/>
              </w:rPr>
              <w:t>(1)</w:t>
            </w: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109,634</w:t>
            </w:r>
          </w:p>
        </w:tc>
        <w:tc>
          <w:tcPr>
            <w:tcW w:w="1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05"/>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10,962</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(3)</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250,482</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11,634</w:t>
            </w:r>
          </w:p>
        </w:tc>
        <w:tc>
          <w:tcPr>
            <w:tcW w:w="560" w:type="dxa"/>
            <w:vAlign w:val="bottom"/>
          </w:tcPr>
          <w:p>
            <w:pPr>
              <w:jc w:val="center"/>
              <w:ind w:right="285"/>
              <w:spacing w:after="0"/>
              <w:rPr>
                <w:sz w:val="20"/>
                <w:szCs w:val="20"/>
                <w:color w:val="auto"/>
              </w:rPr>
            </w:pPr>
            <w:r>
              <w:rPr>
                <w:rFonts w:ascii="Arial" w:cs="Arial" w:eastAsia="Arial" w:hAnsi="Arial"/>
                <w:sz w:val="11"/>
                <w:szCs w:val="11"/>
                <w:color w:val="auto"/>
              </w:rPr>
              <w:t>(5)</w:t>
            </w:r>
          </w:p>
        </w:tc>
        <w:tc>
          <w:tcPr>
            <w:tcW w:w="9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348"/>
              <w:spacing w:after="0"/>
              <w:rPr>
                <w:sz w:val="20"/>
                <w:szCs w:val="20"/>
                <w:color w:val="auto"/>
              </w:rPr>
            </w:pPr>
            <w:r>
              <w:rPr>
                <w:rFonts w:ascii="Arial" w:cs="Arial" w:eastAsia="Arial" w:hAnsi="Arial"/>
                <w:sz w:val="14"/>
                <w:szCs w:val="14"/>
                <w:color w:val="auto"/>
              </w:rPr>
              <w:t>265,837</w:t>
            </w:r>
          </w:p>
        </w:tc>
        <w:tc>
          <w:tcPr>
            <w:tcW w:w="1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14,394</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(2)</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328,903</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1"/>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16,443</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(4)</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375,723</w:t>
            </w:r>
          </w:p>
        </w:tc>
      </w:tr>
      <w:tr>
        <w:trPr>
          <w:trHeight w:val="22"/>
        </w:trPr>
        <w:tc>
          <w:tcPr>
            <w:tcW w:w="2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2"/>
        </w:trPr>
        <w:tc>
          <w:tcPr>
            <w:tcW w:w="2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11,635</w:t>
            </w:r>
          </w:p>
        </w:tc>
        <w:tc>
          <w:tcPr>
            <w:tcW w:w="520" w:type="dxa"/>
            <w:vAlign w:val="bottom"/>
          </w:tcPr>
          <w:p>
            <w:pPr>
              <w:jc w:val="right"/>
              <w:ind w:right="285"/>
              <w:spacing w:after="0"/>
              <w:rPr>
                <w:sz w:val="20"/>
                <w:szCs w:val="20"/>
                <w:color w:val="auto"/>
              </w:rPr>
            </w:pPr>
            <w:r>
              <w:rPr>
                <w:rFonts w:ascii="Arial" w:cs="Arial" w:eastAsia="Arial" w:hAnsi="Arial"/>
                <w:sz w:val="11"/>
                <w:szCs w:val="11"/>
                <w:color w:val="auto"/>
              </w:rPr>
              <w:t>(6)</w:t>
            </w: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265,860</w:t>
            </w: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60" w:right="2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February 22, 2021 that vests at the rate of 33.33% per year, with vesting dates of February 22, 2022, February 22, 2023 and February 22, 2024.</w:t>
      </w:r>
    </w:p>
    <w:p>
      <w:pPr>
        <w:spacing w:after="0" w:line="93" w:lineRule="exact"/>
        <w:rPr>
          <w:rFonts w:ascii="Arial" w:cs="Arial" w:eastAsia="Arial" w:hAnsi="Arial"/>
          <w:sz w:val="19"/>
          <w:szCs w:val="19"/>
          <w:color w:val="auto"/>
          <w:vertAlign w:val="superscript"/>
        </w:rPr>
      </w:pPr>
    </w:p>
    <w:p>
      <w:pPr>
        <w:ind w:left="260" w:right="3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February 22, 2021 that vests on February 22, 2024, which is reported assuming target level achievement of the relative TSR performance metric and the cumulative free cash flow performance hurdle.</w:t>
      </w:r>
    </w:p>
    <w:p>
      <w:pPr>
        <w:spacing w:after="0" w:line="80" w:lineRule="exact"/>
        <w:rPr>
          <w:rFonts w:ascii="Arial" w:cs="Arial" w:eastAsia="Arial" w:hAnsi="Arial"/>
          <w:sz w:val="19"/>
          <w:szCs w:val="19"/>
          <w:color w:val="auto"/>
          <w:vertAlign w:val="superscript"/>
        </w:rPr>
      </w:pPr>
    </w:p>
    <w:p>
      <w:pPr>
        <w:ind w:left="260" w:right="260" w:hanging="252"/>
        <w:spacing w:after="0" w:line="305" w:lineRule="auto"/>
        <w:tabs>
          <w:tab w:leader="none" w:pos="264" w:val="left"/>
        </w:tabs>
        <w:numPr>
          <w:ilvl w:val="0"/>
          <w:numId w:val="50"/>
        </w:numPr>
        <w:rPr>
          <w:rFonts w:ascii="Arial" w:cs="Arial" w:eastAsia="Arial" w:hAnsi="Arial"/>
          <w:sz w:val="9"/>
          <w:szCs w:val="9"/>
          <w:color w:val="auto"/>
        </w:rPr>
      </w:pPr>
      <w:r>
        <w:rPr>
          <w:rFonts w:ascii="Arial" w:cs="Arial" w:eastAsia="Arial" w:hAnsi="Arial"/>
          <w:sz w:val="14"/>
          <w:szCs w:val="14"/>
          <w:color w:val="auto"/>
        </w:rPr>
        <w:t>Phantom share units award of February 25, 2022 that vests at the rate of 33.33% per year, with vesting dates of February 25, 2023, February 25, 2024 and February 25, 2025.</w:t>
      </w:r>
    </w:p>
    <w:p>
      <w:pPr>
        <w:spacing w:after="0" w:line="49" w:lineRule="exact"/>
        <w:rPr>
          <w:rFonts w:ascii="Arial" w:cs="Arial" w:eastAsia="Arial" w:hAnsi="Arial"/>
          <w:sz w:val="9"/>
          <w:szCs w:val="9"/>
          <w:color w:val="auto"/>
        </w:rPr>
      </w:pPr>
    </w:p>
    <w:p>
      <w:pPr>
        <w:ind w:left="260" w:right="3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February 25, 2022 that vests on February 25, 2025, which is reported assuming target level achievement of the relative TSR performance metric and the cumulative operating cash flow performance hurdle.</w:t>
      </w:r>
    </w:p>
    <w:p>
      <w:pPr>
        <w:spacing w:after="0" w:line="93" w:lineRule="exact"/>
        <w:rPr>
          <w:rFonts w:ascii="Arial" w:cs="Arial" w:eastAsia="Arial" w:hAnsi="Arial"/>
          <w:sz w:val="19"/>
          <w:szCs w:val="19"/>
          <w:color w:val="auto"/>
          <w:vertAlign w:val="superscript"/>
        </w:rPr>
      </w:pPr>
    </w:p>
    <w:p>
      <w:pPr>
        <w:ind w:left="260" w:right="260" w:hanging="252"/>
        <w:spacing w:after="0" w:line="222"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Phantom share units award of February 23, 2023 that vests at the rate of 33.33% per year, with vesting dates of February 23, 2024, February 23, 2025 and February 23, 2026.</w:t>
      </w:r>
    </w:p>
    <w:p>
      <w:pPr>
        <w:spacing w:after="0" w:line="94" w:lineRule="exact"/>
        <w:rPr>
          <w:rFonts w:ascii="Arial" w:cs="Arial" w:eastAsia="Arial" w:hAnsi="Arial"/>
          <w:sz w:val="19"/>
          <w:szCs w:val="19"/>
          <w:color w:val="auto"/>
          <w:vertAlign w:val="superscript"/>
        </w:rPr>
      </w:pPr>
    </w:p>
    <w:p>
      <w:pPr>
        <w:ind w:left="260" w:right="360" w:hanging="252"/>
        <w:spacing w:after="0" w:line="231" w:lineRule="auto"/>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Performance share award of February 23, 2023 that vests on February 23, 2026, which is reported assuming target level achievement of the relative TSR performance metric and the cumulative operating cash flow performance hurdle.</w:t>
      </w:r>
    </w:p>
    <w:p>
      <w:pPr>
        <w:sectPr>
          <w:pgSz w:w="11900" w:h="16838" w:orient="portrait"/>
          <w:cols w:equalWidth="0" w:num="1">
            <w:col w:w="11240"/>
          </w:cols>
          <w:pgMar w:left="320" w:top="125" w:right="339" w:bottom="1440" w:gutter="0" w:footer="0" w:header="0"/>
        </w:sectPr>
      </w:pPr>
    </w:p>
    <w:p>
      <w:pPr>
        <w:spacing w:after="0" w:line="337" w:lineRule="exact"/>
        <w:rPr>
          <w:sz w:val="20"/>
          <w:szCs w:val="20"/>
          <w:color w:val="auto"/>
        </w:rPr>
      </w:pPr>
    </w:p>
    <w:p>
      <w:pPr>
        <w:ind w:left="9260"/>
        <w:spacing w:after="0"/>
        <w:tabs>
          <w:tab w:leader="none" w:pos="11040" w:val="left"/>
        </w:tabs>
        <w:rPr>
          <w:sz w:val="20"/>
          <w:szCs w:val="20"/>
          <w:color w:val="auto"/>
        </w:rPr>
      </w:pPr>
      <w:r>
        <w:rPr>
          <w:rFonts w:ascii="Arial" w:cs="Arial" w:eastAsia="Arial" w:hAnsi="Arial"/>
          <w:sz w:val="14"/>
          <w:szCs w:val="14"/>
          <w:color w:val="auto"/>
        </w:rPr>
        <w:t>2023 Proxy Statement</w:t>
      </w:r>
      <w:r>
        <w:rPr>
          <w:sz w:val="20"/>
          <w:szCs w:val="20"/>
          <w:color w:val="auto"/>
        </w:rPr>
        <w:tab/>
      </w:r>
      <w:r>
        <w:rPr>
          <w:rFonts w:ascii="Arial" w:cs="Arial" w:eastAsia="Arial" w:hAnsi="Arial"/>
          <w:sz w:val="14"/>
          <w:szCs w:val="14"/>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Stock Vested</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following table provides information for our NEOs for the period from January 1, 2023 to December 31, 2023 regarding the number of our common shares acquired upon the vesting of stock awards and the value realized, each before payment of any applicable withholding tax. No NEOs have any options outstanding or have exercised any options in the fiscal year. Reported values for the stock awards were calculated based on the number of stock awards vesting multiplied by the closing share price on the date of vesting.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00" w:type="dxa"/>
            <w:vAlign w:val="bottom"/>
          </w:tcPr>
          <w:p>
            <w:pPr>
              <w:spacing w:after="0"/>
              <w:rPr>
                <w:sz w:val="19"/>
                <w:szCs w:val="19"/>
                <w:color w:val="auto"/>
              </w:rPr>
            </w:pPr>
          </w:p>
        </w:tc>
        <w:tc>
          <w:tcPr>
            <w:tcW w:w="3960" w:type="dxa"/>
            <w:vAlign w:val="bottom"/>
            <w:tcBorders>
              <w:bottom w:val="single" w:sz="8" w:color="006DB6"/>
            </w:tcBorders>
          </w:tcPr>
          <w:p>
            <w:pPr>
              <w:jc w:val="right"/>
              <w:ind w:right="368"/>
              <w:spacing w:after="0"/>
              <w:rPr>
                <w:sz w:val="20"/>
                <w:szCs w:val="20"/>
                <w:color w:val="auto"/>
              </w:rPr>
            </w:pPr>
            <w:r>
              <w:rPr>
                <w:rFonts w:ascii="Arial" w:cs="Arial" w:eastAsia="Arial" w:hAnsi="Arial"/>
                <w:sz w:val="14"/>
                <w:szCs w:val="14"/>
                <w:b w:val="1"/>
                <w:bCs w:val="1"/>
                <w:color w:val="706F6F"/>
              </w:rPr>
              <w:t>Stock Awards</w:t>
            </w:r>
          </w:p>
        </w:tc>
        <w:tc>
          <w:tcPr>
            <w:tcW w:w="640" w:type="dxa"/>
            <w:vAlign w:val="bottom"/>
            <w:tcBorders>
              <w:bottom w:val="single" w:sz="8" w:color="006DB6"/>
            </w:tcBorders>
          </w:tcPr>
          <w:p>
            <w:pPr>
              <w:spacing w:after="0"/>
              <w:rPr>
                <w:sz w:val="19"/>
                <w:szCs w:val="19"/>
                <w:color w:val="auto"/>
              </w:rPr>
            </w:pPr>
          </w:p>
        </w:tc>
        <w:tc>
          <w:tcPr>
            <w:tcW w:w="1500" w:type="dxa"/>
            <w:vAlign w:val="bottom"/>
            <w:tcBorders>
              <w:bottom w:val="single" w:sz="8" w:color="006DB6"/>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3960" w:type="dxa"/>
            <w:vAlign w:val="bottom"/>
          </w:tcPr>
          <w:p>
            <w:pPr>
              <w:jc w:val="right"/>
              <w:ind w:right="1068"/>
              <w:spacing w:after="0"/>
              <w:rPr>
                <w:sz w:val="20"/>
                <w:szCs w:val="20"/>
                <w:color w:val="auto"/>
              </w:rPr>
            </w:pPr>
            <w:r>
              <w:rPr>
                <w:rFonts w:ascii="Arial" w:cs="Arial" w:eastAsia="Arial" w:hAnsi="Arial"/>
                <w:sz w:val="14"/>
                <w:szCs w:val="14"/>
                <w:b w:val="1"/>
                <w:bCs w:val="1"/>
                <w:color w:val="706F6F"/>
              </w:rPr>
              <w:t>Number of Shares</w:t>
            </w:r>
          </w:p>
        </w:tc>
        <w:tc>
          <w:tcPr>
            <w:tcW w:w="6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706F6F"/>
              </w:rPr>
              <w:t>Value</w:t>
            </w:r>
          </w:p>
        </w:tc>
        <w:tc>
          <w:tcPr>
            <w:tcW w:w="0" w:type="dxa"/>
            <w:vAlign w:val="bottom"/>
          </w:tcPr>
          <w:p>
            <w:pPr>
              <w:spacing w:after="0"/>
              <w:rPr>
                <w:sz w:val="1"/>
                <w:szCs w:val="1"/>
                <w:color w:val="auto"/>
              </w:rPr>
            </w:pPr>
          </w:p>
        </w:tc>
      </w:tr>
      <w:tr>
        <w:trPr>
          <w:trHeight w:val="176"/>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3960" w:type="dxa"/>
            <w:vAlign w:val="bottom"/>
          </w:tcPr>
          <w:p>
            <w:pPr>
              <w:jc w:val="right"/>
              <w:ind w:right="1068"/>
              <w:spacing w:after="0"/>
              <w:rPr>
                <w:sz w:val="20"/>
                <w:szCs w:val="20"/>
                <w:color w:val="auto"/>
              </w:rPr>
            </w:pPr>
            <w:r>
              <w:rPr>
                <w:rFonts w:ascii="Arial" w:cs="Arial" w:eastAsia="Arial" w:hAnsi="Arial"/>
                <w:sz w:val="14"/>
                <w:szCs w:val="14"/>
                <w:b w:val="1"/>
                <w:bCs w:val="1"/>
                <w:color w:val="706F6F"/>
              </w:rPr>
              <w:t>Acquired on Vesting</w:t>
            </w: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706F6F"/>
              </w:rPr>
              <w:t>Realized on Vesting</w:t>
            </w:r>
          </w:p>
        </w:tc>
        <w:tc>
          <w:tcPr>
            <w:tcW w:w="0" w:type="dxa"/>
            <w:vAlign w:val="bottom"/>
          </w:tcPr>
          <w:p>
            <w:pPr>
              <w:spacing w:after="0"/>
              <w:rPr>
                <w:sz w:val="1"/>
                <w:szCs w:val="1"/>
                <w:color w:val="auto"/>
              </w:rPr>
            </w:pPr>
          </w:p>
        </w:tc>
      </w:tr>
      <w:tr>
        <w:trPr>
          <w:trHeight w:val="205"/>
        </w:trPr>
        <w:tc>
          <w:tcPr>
            <w:tcW w:w="5000" w:type="dxa"/>
            <w:vAlign w:val="bottom"/>
            <w:tcBorders>
              <w:bottom w:val="single" w:sz="8" w:color="006DB6"/>
            </w:tcBorders>
            <w:vMerge w:val="continue"/>
          </w:tcPr>
          <w:p>
            <w:pPr>
              <w:spacing w:after="0"/>
              <w:rPr>
                <w:sz w:val="17"/>
                <w:szCs w:val="17"/>
                <w:color w:val="auto"/>
              </w:rPr>
            </w:pPr>
          </w:p>
        </w:tc>
        <w:tc>
          <w:tcPr>
            <w:tcW w:w="3960" w:type="dxa"/>
            <w:vAlign w:val="bottom"/>
            <w:tcBorders>
              <w:bottom w:val="single" w:sz="8" w:color="006DB6"/>
            </w:tcBorders>
          </w:tcPr>
          <w:p>
            <w:pPr>
              <w:jc w:val="right"/>
              <w:ind w:right="1068"/>
              <w:spacing w:after="0"/>
              <w:rPr>
                <w:sz w:val="20"/>
                <w:szCs w:val="20"/>
                <w:color w:val="auto"/>
              </w:rPr>
            </w:pPr>
            <w:r>
              <w:rPr>
                <w:rFonts w:ascii="Arial" w:cs="Arial" w:eastAsia="Arial" w:hAnsi="Arial"/>
                <w:sz w:val="14"/>
                <w:szCs w:val="14"/>
                <w:b w:val="1"/>
                <w:bCs w:val="1"/>
                <w:color w:val="706F6F"/>
              </w:rPr>
              <w:t>(#)</w:t>
            </w:r>
          </w:p>
        </w:tc>
        <w:tc>
          <w:tcPr>
            <w:tcW w:w="640" w:type="dxa"/>
            <w:vAlign w:val="bottom"/>
            <w:tcBorders>
              <w:bottom w:val="single" w:sz="8" w:color="006DB6"/>
            </w:tcBorders>
          </w:tcPr>
          <w:p>
            <w:pPr>
              <w:spacing w:after="0"/>
              <w:rPr>
                <w:sz w:val="17"/>
                <w:szCs w:val="17"/>
                <w:color w:val="auto"/>
              </w:rPr>
            </w:pPr>
          </w:p>
        </w:tc>
        <w:tc>
          <w:tcPr>
            <w:tcW w:w="15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w:t>
            </w:r>
          </w:p>
        </w:tc>
        <w:tc>
          <w:tcPr>
            <w:tcW w:w="0" w:type="dxa"/>
            <w:vAlign w:val="bottom"/>
          </w:tcPr>
          <w:p>
            <w:pPr>
              <w:spacing w:after="0"/>
              <w:rPr>
                <w:sz w:val="1"/>
                <w:szCs w:val="1"/>
                <w:color w:val="auto"/>
              </w:rPr>
            </w:pPr>
          </w:p>
        </w:tc>
      </w:tr>
      <w:tr>
        <w:trPr>
          <w:trHeight w:val="239"/>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66,646</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2,084,413</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10,854</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339,788</w:t>
            </w:r>
          </w:p>
        </w:tc>
        <w:tc>
          <w:tcPr>
            <w:tcW w:w="0" w:type="dxa"/>
            <w:vAlign w:val="bottom"/>
          </w:tcPr>
          <w:p>
            <w:pPr>
              <w:spacing w:after="0"/>
              <w:rPr>
                <w:sz w:val="1"/>
                <w:szCs w:val="1"/>
                <w:color w:val="auto"/>
              </w:rPr>
            </w:pPr>
          </w:p>
        </w:tc>
      </w:tr>
      <w:tr>
        <w:trPr>
          <w:trHeight w:val="237"/>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15,346</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480,215</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396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15,646</w:t>
            </w: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489,161</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Non-Qualified Deferred Compensation</w:t>
      </w:r>
    </w:p>
    <w:p>
      <w:pPr>
        <w:spacing w:after="0" w:line="14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Civeo maintains a non-qualified defined contribution style of plan in Canada in which Mr. Schoening is a participant. The investment alternatives available under such Canadian non-qualified deferred compensation plan during 2023 were the same mutual funds available to all employees under the Canadian non-qualified deferred compensation plan. Selection of these funds are at the discretion of the executive. Payout terms, withdrawals and other distributions are made at the discretion of the executive subject to corresponding plan terms and conditions.</w:t>
      </w:r>
    </w:p>
    <w:p>
      <w:pPr>
        <w:spacing w:after="0" w:line="6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Detailed below is 2023 activity in the Canadian non-qualified Deferred Compensation Plan for Mr. Schoening. All amounts listed below for Mr. Schoening have been converted to U.S. dollars using an exchange rate of $0.7411. Messrs. Dodson and McCann and Ms. Stone did not participate in this plan or any other non-qualified deferred compensation plan during 2023.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706F6F"/>
              </w:rPr>
              <w:t>Executive</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706F6F"/>
              </w:rPr>
              <w:t>Registrant</w:t>
            </w:r>
          </w:p>
        </w:tc>
        <w:tc>
          <w:tcPr>
            <w:tcW w:w="186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706F6F"/>
              </w:rPr>
              <w:t>Aggregate Earnings</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Aggregate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Aggregate Balance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706F6F"/>
              </w:rPr>
              <w:t>Contributions in</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706F6F"/>
              </w:rPr>
              <w:t>Contribution in</w:t>
            </w:r>
          </w:p>
        </w:tc>
        <w:tc>
          <w:tcPr>
            <w:tcW w:w="620" w:type="dxa"/>
            <w:vAlign w:val="bottom"/>
          </w:tcPr>
          <w:p>
            <w:pPr>
              <w:spacing w:after="0"/>
              <w:rPr>
                <w:sz w:val="15"/>
                <w:szCs w:val="15"/>
                <w:color w:val="auto"/>
              </w:rPr>
            </w:pPr>
          </w:p>
        </w:tc>
        <w:tc>
          <w:tcPr>
            <w:tcW w:w="1240" w:type="dxa"/>
            <w:vAlign w:val="bottom"/>
          </w:tcPr>
          <w:p>
            <w:pPr>
              <w:jc w:val="right"/>
              <w:ind w:right="206"/>
              <w:spacing w:after="0"/>
              <w:rPr>
                <w:sz w:val="20"/>
                <w:szCs w:val="20"/>
                <w:color w:val="auto"/>
              </w:rPr>
            </w:pPr>
            <w:r>
              <w:rPr>
                <w:rFonts w:ascii="Arial" w:cs="Arial" w:eastAsia="Arial" w:hAnsi="Arial"/>
                <w:sz w:val="14"/>
                <w:szCs w:val="14"/>
                <w:b w:val="1"/>
                <w:bCs w:val="1"/>
                <w:color w:val="706F6F"/>
              </w:rPr>
              <w:t>(Loss) in Last</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Withdrawals/</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At Last Fiscal</w:t>
            </w:r>
          </w:p>
        </w:tc>
        <w:tc>
          <w:tcPr>
            <w:tcW w:w="0" w:type="dxa"/>
            <w:vAlign w:val="bottom"/>
          </w:tcPr>
          <w:p>
            <w:pPr>
              <w:spacing w:after="0"/>
              <w:rPr>
                <w:sz w:val="1"/>
                <w:szCs w:val="1"/>
                <w:color w:val="auto"/>
              </w:rPr>
            </w:pPr>
          </w:p>
        </w:tc>
      </w:tr>
      <w:tr>
        <w:trPr>
          <w:trHeight w:val="173"/>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706F6F"/>
              </w:rPr>
              <w:t>Name</w:t>
            </w:r>
          </w:p>
        </w:tc>
        <w:tc>
          <w:tcPr>
            <w:tcW w:w="2180" w:type="dxa"/>
            <w:vAlign w:val="bottom"/>
          </w:tcPr>
          <w:p>
            <w:pPr>
              <w:jc w:val="right"/>
              <w:ind w:right="166"/>
              <w:spacing w:after="0"/>
              <w:rPr>
                <w:sz w:val="20"/>
                <w:szCs w:val="20"/>
                <w:color w:val="auto"/>
              </w:rPr>
            </w:pPr>
            <w:r>
              <w:rPr>
                <w:rFonts w:ascii="Arial" w:cs="Arial" w:eastAsia="Arial" w:hAnsi="Arial"/>
                <w:sz w:val="14"/>
                <w:szCs w:val="14"/>
                <w:b w:val="1"/>
                <w:bCs w:val="1"/>
                <w:color w:val="706F6F"/>
              </w:rPr>
              <w:t>Last Fiscal Year</w:t>
            </w:r>
          </w:p>
        </w:tc>
        <w:tc>
          <w:tcPr>
            <w:tcW w:w="1560" w:type="dxa"/>
            <w:vAlign w:val="bottom"/>
          </w:tcPr>
          <w:p>
            <w:pPr>
              <w:jc w:val="right"/>
              <w:ind w:right="146"/>
              <w:spacing w:after="0"/>
              <w:rPr>
                <w:sz w:val="20"/>
                <w:szCs w:val="20"/>
                <w:color w:val="auto"/>
              </w:rPr>
            </w:pPr>
            <w:r>
              <w:rPr>
                <w:rFonts w:ascii="Arial" w:cs="Arial" w:eastAsia="Arial" w:hAnsi="Arial"/>
                <w:sz w:val="14"/>
                <w:szCs w:val="14"/>
                <w:b w:val="1"/>
                <w:bCs w:val="1"/>
                <w:color w:val="706F6F"/>
              </w:rPr>
              <w:t>Last Fiscal Year</w:t>
            </w:r>
          </w:p>
        </w:tc>
        <w:tc>
          <w:tcPr>
            <w:tcW w:w="620" w:type="dxa"/>
            <w:vAlign w:val="bottom"/>
          </w:tcPr>
          <w:p>
            <w:pPr>
              <w:spacing w:after="0"/>
              <w:rPr>
                <w:sz w:val="15"/>
                <w:szCs w:val="15"/>
                <w:color w:val="auto"/>
              </w:rPr>
            </w:pPr>
          </w:p>
        </w:tc>
        <w:tc>
          <w:tcPr>
            <w:tcW w:w="1240" w:type="dxa"/>
            <w:vAlign w:val="bottom"/>
          </w:tcPr>
          <w:p>
            <w:pPr>
              <w:jc w:val="right"/>
              <w:ind w:right="206"/>
              <w:spacing w:after="0"/>
              <w:rPr>
                <w:sz w:val="20"/>
                <w:szCs w:val="20"/>
                <w:color w:val="auto"/>
              </w:rPr>
            </w:pPr>
            <w:r>
              <w:rPr>
                <w:rFonts w:ascii="Arial" w:cs="Arial" w:eastAsia="Arial" w:hAnsi="Arial"/>
                <w:sz w:val="14"/>
                <w:szCs w:val="14"/>
                <w:b w:val="1"/>
                <w:bCs w:val="1"/>
                <w:color w:val="706F6F"/>
              </w:rPr>
              <w:t>Fiscal Year</w:t>
            </w:r>
          </w:p>
        </w:tc>
        <w:tc>
          <w:tcPr>
            <w:tcW w:w="1440" w:type="dxa"/>
            <w:vAlign w:val="bottom"/>
          </w:tcPr>
          <w:p>
            <w:pPr>
              <w:jc w:val="right"/>
              <w:ind w:right="186"/>
              <w:spacing w:after="0"/>
              <w:rPr>
                <w:sz w:val="20"/>
                <w:szCs w:val="20"/>
                <w:color w:val="auto"/>
              </w:rPr>
            </w:pPr>
            <w:r>
              <w:rPr>
                <w:rFonts w:ascii="Arial" w:cs="Arial" w:eastAsia="Arial" w:hAnsi="Arial"/>
                <w:sz w:val="14"/>
                <w:szCs w:val="14"/>
                <w:b w:val="1"/>
                <w:bCs w:val="1"/>
                <w:color w:val="706F6F"/>
              </w:rPr>
              <w:t>Distributions</w:t>
            </w:r>
          </w:p>
        </w:tc>
        <w:tc>
          <w:tcPr>
            <w:tcW w:w="6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706F6F"/>
              </w:rPr>
              <w:t>Year End</w:t>
            </w:r>
          </w:p>
        </w:tc>
        <w:tc>
          <w:tcPr>
            <w:tcW w:w="0" w:type="dxa"/>
            <w:vAlign w:val="bottom"/>
          </w:tcPr>
          <w:p>
            <w:pPr>
              <w:spacing w:after="0"/>
              <w:rPr>
                <w:sz w:val="1"/>
                <w:szCs w:val="1"/>
                <w:color w:val="auto"/>
              </w:rPr>
            </w:pPr>
          </w:p>
        </w:tc>
      </w:tr>
      <w:tr>
        <w:trPr>
          <w:trHeight w:val="208"/>
        </w:trPr>
        <w:tc>
          <w:tcPr>
            <w:tcW w:w="2320" w:type="dxa"/>
            <w:vAlign w:val="bottom"/>
            <w:tcBorders>
              <w:bottom w:val="single" w:sz="8" w:color="006DB6"/>
            </w:tcBorders>
            <w:vMerge w:val="continue"/>
          </w:tcPr>
          <w:p>
            <w:pPr>
              <w:spacing w:after="0"/>
              <w:rPr>
                <w:sz w:val="18"/>
                <w:szCs w:val="18"/>
                <w:color w:val="auto"/>
              </w:rPr>
            </w:pPr>
          </w:p>
        </w:tc>
        <w:tc>
          <w:tcPr>
            <w:tcW w:w="2180" w:type="dxa"/>
            <w:vAlign w:val="bottom"/>
            <w:tcBorders>
              <w:bottom w:val="single" w:sz="8" w:color="006DB6"/>
            </w:tcBorders>
          </w:tcPr>
          <w:p>
            <w:pPr>
              <w:jc w:val="right"/>
              <w:ind w:right="166"/>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(1)</w:t>
            </w:r>
          </w:p>
        </w:tc>
        <w:tc>
          <w:tcPr>
            <w:tcW w:w="1560" w:type="dxa"/>
            <w:vAlign w:val="bottom"/>
            <w:tcBorders>
              <w:bottom w:val="single" w:sz="8" w:color="006DB6"/>
            </w:tcBorders>
          </w:tcPr>
          <w:p>
            <w:pPr>
              <w:jc w:val="right"/>
              <w:ind w:right="146"/>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(2)</w:t>
            </w:r>
          </w:p>
        </w:tc>
        <w:tc>
          <w:tcPr>
            <w:tcW w:w="620" w:type="dxa"/>
            <w:vAlign w:val="bottom"/>
            <w:tcBorders>
              <w:bottom w:val="single" w:sz="8" w:color="006DB6"/>
            </w:tcBorders>
          </w:tcPr>
          <w:p>
            <w:pPr>
              <w:spacing w:after="0"/>
              <w:rPr>
                <w:sz w:val="18"/>
                <w:szCs w:val="18"/>
                <w:color w:val="auto"/>
              </w:rPr>
            </w:pPr>
          </w:p>
        </w:tc>
        <w:tc>
          <w:tcPr>
            <w:tcW w:w="1240" w:type="dxa"/>
            <w:vAlign w:val="bottom"/>
            <w:tcBorders>
              <w:bottom w:val="single" w:sz="8" w:color="006DB6"/>
            </w:tcBorders>
          </w:tcPr>
          <w:p>
            <w:pPr>
              <w:jc w:val="right"/>
              <w:ind w:right="206"/>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(3)</w:t>
            </w:r>
          </w:p>
        </w:tc>
        <w:tc>
          <w:tcPr>
            <w:tcW w:w="1440" w:type="dxa"/>
            <w:vAlign w:val="bottom"/>
            <w:tcBorders>
              <w:bottom w:val="single" w:sz="8" w:color="006DB6"/>
            </w:tcBorders>
          </w:tcPr>
          <w:p>
            <w:pPr>
              <w:jc w:val="right"/>
              <w:ind w:right="186"/>
              <w:spacing w:after="0"/>
              <w:rPr>
                <w:sz w:val="20"/>
                <w:szCs w:val="20"/>
                <w:color w:val="auto"/>
              </w:rPr>
            </w:pPr>
            <w:r>
              <w:rPr>
                <w:rFonts w:ascii="Arial" w:cs="Arial" w:eastAsia="Arial" w:hAnsi="Arial"/>
                <w:sz w:val="14"/>
                <w:szCs w:val="14"/>
                <w:b w:val="1"/>
                <w:bCs w:val="1"/>
                <w:color w:val="706F6F"/>
              </w:rPr>
              <w:t>($)</w:t>
            </w:r>
          </w:p>
        </w:tc>
        <w:tc>
          <w:tcPr>
            <w:tcW w:w="600" w:type="dxa"/>
            <w:vAlign w:val="bottom"/>
            <w:tcBorders>
              <w:bottom w:val="single" w:sz="8" w:color="006DB6"/>
            </w:tcBorders>
          </w:tcPr>
          <w:p>
            <w:pPr>
              <w:spacing w:after="0"/>
              <w:rPr>
                <w:sz w:val="18"/>
                <w:szCs w:val="18"/>
                <w:color w:val="auto"/>
              </w:rPr>
            </w:pPr>
          </w:p>
        </w:tc>
        <w:tc>
          <w:tcPr>
            <w:tcW w:w="1000" w:type="dxa"/>
            <w:vAlign w:val="bottom"/>
            <w:tcBorders>
              <w:bottom w:val="single" w:sz="8" w:color="006DB6"/>
            </w:tcBorders>
          </w:tcPr>
          <w:p>
            <w:pPr>
              <w:jc w:val="right"/>
              <w:spacing w:after="0" w:line="201" w:lineRule="exact"/>
              <w:rPr>
                <w:sz w:val="20"/>
                <w:szCs w:val="20"/>
                <w:color w:val="auto"/>
              </w:rPr>
            </w:pPr>
            <w:r>
              <w:rPr>
                <w:rFonts w:ascii="Arial" w:cs="Arial" w:eastAsia="Arial" w:hAnsi="Arial"/>
                <w:sz w:val="14"/>
                <w:szCs w:val="14"/>
                <w:b w:val="1"/>
                <w:bCs w:val="1"/>
                <w:color w:val="706F6F"/>
              </w:rPr>
              <w:t>($)</w:t>
            </w:r>
            <w:r>
              <w:rPr>
                <w:rFonts w:ascii="Arial" w:cs="Arial" w:eastAsia="Arial" w:hAnsi="Arial"/>
                <w:sz w:val="18"/>
                <w:szCs w:val="18"/>
                <w:b w:val="1"/>
                <w:bCs w:val="1"/>
                <w:color w:val="706F6F"/>
                <w:vertAlign w:val="superscript"/>
              </w:rPr>
              <w:t>(4)</w:t>
            </w:r>
          </w:p>
        </w:tc>
        <w:tc>
          <w:tcPr>
            <w:tcW w:w="0" w:type="dxa"/>
            <w:vAlign w:val="bottom"/>
          </w:tcPr>
          <w:p>
            <w:pPr>
              <w:spacing w:after="0"/>
              <w:rPr>
                <w:sz w:val="1"/>
                <w:szCs w:val="1"/>
                <w:color w:val="auto"/>
              </w:rPr>
            </w:pPr>
          </w:p>
        </w:tc>
      </w:tr>
      <w:tr>
        <w:trPr>
          <w:trHeight w:val="23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218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color w:val="auto"/>
              </w:rPr>
              <w:t>$   39,245</w:t>
            </w:r>
          </w:p>
        </w:tc>
        <w:tc>
          <w:tcPr>
            <w:tcW w:w="156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color w:val="auto"/>
              </w:rPr>
              <w:t>$   30,359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color w:val="auto"/>
              </w:rPr>
              <w:t>58,270</w:t>
            </w:r>
          </w:p>
        </w:tc>
        <w:tc>
          <w:tcPr>
            <w:tcW w:w="144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474,623</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60" w:right="600" w:hanging="252"/>
        <w:spacing w:after="0" w:line="231"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All contribution amounts for the last fiscal year reported in this table are also included in the “Salary” and “Non-Equity Incentive Plan Compensation” columns in the Summary Compensation Table for 2023.</w:t>
      </w:r>
    </w:p>
    <w:p>
      <w:pPr>
        <w:spacing w:after="0" w:line="2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The $30,359 reported for Mr. Schoening in this column is also included in the “All Other Compensation” column of the Summary Compensation Table for 2023.</w:t>
      </w:r>
    </w:p>
    <w:p>
      <w:pPr>
        <w:spacing w:after="0" w:line="57" w:lineRule="exact"/>
        <w:rPr>
          <w:rFonts w:ascii="Arial" w:cs="Arial" w:eastAsia="Arial" w:hAnsi="Arial"/>
          <w:sz w:val="19"/>
          <w:szCs w:val="19"/>
          <w:color w:val="auto"/>
          <w:vertAlign w:val="superscript"/>
        </w:rPr>
      </w:pPr>
    </w:p>
    <w:p>
      <w:pPr>
        <w:ind w:left="260" w:right="200" w:hanging="252"/>
        <w:spacing w:after="0" w:line="228" w:lineRule="auto"/>
        <w:tabs>
          <w:tab w:leader="none" w:pos="264"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This column represents net unrealized appreciation, loss, dividends and distributions for Mr. Schoening for mutual fund investments for 2023 associated with investments held in the Canadian non-qualified deferred compensation plan and is not reported in the Summary Compensation Table as such amount is not above-market.</w:t>
      </w:r>
    </w:p>
    <w:p>
      <w:pPr>
        <w:spacing w:after="0" w:line="6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$270,901 of the aggregate balance was reported for Mr. Schoening previously as compensation in our “Summary Compensation Table” in prior years’ proxy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382270</wp:posOffset>
            </wp:positionV>
            <wp:extent cx="394335" cy="1968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Potential Payments upon Termination or Change of Control</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table below reflects the amount of compensation that would have been payable to Messrs. Dodson, Schoening, McCann and Ms. Stone in the event of a qualified termination on December 31, 2023,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have been payable to Messrs. Dodson and McCann in the event of a qualified termination not in connection with a “Change of Control” (as defined in their Executive Agreements) and to Mr. Schoening in the event of a termination without Cause not in connection with a Change of Control pursuant to his Retention Agreement. Mr. Schoening’s (and, prior to her termination, Ms. Stone’s) Change of Control Agreements do not provide for any severance benefits on a termination not in connection with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amounts shown in the table assume that such qualified termination was effective as of December 31, 2023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and Mr. Schoening's Retention Agreement, see “Compensation Discussion and Analysis—Executive and Change of Control Agreements.”</w:t>
      </w:r>
    </w:p>
    <w:p>
      <w:pPr>
        <w:spacing w:after="0" w:line="60"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For purposes of the Executive Agreements and the Retention Agreement,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the executive’s principal place of employment more than 50 miles from its previous location.</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spacing w:after="0" w:line="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As previously disclosed, the Company terminated Ms. Stone’s employment without Cause on March 4, 2024. In connection with such termination, Ms. Stone and the Company entered into the Stone Separation Agreement, under which she will receive the payments and benefits set forth above under “Compensation Discussion and Analysis—Executive and Change of Control Agreements—Carolyn Stone Separation.”</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Equity Awards</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Civeo phantom unit awards provide that such awards become fully vested on the termination of an employee’s employment due to the employee's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5"/>
          <w:szCs w:val="25"/>
          <w:b w:val="1"/>
          <w:bCs w:val="1"/>
          <w:color w:val="FFC03C"/>
        </w:rPr>
        <w:t>Quantification of Payments</w:t>
      </w:r>
    </w:p>
    <w:p>
      <w:pPr>
        <w:spacing w:after="0" w:line="12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Shown in the table below are potential payments upon the assumed (i) involuntary not for Cause termination of the named executive officer by Civeo on December 31, 2023, other than during the 24-month period following a Change of Control ("NFC" in table below), (ii) involuntary not for Cause termination or termination by the named executive officer for Good Reason, in either case, during the 24-month period (for Mr. Dodson) or 18-month period (in the case of Messrs. McCann or Schoening or Ms. Stone) following a Change of Control, occurring as of December 31, 2023 ("CIC" in the table below), or (iii) termination as a result of death, disability, or qualifying retirement on December 31, 2023, ("DDR" in the table below). None of Mr. Dodson’s potential payments as of December 31, 2023 would trigger a gross-up payment for excise taxes that would be reimbursed under his Executive Agreement.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60" w:type="dxa"/>
            <w:vAlign w:val="bottom"/>
          </w:tcPr>
          <w:p>
            <w:pPr>
              <w:spacing w:after="0"/>
              <w:rPr>
                <w:sz w:val="19"/>
                <w:szCs w:val="19"/>
                <w:color w:val="auto"/>
              </w:rPr>
            </w:pPr>
          </w:p>
        </w:tc>
        <w:tc>
          <w:tcPr>
            <w:tcW w:w="36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spacing w:after="0"/>
              <w:rPr>
                <w:sz w:val="19"/>
                <w:szCs w:val="19"/>
                <w:color w:val="auto"/>
              </w:rPr>
            </w:pPr>
          </w:p>
        </w:tc>
        <w:tc>
          <w:tcPr>
            <w:tcW w:w="1360" w:type="dxa"/>
            <w:vAlign w:val="bottom"/>
            <w:tcBorders>
              <w:bottom w:val="single" w:sz="8" w:color="006DB6"/>
            </w:tcBorders>
            <w:gridSpan w:val="2"/>
          </w:tcPr>
          <w:p>
            <w:pPr>
              <w:jc w:val="right"/>
              <w:spacing w:after="0"/>
              <w:rPr>
                <w:sz w:val="20"/>
                <w:szCs w:val="20"/>
                <w:color w:val="auto"/>
              </w:rPr>
            </w:pPr>
            <w:r>
              <w:rPr>
                <w:rFonts w:ascii="Arial" w:cs="Arial" w:eastAsia="Arial" w:hAnsi="Arial"/>
                <w:sz w:val="14"/>
                <w:szCs w:val="14"/>
                <w:b w:val="1"/>
                <w:bCs w:val="1"/>
                <w:color w:val="706F6F"/>
              </w:rPr>
              <w:t>Bradley J. Dodson</w:t>
            </w:r>
          </w:p>
        </w:tc>
        <w:tc>
          <w:tcPr>
            <w:tcW w:w="260" w:type="dxa"/>
            <w:vAlign w:val="bottom"/>
            <w:tcBorders>
              <w:bottom w:val="single" w:sz="8" w:color="006DB6"/>
            </w:tcBorders>
          </w:tcPr>
          <w:p>
            <w:pPr>
              <w:spacing w:after="0"/>
              <w:rPr>
                <w:sz w:val="19"/>
                <w:szCs w:val="19"/>
                <w:color w:val="auto"/>
              </w:rPr>
            </w:pPr>
          </w:p>
        </w:tc>
        <w:tc>
          <w:tcPr>
            <w:tcW w:w="920" w:type="dxa"/>
            <w:vAlign w:val="bottom"/>
            <w:tcBorders>
              <w:bottom w:val="single" w:sz="8" w:color="006DB6"/>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006DB6"/>
            </w:tcBorders>
          </w:tcPr>
          <w:p>
            <w:pPr>
              <w:spacing w:after="0"/>
              <w:rPr>
                <w:sz w:val="19"/>
                <w:szCs w:val="19"/>
                <w:color w:val="auto"/>
              </w:rPr>
            </w:pPr>
          </w:p>
        </w:tc>
        <w:tc>
          <w:tcPr>
            <w:tcW w:w="860" w:type="dxa"/>
            <w:vAlign w:val="bottom"/>
            <w:tcBorders>
              <w:bottom w:val="single" w:sz="8" w:color="006DB6"/>
            </w:tcBorders>
          </w:tcPr>
          <w:p>
            <w:pPr>
              <w:spacing w:after="0"/>
              <w:rPr>
                <w:sz w:val="19"/>
                <w:szCs w:val="19"/>
                <w:color w:val="auto"/>
              </w:rPr>
            </w:pPr>
          </w:p>
        </w:tc>
        <w:tc>
          <w:tcPr>
            <w:tcW w:w="1340" w:type="dxa"/>
            <w:vAlign w:val="bottom"/>
            <w:tcBorders>
              <w:bottom w:val="single" w:sz="8" w:color="006DB6"/>
            </w:tcBorders>
            <w:gridSpan w:val="2"/>
          </w:tcPr>
          <w:p>
            <w:pPr>
              <w:jc w:val="right"/>
              <w:ind w:right="40"/>
              <w:spacing w:after="0"/>
              <w:rPr>
                <w:sz w:val="20"/>
                <w:szCs w:val="20"/>
                <w:color w:val="auto"/>
              </w:rPr>
            </w:pPr>
            <w:r>
              <w:rPr>
                <w:rFonts w:ascii="Arial" w:cs="Arial" w:eastAsia="Arial" w:hAnsi="Arial"/>
                <w:sz w:val="14"/>
                <w:szCs w:val="14"/>
                <w:b w:val="1"/>
                <w:bCs w:val="1"/>
                <w:color w:val="706F6F"/>
              </w:rPr>
              <w:t>Carolyn J. Stone</w:t>
            </w:r>
          </w:p>
        </w:tc>
        <w:tc>
          <w:tcPr>
            <w:tcW w:w="240" w:type="dxa"/>
            <w:vAlign w:val="bottom"/>
            <w:tcBorders>
              <w:bottom w:val="single" w:sz="8" w:color="006DB6"/>
            </w:tcBorders>
          </w:tcPr>
          <w:p>
            <w:pPr>
              <w:spacing w:after="0"/>
              <w:rPr>
                <w:sz w:val="19"/>
                <w:szCs w:val="19"/>
                <w:color w:val="auto"/>
              </w:rPr>
            </w:pPr>
          </w:p>
        </w:tc>
        <w:tc>
          <w:tcPr>
            <w:tcW w:w="900" w:type="dxa"/>
            <w:vAlign w:val="bottom"/>
            <w:tcBorders>
              <w:bottom w:val="single" w:sz="8" w:color="006DB6"/>
            </w:tcBorders>
          </w:tcPr>
          <w:p>
            <w:pPr>
              <w:spacing w:after="0"/>
              <w:rPr>
                <w:sz w:val="19"/>
                <w:szCs w:val="19"/>
                <w:color w:val="auto"/>
              </w:rPr>
            </w:pPr>
          </w:p>
        </w:tc>
      </w:tr>
      <w:tr>
        <w:trPr>
          <w:trHeight w:val="237"/>
        </w:trPr>
        <w:tc>
          <w:tcPr>
            <w:tcW w:w="3560" w:type="dxa"/>
            <w:vAlign w:val="bottom"/>
            <w:tcBorders>
              <w:bottom w:val="single" w:sz="8" w:color="006DB6"/>
            </w:tcBorders>
          </w:tcPr>
          <w:p>
            <w:pPr>
              <w:spacing w:after="0"/>
              <w:rPr>
                <w:sz w:val="20"/>
                <w:szCs w:val="20"/>
                <w:color w:val="auto"/>
              </w:rPr>
            </w:pPr>
          </w:p>
        </w:tc>
        <w:tc>
          <w:tcPr>
            <w:tcW w:w="360" w:type="dxa"/>
            <w:vAlign w:val="bottom"/>
            <w:tcBorders>
              <w:bottom w:val="single" w:sz="8" w:color="006DB6"/>
            </w:tcBorders>
          </w:tcPr>
          <w:p>
            <w:pPr>
              <w:spacing w:after="0"/>
              <w:rPr>
                <w:sz w:val="20"/>
                <w:szCs w:val="20"/>
                <w:color w:val="auto"/>
              </w:rPr>
            </w:pPr>
          </w:p>
        </w:tc>
        <w:tc>
          <w:tcPr>
            <w:tcW w:w="900" w:type="dxa"/>
            <w:vAlign w:val="bottom"/>
            <w:tcBorders>
              <w:bottom w:val="single" w:sz="8" w:color="006DB6"/>
            </w:tcBorders>
          </w:tcPr>
          <w:p>
            <w:pPr>
              <w:jc w:val="right"/>
              <w:ind w:right="401"/>
              <w:spacing w:after="0"/>
              <w:rPr>
                <w:sz w:val="20"/>
                <w:szCs w:val="20"/>
                <w:color w:val="auto"/>
              </w:rPr>
            </w:pPr>
            <w:r>
              <w:rPr>
                <w:rFonts w:ascii="Arial" w:cs="Arial" w:eastAsia="Arial" w:hAnsi="Arial"/>
                <w:sz w:val="14"/>
                <w:szCs w:val="14"/>
                <w:b w:val="1"/>
                <w:bCs w:val="1"/>
                <w:color w:val="706F6F"/>
              </w:rPr>
              <w:t>NFC</w:t>
            </w:r>
          </w:p>
        </w:tc>
        <w:tc>
          <w:tcPr>
            <w:tcW w:w="38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tcPr>
          <w:p>
            <w:pPr>
              <w:jc w:val="right"/>
              <w:ind w:right="520"/>
              <w:spacing w:after="0"/>
              <w:rPr>
                <w:sz w:val="20"/>
                <w:szCs w:val="20"/>
                <w:color w:val="auto"/>
              </w:rPr>
            </w:pPr>
            <w:r>
              <w:rPr>
                <w:rFonts w:ascii="Arial" w:cs="Arial" w:eastAsia="Arial" w:hAnsi="Arial"/>
                <w:sz w:val="14"/>
                <w:szCs w:val="14"/>
                <w:b w:val="1"/>
                <w:bCs w:val="1"/>
                <w:color w:val="706F6F"/>
              </w:rPr>
              <w:t>CIC</w:t>
            </w:r>
          </w:p>
        </w:tc>
        <w:tc>
          <w:tcPr>
            <w:tcW w:w="260" w:type="dxa"/>
            <w:vAlign w:val="bottom"/>
            <w:tcBorders>
              <w:bottom w:val="single" w:sz="8" w:color="006DB6"/>
            </w:tcBorders>
          </w:tcPr>
          <w:p>
            <w:pPr>
              <w:spacing w:after="0"/>
              <w:rPr>
                <w:sz w:val="20"/>
                <w:szCs w:val="20"/>
                <w:color w:val="auto"/>
              </w:rPr>
            </w:pPr>
          </w:p>
        </w:tc>
        <w:tc>
          <w:tcPr>
            <w:tcW w:w="1060" w:type="dxa"/>
            <w:vAlign w:val="bottom"/>
            <w:tcBorders>
              <w:bottom w:val="single" w:sz="8" w:color="006DB6"/>
            </w:tcBorders>
            <w:gridSpan w:val="2"/>
          </w:tcPr>
          <w:p>
            <w:pPr>
              <w:ind w:left="140"/>
              <w:spacing w:after="0"/>
              <w:rPr>
                <w:sz w:val="20"/>
                <w:szCs w:val="20"/>
                <w:color w:val="auto"/>
              </w:rPr>
            </w:pPr>
            <w:r>
              <w:rPr>
                <w:rFonts w:ascii="Arial" w:cs="Arial" w:eastAsia="Arial" w:hAnsi="Arial"/>
                <w:sz w:val="14"/>
                <w:szCs w:val="14"/>
                <w:b w:val="1"/>
                <w:bCs w:val="1"/>
                <w:color w:val="706F6F"/>
              </w:rPr>
              <w:t>DDR</w:t>
            </w:r>
          </w:p>
        </w:tc>
        <w:tc>
          <w:tcPr>
            <w:tcW w:w="30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60"/>
              <w:spacing w:after="0"/>
              <w:rPr>
                <w:sz w:val="20"/>
                <w:szCs w:val="20"/>
                <w:color w:val="auto"/>
              </w:rPr>
            </w:pPr>
            <w:r>
              <w:rPr>
                <w:rFonts w:ascii="Arial" w:cs="Arial" w:eastAsia="Arial" w:hAnsi="Arial"/>
                <w:sz w:val="14"/>
                <w:szCs w:val="14"/>
                <w:b w:val="1"/>
                <w:bCs w:val="1"/>
                <w:color w:val="706F6F"/>
              </w:rPr>
              <w:t>NFC</w:t>
            </w:r>
          </w:p>
        </w:tc>
        <w:tc>
          <w:tcPr>
            <w:tcW w:w="340" w:type="dxa"/>
            <w:vAlign w:val="bottom"/>
            <w:tcBorders>
              <w:bottom w:val="single" w:sz="8" w:color="006DB6"/>
            </w:tcBorders>
          </w:tcPr>
          <w:p>
            <w:pPr>
              <w:spacing w:after="0"/>
              <w:rPr>
                <w:sz w:val="20"/>
                <w:szCs w:val="20"/>
                <w:color w:val="auto"/>
              </w:rPr>
            </w:pPr>
          </w:p>
        </w:tc>
        <w:tc>
          <w:tcPr>
            <w:tcW w:w="1000" w:type="dxa"/>
            <w:vAlign w:val="bottom"/>
            <w:tcBorders>
              <w:bottom w:val="single" w:sz="8" w:color="006DB6"/>
            </w:tcBorders>
          </w:tcPr>
          <w:p>
            <w:pPr>
              <w:jc w:val="right"/>
              <w:ind w:right="520"/>
              <w:spacing w:after="0"/>
              <w:rPr>
                <w:sz w:val="20"/>
                <w:szCs w:val="20"/>
                <w:color w:val="auto"/>
              </w:rPr>
            </w:pPr>
            <w:r>
              <w:rPr>
                <w:rFonts w:ascii="Arial" w:cs="Arial" w:eastAsia="Arial" w:hAnsi="Arial"/>
                <w:sz w:val="14"/>
                <w:szCs w:val="14"/>
                <w:b w:val="1"/>
                <w:bCs w:val="1"/>
                <w:color w:val="706F6F"/>
              </w:rPr>
              <w:t>CIC</w:t>
            </w:r>
          </w:p>
        </w:tc>
        <w:tc>
          <w:tcPr>
            <w:tcW w:w="240" w:type="dxa"/>
            <w:vAlign w:val="bottom"/>
            <w:tcBorders>
              <w:bottom w:val="single" w:sz="8" w:color="006DB6"/>
            </w:tcBorders>
          </w:tcPr>
          <w:p>
            <w:pPr>
              <w:spacing w:after="0"/>
              <w:rPr>
                <w:sz w:val="20"/>
                <w:szCs w:val="20"/>
                <w:color w:val="auto"/>
              </w:rPr>
            </w:pPr>
          </w:p>
        </w:tc>
        <w:tc>
          <w:tcPr>
            <w:tcW w:w="900" w:type="dxa"/>
            <w:vAlign w:val="bottom"/>
            <w:tcBorders>
              <w:bottom w:val="single" w:sz="8" w:color="006DB6"/>
            </w:tcBorders>
          </w:tcPr>
          <w:p>
            <w:pPr>
              <w:ind w:left="120"/>
              <w:spacing w:after="0"/>
              <w:rPr>
                <w:sz w:val="20"/>
                <w:szCs w:val="20"/>
                <w:color w:val="auto"/>
              </w:rPr>
            </w:pPr>
            <w:r>
              <w:rPr>
                <w:rFonts w:ascii="Arial" w:cs="Arial" w:eastAsia="Arial" w:hAnsi="Arial"/>
                <w:sz w:val="14"/>
                <w:szCs w:val="14"/>
                <w:b w:val="1"/>
                <w:bCs w:val="1"/>
                <w:color w:val="706F6F"/>
              </w:rPr>
              <w:t>DDR</w:t>
            </w:r>
          </w:p>
        </w:tc>
      </w:tr>
      <w:tr>
        <w:trPr>
          <w:trHeight w:val="23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and Payments due on Separation</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4"/>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1,500,000</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3,000,000</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1,445,000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5,959,623</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5,959,623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5,959,623</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1,596,438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1,596,438</w:t>
            </w:r>
          </w:p>
        </w:tc>
      </w:tr>
      <w:tr>
        <w:trPr>
          <w:trHeight w:val="23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81"/>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69,442</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104,163</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63,321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112,500</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63,750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236"/>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7,529,065</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9,176,286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5,959,623</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3,168,509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1,596,438</w:t>
            </w:r>
          </w:p>
        </w:tc>
      </w:tr>
      <w:tr>
        <w:trPr>
          <w:trHeight w:val="480"/>
        </w:trPr>
        <w:tc>
          <w:tcPr>
            <w:tcW w:w="3560" w:type="dxa"/>
            <w:vAlign w:val="bottom"/>
          </w:tcPr>
          <w:p>
            <w:pPr>
              <w:spacing w:after="0"/>
              <w:rPr>
                <w:sz w:val="24"/>
                <w:szCs w:val="24"/>
                <w:color w:val="auto"/>
              </w:rPr>
            </w:pPr>
          </w:p>
        </w:tc>
        <w:tc>
          <w:tcPr>
            <w:tcW w:w="360" w:type="dxa"/>
            <w:vAlign w:val="bottom"/>
            <w:tcBorders>
              <w:bottom w:val="single" w:sz="8" w:color="006DB6"/>
            </w:tcBorders>
          </w:tcPr>
          <w:p>
            <w:pPr>
              <w:spacing w:after="0"/>
              <w:rPr>
                <w:sz w:val="24"/>
                <w:szCs w:val="24"/>
                <w:color w:val="auto"/>
              </w:rPr>
            </w:pPr>
          </w:p>
        </w:tc>
        <w:tc>
          <w:tcPr>
            <w:tcW w:w="2260" w:type="dxa"/>
            <w:vAlign w:val="bottom"/>
            <w:tcBorders>
              <w:bottom w:val="single" w:sz="8" w:color="006DB6"/>
            </w:tcBorders>
            <w:gridSpan w:val="3"/>
          </w:tcPr>
          <w:p>
            <w:pPr>
              <w:jc w:val="right"/>
              <w:spacing w:after="0"/>
              <w:rPr>
                <w:sz w:val="20"/>
                <w:szCs w:val="20"/>
                <w:color w:val="auto"/>
              </w:rPr>
            </w:pPr>
            <w:r>
              <w:rPr>
                <w:rFonts w:ascii="Arial" w:cs="Arial" w:eastAsia="Arial" w:hAnsi="Arial"/>
                <w:sz w:val="14"/>
                <w:szCs w:val="14"/>
                <w:b w:val="1"/>
                <w:bCs w:val="1"/>
                <w:color w:val="706F6F"/>
              </w:rPr>
              <w:t>Allan D. Schoening</w:t>
            </w:r>
            <w:r>
              <w:rPr>
                <w:rFonts w:ascii="Arial" w:cs="Arial" w:eastAsia="Arial" w:hAnsi="Arial"/>
                <w:sz w:val="18"/>
                <w:szCs w:val="18"/>
                <w:b w:val="1"/>
                <w:bCs w:val="1"/>
                <w:color w:val="706F6F"/>
                <w:vertAlign w:val="superscript"/>
              </w:rPr>
              <w:t>(5)</w:t>
            </w:r>
          </w:p>
        </w:tc>
        <w:tc>
          <w:tcPr>
            <w:tcW w:w="260" w:type="dxa"/>
            <w:vAlign w:val="bottom"/>
            <w:tcBorders>
              <w:bottom w:val="single" w:sz="8" w:color="006DB6"/>
            </w:tcBorders>
          </w:tcPr>
          <w:p>
            <w:pPr>
              <w:spacing w:after="0"/>
              <w:rPr>
                <w:sz w:val="24"/>
                <w:szCs w:val="24"/>
                <w:color w:val="auto"/>
              </w:rPr>
            </w:pPr>
          </w:p>
        </w:tc>
        <w:tc>
          <w:tcPr>
            <w:tcW w:w="920" w:type="dxa"/>
            <w:vAlign w:val="bottom"/>
            <w:tcBorders>
              <w:bottom w:val="single" w:sz="8" w:color="006DB6"/>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006DB6"/>
            </w:tcBorders>
          </w:tcPr>
          <w:p>
            <w:pPr>
              <w:spacing w:after="0"/>
              <w:rPr>
                <w:sz w:val="24"/>
                <w:szCs w:val="24"/>
                <w:color w:val="auto"/>
              </w:rPr>
            </w:pPr>
          </w:p>
        </w:tc>
        <w:tc>
          <w:tcPr>
            <w:tcW w:w="860" w:type="dxa"/>
            <w:vAlign w:val="bottom"/>
            <w:tcBorders>
              <w:bottom w:val="single" w:sz="8" w:color="006DB6"/>
            </w:tcBorders>
          </w:tcPr>
          <w:p>
            <w:pPr>
              <w:spacing w:after="0"/>
              <w:rPr>
                <w:sz w:val="24"/>
                <w:szCs w:val="24"/>
                <w:color w:val="auto"/>
              </w:rPr>
            </w:pPr>
          </w:p>
        </w:tc>
        <w:tc>
          <w:tcPr>
            <w:tcW w:w="1340" w:type="dxa"/>
            <w:vAlign w:val="bottom"/>
            <w:tcBorders>
              <w:bottom w:val="single" w:sz="8" w:color="006DB6"/>
            </w:tcBorders>
            <w:gridSpan w:val="2"/>
          </w:tcPr>
          <w:p>
            <w:pPr>
              <w:jc w:val="right"/>
              <w:spacing w:after="0"/>
              <w:rPr>
                <w:sz w:val="20"/>
                <w:szCs w:val="20"/>
                <w:color w:val="auto"/>
              </w:rPr>
            </w:pPr>
            <w:r>
              <w:rPr>
                <w:rFonts w:ascii="Arial" w:cs="Arial" w:eastAsia="Arial" w:hAnsi="Arial"/>
                <w:sz w:val="14"/>
                <w:szCs w:val="14"/>
                <w:b w:val="1"/>
                <w:bCs w:val="1"/>
                <w:color w:val="706F6F"/>
              </w:rPr>
              <w:t>Peter L. McCann</w:t>
            </w:r>
            <w:r>
              <w:rPr>
                <w:rFonts w:ascii="Arial" w:cs="Arial" w:eastAsia="Arial" w:hAnsi="Arial"/>
                <w:sz w:val="18"/>
                <w:szCs w:val="18"/>
                <w:b w:val="1"/>
                <w:bCs w:val="1"/>
                <w:color w:val="706F6F"/>
                <w:vertAlign w:val="superscript"/>
              </w:rPr>
              <w:t>(4)</w:t>
            </w:r>
          </w:p>
        </w:tc>
        <w:tc>
          <w:tcPr>
            <w:tcW w:w="240" w:type="dxa"/>
            <w:vAlign w:val="bottom"/>
            <w:tcBorders>
              <w:bottom w:val="single" w:sz="8" w:color="006DB6"/>
            </w:tcBorders>
          </w:tcPr>
          <w:p>
            <w:pPr>
              <w:spacing w:after="0"/>
              <w:rPr>
                <w:sz w:val="24"/>
                <w:szCs w:val="24"/>
                <w:color w:val="auto"/>
              </w:rPr>
            </w:pPr>
          </w:p>
        </w:tc>
        <w:tc>
          <w:tcPr>
            <w:tcW w:w="900" w:type="dxa"/>
            <w:vAlign w:val="bottom"/>
            <w:tcBorders>
              <w:bottom w:val="single" w:sz="8" w:color="006DB6"/>
            </w:tcBorders>
          </w:tcPr>
          <w:p>
            <w:pPr>
              <w:spacing w:after="0"/>
              <w:rPr>
                <w:sz w:val="24"/>
                <w:szCs w:val="24"/>
                <w:color w:val="auto"/>
              </w:rPr>
            </w:pPr>
          </w:p>
        </w:tc>
      </w:tr>
      <w:tr>
        <w:trPr>
          <w:trHeight w:val="237"/>
        </w:trPr>
        <w:tc>
          <w:tcPr>
            <w:tcW w:w="3560" w:type="dxa"/>
            <w:vAlign w:val="bottom"/>
            <w:tcBorders>
              <w:bottom w:val="single" w:sz="8" w:color="006DB6"/>
            </w:tcBorders>
          </w:tcPr>
          <w:p>
            <w:pPr>
              <w:spacing w:after="0"/>
              <w:rPr>
                <w:sz w:val="20"/>
                <w:szCs w:val="20"/>
                <w:color w:val="auto"/>
              </w:rPr>
            </w:pPr>
          </w:p>
        </w:tc>
        <w:tc>
          <w:tcPr>
            <w:tcW w:w="360" w:type="dxa"/>
            <w:vAlign w:val="bottom"/>
            <w:tcBorders>
              <w:bottom w:val="single" w:sz="8" w:color="006DB6"/>
            </w:tcBorders>
          </w:tcPr>
          <w:p>
            <w:pPr>
              <w:spacing w:after="0"/>
              <w:rPr>
                <w:sz w:val="20"/>
                <w:szCs w:val="20"/>
                <w:color w:val="auto"/>
              </w:rPr>
            </w:pPr>
          </w:p>
        </w:tc>
        <w:tc>
          <w:tcPr>
            <w:tcW w:w="900" w:type="dxa"/>
            <w:vAlign w:val="bottom"/>
            <w:tcBorders>
              <w:bottom w:val="single" w:sz="8" w:color="006DB6"/>
            </w:tcBorders>
          </w:tcPr>
          <w:p>
            <w:pPr>
              <w:jc w:val="right"/>
              <w:ind w:right="281"/>
              <w:spacing w:after="0"/>
              <w:rPr>
                <w:sz w:val="20"/>
                <w:szCs w:val="20"/>
                <w:color w:val="auto"/>
              </w:rPr>
            </w:pPr>
            <w:r>
              <w:rPr>
                <w:rFonts w:ascii="Arial" w:cs="Arial" w:eastAsia="Arial" w:hAnsi="Arial"/>
                <w:sz w:val="14"/>
                <w:szCs w:val="14"/>
                <w:b w:val="1"/>
                <w:bCs w:val="1"/>
                <w:color w:val="706F6F"/>
              </w:rPr>
              <w:t>NFC</w:t>
            </w:r>
          </w:p>
        </w:tc>
        <w:tc>
          <w:tcPr>
            <w:tcW w:w="380" w:type="dxa"/>
            <w:vAlign w:val="bottom"/>
            <w:tcBorders>
              <w:bottom w:val="single" w:sz="8" w:color="006DB6"/>
            </w:tcBorders>
          </w:tcPr>
          <w:p>
            <w:pPr>
              <w:spacing w:after="0"/>
              <w:rPr>
                <w:sz w:val="20"/>
                <w:szCs w:val="20"/>
                <w:color w:val="auto"/>
              </w:rPr>
            </w:pPr>
          </w:p>
        </w:tc>
        <w:tc>
          <w:tcPr>
            <w:tcW w:w="980" w:type="dxa"/>
            <w:vAlign w:val="bottom"/>
            <w:tcBorders>
              <w:bottom w:val="single" w:sz="8" w:color="006DB6"/>
            </w:tcBorders>
          </w:tcPr>
          <w:p>
            <w:pPr>
              <w:jc w:val="right"/>
              <w:ind w:right="380"/>
              <w:spacing w:after="0"/>
              <w:rPr>
                <w:sz w:val="20"/>
                <w:szCs w:val="20"/>
                <w:color w:val="auto"/>
              </w:rPr>
            </w:pPr>
            <w:r>
              <w:rPr>
                <w:rFonts w:ascii="Arial" w:cs="Arial" w:eastAsia="Arial" w:hAnsi="Arial"/>
                <w:sz w:val="14"/>
                <w:szCs w:val="14"/>
                <w:b w:val="1"/>
                <w:bCs w:val="1"/>
                <w:color w:val="706F6F"/>
              </w:rPr>
              <w:t>CIC</w:t>
            </w:r>
          </w:p>
        </w:tc>
        <w:tc>
          <w:tcPr>
            <w:tcW w:w="260" w:type="dxa"/>
            <w:vAlign w:val="bottom"/>
            <w:tcBorders>
              <w:bottom w:val="single" w:sz="8" w:color="006DB6"/>
            </w:tcBorders>
          </w:tcPr>
          <w:p>
            <w:pPr>
              <w:spacing w:after="0"/>
              <w:rPr>
                <w:sz w:val="20"/>
                <w:szCs w:val="20"/>
                <w:color w:val="auto"/>
              </w:rPr>
            </w:pPr>
          </w:p>
        </w:tc>
        <w:tc>
          <w:tcPr>
            <w:tcW w:w="1060" w:type="dxa"/>
            <w:vAlign w:val="bottom"/>
            <w:tcBorders>
              <w:bottom w:val="single" w:sz="8" w:color="006DB6"/>
            </w:tcBorders>
            <w:gridSpan w:val="2"/>
          </w:tcPr>
          <w:p>
            <w:pPr>
              <w:ind w:left="240"/>
              <w:spacing w:after="0"/>
              <w:rPr>
                <w:sz w:val="20"/>
                <w:szCs w:val="20"/>
                <w:color w:val="auto"/>
              </w:rPr>
            </w:pPr>
            <w:r>
              <w:rPr>
                <w:rFonts w:ascii="Arial" w:cs="Arial" w:eastAsia="Arial" w:hAnsi="Arial"/>
                <w:sz w:val="14"/>
                <w:szCs w:val="14"/>
                <w:b w:val="1"/>
                <w:bCs w:val="1"/>
                <w:color w:val="706F6F"/>
              </w:rPr>
              <w:t>DDR</w:t>
            </w:r>
          </w:p>
        </w:tc>
        <w:tc>
          <w:tcPr>
            <w:tcW w:w="300" w:type="dxa"/>
            <w:vAlign w:val="bottom"/>
            <w:tcBorders>
              <w:bottom w:val="single" w:sz="8" w:color="006DB6"/>
            </w:tcBorders>
          </w:tcPr>
          <w:p>
            <w:pPr>
              <w:spacing w:after="0"/>
              <w:rPr>
                <w:sz w:val="20"/>
                <w:szCs w:val="20"/>
                <w:color w:val="auto"/>
              </w:rPr>
            </w:pPr>
          </w:p>
        </w:tc>
        <w:tc>
          <w:tcPr>
            <w:tcW w:w="860" w:type="dxa"/>
            <w:vAlign w:val="bottom"/>
            <w:tcBorders>
              <w:bottom w:val="single" w:sz="8" w:color="006DB6"/>
            </w:tcBorders>
          </w:tcPr>
          <w:p>
            <w:pPr>
              <w:jc w:val="right"/>
              <w:ind w:right="360"/>
              <w:spacing w:after="0"/>
              <w:rPr>
                <w:sz w:val="20"/>
                <w:szCs w:val="20"/>
                <w:color w:val="auto"/>
              </w:rPr>
            </w:pPr>
            <w:r>
              <w:rPr>
                <w:rFonts w:ascii="Arial" w:cs="Arial" w:eastAsia="Arial" w:hAnsi="Arial"/>
                <w:sz w:val="14"/>
                <w:szCs w:val="14"/>
                <w:b w:val="1"/>
                <w:bCs w:val="1"/>
                <w:color w:val="706F6F"/>
              </w:rPr>
              <w:t>NFC</w:t>
            </w:r>
          </w:p>
        </w:tc>
        <w:tc>
          <w:tcPr>
            <w:tcW w:w="340" w:type="dxa"/>
            <w:vAlign w:val="bottom"/>
            <w:tcBorders>
              <w:bottom w:val="single" w:sz="8" w:color="006DB6"/>
            </w:tcBorders>
          </w:tcPr>
          <w:p>
            <w:pPr>
              <w:spacing w:after="0"/>
              <w:rPr>
                <w:sz w:val="20"/>
                <w:szCs w:val="20"/>
                <w:color w:val="auto"/>
              </w:rPr>
            </w:pPr>
          </w:p>
        </w:tc>
        <w:tc>
          <w:tcPr>
            <w:tcW w:w="1000" w:type="dxa"/>
            <w:vAlign w:val="bottom"/>
            <w:tcBorders>
              <w:bottom w:val="single" w:sz="8" w:color="006DB6"/>
            </w:tcBorders>
          </w:tcPr>
          <w:p>
            <w:pPr>
              <w:jc w:val="right"/>
              <w:ind w:right="520"/>
              <w:spacing w:after="0"/>
              <w:rPr>
                <w:sz w:val="20"/>
                <w:szCs w:val="20"/>
                <w:color w:val="auto"/>
              </w:rPr>
            </w:pPr>
            <w:r>
              <w:rPr>
                <w:rFonts w:ascii="Arial" w:cs="Arial" w:eastAsia="Arial" w:hAnsi="Arial"/>
                <w:sz w:val="14"/>
                <w:szCs w:val="14"/>
                <w:b w:val="1"/>
                <w:bCs w:val="1"/>
                <w:color w:val="706F6F"/>
              </w:rPr>
              <w:t>CIC</w:t>
            </w:r>
          </w:p>
        </w:tc>
        <w:tc>
          <w:tcPr>
            <w:tcW w:w="240" w:type="dxa"/>
            <w:vAlign w:val="bottom"/>
            <w:tcBorders>
              <w:bottom w:val="single" w:sz="8" w:color="006DB6"/>
            </w:tcBorders>
          </w:tcPr>
          <w:p>
            <w:pPr>
              <w:spacing w:after="0"/>
              <w:rPr>
                <w:sz w:val="20"/>
                <w:szCs w:val="20"/>
                <w:color w:val="auto"/>
              </w:rPr>
            </w:pPr>
          </w:p>
        </w:tc>
        <w:tc>
          <w:tcPr>
            <w:tcW w:w="900" w:type="dxa"/>
            <w:vAlign w:val="bottom"/>
            <w:tcBorders>
              <w:bottom w:val="single" w:sz="8" w:color="006DB6"/>
            </w:tcBorders>
          </w:tcPr>
          <w:p>
            <w:pPr>
              <w:ind w:left="120"/>
              <w:spacing w:after="0"/>
              <w:rPr>
                <w:sz w:val="20"/>
                <w:szCs w:val="20"/>
                <w:color w:val="auto"/>
              </w:rPr>
            </w:pPr>
            <w:r>
              <w:rPr>
                <w:rFonts w:ascii="Arial" w:cs="Arial" w:eastAsia="Arial" w:hAnsi="Arial"/>
                <w:sz w:val="14"/>
                <w:szCs w:val="14"/>
                <w:b w:val="1"/>
                <w:bCs w:val="1"/>
                <w:color w:val="706F6F"/>
              </w:rPr>
              <w:t>DDR</w:t>
            </w:r>
          </w:p>
        </w:tc>
      </w:tr>
      <w:tr>
        <w:trPr>
          <w:trHeight w:val="23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Compensation</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34"/>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Cash Severance</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642,534</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1,285,067</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508,419</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1,016,838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Stock Awards</w:t>
            </w:r>
            <w:r>
              <w:rPr>
                <w:rFonts w:ascii="Arial" w:cs="Arial" w:eastAsia="Arial" w:hAnsi="Arial"/>
                <w:sz w:val="21"/>
                <w:szCs w:val="21"/>
                <w:color w:val="auto"/>
                <w:vertAlign w:val="superscript"/>
              </w:rPr>
              <w:t>(1)</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1,410,988</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1,410,988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1,410,988</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466,570</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1,014,312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1,014,312</w:t>
            </w:r>
          </w:p>
        </w:tc>
      </w:tr>
      <w:tr>
        <w:trPr>
          <w:trHeight w:val="233"/>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Benefits &amp; Perquisites</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81"/>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Health &amp; Welfare Benefits</w:t>
            </w:r>
            <w:r>
              <w:rPr>
                <w:rFonts w:ascii="Arial" w:cs="Arial" w:eastAsia="Arial" w:hAnsi="Arial"/>
                <w:sz w:val="21"/>
                <w:szCs w:val="21"/>
                <w:color w:val="auto"/>
                <w:vertAlign w:val="superscript"/>
              </w:rPr>
              <w:t>(2)</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4,343</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2,895</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Outplacement Assistance</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56,694</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44,861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Tax Gross-Up</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n/a</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236"/>
        </w:trPr>
        <w:tc>
          <w:tcPr>
            <w:tcW w:w="35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2,057,865</w:t>
            </w:r>
          </w:p>
        </w:tc>
        <w:tc>
          <w:tcPr>
            <w:tcW w:w="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2,755,644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1,410,988</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974,989</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2,076,011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1,014,312</w:t>
            </w:r>
          </w:p>
        </w:tc>
      </w:tr>
    </w:tbl>
    <w:p>
      <w:pPr>
        <w:spacing w:after="0" w:line="315" w:lineRule="exact"/>
        <w:rPr>
          <w:sz w:val="20"/>
          <w:szCs w:val="20"/>
          <w:color w:val="auto"/>
        </w:rPr>
      </w:pPr>
    </w:p>
    <w:p>
      <w:pPr>
        <w:ind w:left="260" w:right="60" w:hanging="252"/>
        <w:spacing w:after="0" w:line="266" w:lineRule="auto"/>
        <w:tabs>
          <w:tab w:leader="none" w:pos="264" w:val="left"/>
        </w:tabs>
        <w:numPr>
          <w:ilvl w:val="0"/>
          <w:numId w:val="52"/>
        </w:numPr>
        <w:rPr>
          <w:rFonts w:ascii="Arial" w:cs="Arial" w:eastAsia="Arial" w:hAnsi="Arial"/>
          <w:sz w:val="9"/>
          <w:szCs w:val="9"/>
          <w:color w:val="auto"/>
        </w:rPr>
      </w:pPr>
      <w:r>
        <w:rPr>
          <w:rFonts w:ascii="Arial" w:cs="Arial" w:eastAsia="Arial" w:hAnsi="Arial"/>
          <w:sz w:val="14"/>
          <w:szCs w:val="14"/>
          <w:color w:val="auto"/>
        </w:rPr>
        <w:t>Reflects the value of unvested phantom units and performance share awards as of December 31, 2023 that would be accelerated as a result of the separation event based on Civeo’s share price of $22.85, which was the closing market price of Civeo’s common shares on December 29, 2023, the last trading day of the fiscal year. For performance shares, the payout is assumed at target level. In addition, the amounts reported in the “Stock Awards” row would be realized by the NEOs in the event of the occurrence of a Change of Control (even without the occurrence of a qualified termination if the awards are not assumed by the successor in the Change of Control transaction) or upon the named executive officer’s death or disability, in each case, occurring on December 31, 2023. The treatment of Performance Share Awards during a Change of Control is described more fully under “Compensation Program Components—Other Items - - Executive and Change of Control Agreements".</w:t>
      </w:r>
    </w:p>
    <w:p>
      <w:pPr>
        <w:spacing w:after="0" w:line="76" w:lineRule="exact"/>
        <w:rPr>
          <w:rFonts w:ascii="Arial" w:cs="Arial" w:eastAsia="Arial" w:hAnsi="Arial"/>
          <w:sz w:val="9"/>
          <w:szCs w:val="9"/>
          <w:color w:val="auto"/>
        </w:rPr>
      </w:pPr>
    </w:p>
    <w:p>
      <w:pPr>
        <w:ind w:left="260" w:hanging="252"/>
        <w:spacing w:after="0" w:line="231" w:lineRule="auto"/>
        <w:tabs>
          <w:tab w:leader="none" w:pos="264"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Reflects the estimated lump-sum present value of all future premiums which would be paid on behalf of the named executive officer under Civeo’s health and welfare benefit plans for the applicable continuation period specified in the applicable Executive Agreement, Change of Control Agreement or Retention Agreement.</w:t>
      </w:r>
    </w:p>
    <w:p>
      <w:pPr>
        <w:spacing w:after="0" w:line="93" w:lineRule="exact"/>
        <w:rPr>
          <w:rFonts w:ascii="Arial" w:cs="Arial" w:eastAsia="Arial" w:hAnsi="Arial"/>
          <w:sz w:val="19"/>
          <w:szCs w:val="19"/>
          <w:color w:val="auto"/>
          <w:vertAlign w:val="superscript"/>
        </w:rPr>
      </w:pPr>
    </w:p>
    <w:p>
      <w:pPr>
        <w:ind w:left="260" w:right="460" w:hanging="252"/>
        <w:spacing w:after="0" w:line="231" w:lineRule="auto"/>
        <w:tabs>
          <w:tab w:leader="none" w:pos="264"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Reflects the maximum amount of outplacement assistance that would be provided for the named executive officer pursuant to the applicable Executive Agreement or Change of Control Agreement.</w:t>
      </w:r>
    </w:p>
    <w:p>
      <w:pPr>
        <w:spacing w:after="0" w:line="80" w:lineRule="exact"/>
        <w:rPr>
          <w:rFonts w:ascii="Arial" w:cs="Arial" w:eastAsia="Arial" w:hAnsi="Arial"/>
          <w:sz w:val="19"/>
          <w:szCs w:val="19"/>
          <w:color w:val="auto"/>
          <w:vertAlign w:val="superscript"/>
        </w:rPr>
      </w:pPr>
    </w:p>
    <w:p>
      <w:pPr>
        <w:ind w:left="260" w:right="80" w:hanging="252"/>
        <w:spacing w:after="0" w:line="305" w:lineRule="auto"/>
        <w:tabs>
          <w:tab w:leader="none" w:pos="264" w:val="left"/>
        </w:tabs>
        <w:numPr>
          <w:ilvl w:val="0"/>
          <w:numId w:val="52"/>
        </w:numPr>
        <w:rPr>
          <w:rFonts w:ascii="Arial" w:cs="Arial" w:eastAsia="Arial" w:hAnsi="Arial"/>
          <w:sz w:val="9"/>
          <w:szCs w:val="9"/>
          <w:color w:val="auto"/>
        </w:rPr>
      </w:pPr>
      <w:r>
        <w:rPr>
          <w:rFonts w:ascii="Arial" w:cs="Arial" w:eastAsia="Arial" w:hAnsi="Arial"/>
          <w:sz w:val="14"/>
          <w:szCs w:val="14"/>
          <w:color w:val="auto"/>
        </w:rPr>
        <w:t>Cash Severance Amounts and Outplacement Assistance for Mr. McCann would be paid in Australian dollars and are reflected in this table in U.S. dollars using the average exchange rate for 2023 of $0.6646.</w:t>
      </w:r>
    </w:p>
    <w:p>
      <w:pPr>
        <w:spacing w:after="0" w:line="36" w:lineRule="exact"/>
        <w:rPr>
          <w:rFonts w:ascii="Arial" w:cs="Arial" w:eastAsia="Arial" w:hAnsi="Arial"/>
          <w:sz w:val="9"/>
          <w:szCs w:val="9"/>
          <w:color w:val="auto"/>
        </w:rPr>
      </w:pPr>
    </w:p>
    <w:p>
      <w:pPr>
        <w:ind w:left="260" w:hanging="252"/>
        <w:spacing w:after="0" w:line="233" w:lineRule="auto"/>
        <w:tabs>
          <w:tab w:leader="none" w:pos="264"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Cash Severance Amounts, Health and Welfare Benefits and Outplacement Assistance for Mr. Schoening would be made in Canadian dollars and are reflected in this table in U.S. dollars using the average exchange rate for 2023 of $0.7411. Pursuant to his Retention Agreement, cash severance reflects base salary and target bonus which would be paid through December 31, 2024. Health and Welfare Benefits reflects the estimated lump-sum present value of all future premiums which would be paid on behalf of Mr. Schoening and his dependents under Civeo’s health and welfare benefit plans through December 31, 2024. On January 5, 2024, Mr. Schoening announced his intention to retire from the Company effective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828675</wp:posOffset>
            </wp:positionV>
            <wp:extent cx="394335" cy="1968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Ratio Disclosure</w:t>
      </w:r>
    </w:p>
    <w:p>
      <w:pPr>
        <w:spacing w:after="0" w:line="1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2023 annual total compensation of our median compensated employee was $54,231. Mr. Dodson’s 2023 annual total compensation was $6,311,862 and the ratio of these two amounts was 116:1.</w:t>
      </w:r>
    </w:p>
    <w:p>
      <w:pPr>
        <w:spacing w:after="0" w:line="6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8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pay ratio reported above is a reasonable estimate calculated in a manner consistent with SEC rules based on our payroll and employment records and the methodology described below. We identified the median-compensated employee from our employee population as of December 31, 2023 using base salary or wages and overtime paid during fiscal 2023, which we annualized for any permanent employee who was not employed for the entire year.</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Pay Versus Performance Disclosure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Pay Versus Performance Table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discussed in the Compensation Discussion and Analysis above, our Compensation Committee has implemented an executive compensation program designed to link a substantial portion of our NEOs' realized compensation to the achievement of our financial, operational, and strategic objectives, and to align our executive pay with changes in the value of our shareholders’ investments. The following table sets forth additional compensation information for our NEOs, calculated in accordance with SEC regulations, for each of 2020 through 2023.</w:t>
      </w:r>
    </w:p>
    <w:p>
      <w:pPr>
        <w:spacing w:after="0" w:line="249"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706F6F"/>
              </w:rPr>
              <w:t>Value of Initial Fixed $100</w:t>
            </w:r>
          </w:p>
        </w:tc>
        <w:tc>
          <w:tcPr>
            <w:tcW w:w="20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706F6F"/>
              </w:rPr>
              <w:t>Financial Performance</w:t>
            </w:r>
          </w:p>
        </w:tc>
      </w:tr>
      <w:tr>
        <w:trPr>
          <w:trHeight w:val="172"/>
        </w:trPr>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706F6F"/>
              </w:rPr>
              <w:t>Investment Based On:</w:t>
            </w:r>
          </w:p>
        </w:tc>
        <w:tc>
          <w:tcPr>
            <w:tcW w:w="2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706F6F"/>
                <w:w w:val="96"/>
              </w:rPr>
              <w:t>Measures ($'s in thousands):</w:t>
            </w:r>
          </w:p>
        </w:tc>
      </w:tr>
      <w:tr>
        <w:trPr>
          <w:trHeight w:val="22"/>
        </w:trPr>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5"/>
        </w:trPr>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rPr>
              <w:t>Summary</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706F6F"/>
                <w:w w:val="96"/>
              </w:rPr>
              <w:t>Average Summary</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rPr>
              <w:t>Average</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20"/>
              <w:spacing w:after="0" w:line="165" w:lineRule="exact"/>
              <w:rPr>
                <w:sz w:val="20"/>
                <w:szCs w:val="20"/>
                <w:color w:val="auto"/>
              </w:rPr>
            </w:pPr>
            <w:r>
              <w:rPr>
                <w:rFonts w:ascii="Arial" w:cs="Arial" w:eastAsia="Arial" w:hAnsi="Arial"/>
                <w:sz w:val="13"/>
                <w:szCs w:val="13"/>
                <w:b w:val="1"/>
                <w:bCs w:val="1"/>
                <w:color w:val="706F6F"/>
                <w:w w:val="95"/>
              </w:rPr>
              <w:t>Peer Group</w:t>
            </w:r>
            <w:r>
              <w:rPr>
                <w:rFonts w:ascii="Arial" w:cs="Arial" w:eastAsia="Arial" w:hAnsi="Arial"/>
                <w:sz w:val="16"/>
                <w:szCs w:val="16"/>
                <w:b w:val="1"/>
                <w:bCs w:val="1"/>
                <w:color w:val="706F6F"/>
                <w:w w:val="95"/>
                <w:vertAlign w:val="superscript"/>
              </w:rPr>
              <w:t>(3)</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8"/>
        </w:trPr>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w w:val="97"/>
              </w:rPr>
              <w:t>Compensation</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w w:val="99"/>
              </w:rPr>
              <w:t>Compensation</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706F6F"/>
              </w:rPr>
              <w:t>Total</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06F6F"/>
              </w:rPr>
              <w:t>Total</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52"/>
        </w:trPr>
        <w:tc>
          <w:tcPr>
            <w:tcW w:w="44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b w:val="1"/>
                <w:bCs w:val="1"/>
                <w:color w:val="706F6F"/>
              </w:rPr>
              <w:t>Table Total for Mr.</w:t>
            </w: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w w:val="96"/>
              </w:rPr>
              <w:t>Actually Paid to</w:t>
            </w: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706F6F"/>
              </w:rPr>
              <w:t>Table Total for</w:t>
            </w: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706F6F"/>
                <w:w w:val="94"/>
              </w:rPr>
              <w:t>Actually Paid to</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706F6F"/>
              </w:rPr>
              <w:t>Shareholder</w:t>
            </w:r>
          </w:p>
        </w:tc>
        <w:tc>
          <w:tcPr>
            <w:tcW w:w="16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706F6F"/>
              </w:rPr>
              <w:t>Shareholder</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706F6F"/>
              </w:rPr>
              <w:t>Adjusted</w:t>
            </w:r>
          </w:p>
        </w:tc>
      </w:tr>
      <w:tr>
        <w:trPr>
          <w:trHeight w:val="211"/>
        </w:trPr>
        <w:tc>
          <w:tcPr>
            <w:tcW w:w="440" w:type="dxa"/>
            <w:vAlign w:val="bottom"/>
            <w:tcBorders>
              <w:bottom w:val="single" w:sz="8" w:color="006DB6"/>
            </w:tcBorders>
          </w:tcPr>
          <w:p>
            <w:pPr>
              <w:ind w:left="20"/>
              <w:spacing w:after="0"/>
              <w:rPr>
                <w:sz w:val="20"/>
                <w:szCs w:val="20"/>
                <w:color w:val="auto"/>
              </w:rPr>
            </w:pPr>
            <w:r>
              <w:rPr>
                <w:rFonts w:ascii="Arial" w:cs="Arial" w:eastAsia="Arial" w:hAnsi="Arial"/>
                <w:sz w:val="13"/>
                <w:szCs w:val="13"/>
                <w:b w:val="1"/>
                <w:bCs w:val="1"/>
                <w:color w:val="706F6F"/>
              </w:rPr>
              <w:t>Year</w:t>
            </w:r>
          </w:p>
        </w:tc>
        <w:tc>
          <w:tcPr>
            <w:tcW w:w="280" w:type="dxa"/>
            <w:vAlign w:val="bottom"/>
            <w:tcBorders>
              <w:bottom w:val="single" w:sz="8" w:color="006DB6"/>
            </w:tcBorders>
          </w:tcPr>
          <w:p>
            <w:pPr>
              <w:spacing w:after="0"/>
              <w:rPr>
                <w:sz w:val="18"/>
                <w:szCs w:val="18"/>
                <w:color w:val="auto"/>
              </w:rPr>
            </w:pP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Dodson</w:t>
            </w:r>
          </w:p>
        </w:tc>
        <w:tc>
          <w:tcPr>
            <w:tcW w:w="14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Mr. Dodson </w:t>
            </w:r>
            <w:r>
              <w:rPr>
                <w:rFonts w:ascii="Arial" w:cs="Arial" w:eastAsia="Arial" w:hAnsi="Arial"/>
                <w:sz w:val="16"/>
                <w:szCs w:val="16"/>
                <w:b w:val="1"/>
                <w:bCs w:val="1"/>
                <w:color w:val="706F6F"/>
                <w:vertAlign w:val="superscript"/>
              </w:rPr>
              <w:t>(1)</w:t>
            </w:r>
          </w:p>
        </w:tc>
        <w:tc>
          <w:tcPr>
            <w:tcW w:w="200" w:type="dxa"/>
            <w:vAlign w:val="bottom"/>
            <w:tcBorders>
              <w:bottom w:val="single" w:sz="8" w:color="006DB6"/>
            </w:tcBorders>
          </w:tcPr>
          <w:p>
            <w:pPr>
              <w:spacing w:after="0"/>
              <w:rPr>
                <w:sz w:val="18"/>
                <w:szCs w:val="18"/>
                <w:color w:val="auto"/>
              </w:rPr>
            </w:pPr>
          </w:p>
        </w:tc>
        <w:tc>
          <w:tcPr>
            <w:tcW w:w="98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other NEOs</w:t>
            </w:r>
          </w:p>
        </w:tc>
        <w:tc>
          <w:tcPr>
            <w:tcW w:w="140" w:type="dxa"/>
            <w:vAlign w:val="bottom"/>
            <w:tcBorders>
              <w:bottom w:val="single" w:sz="8" w:color="006DB6"/>
            </w:tcBorders>
          </w:tcPr>
          <w:p>
            <w:pPr>
              <w:spacing w:after="0"/>
              <w:rPr>
                <w:sz w:val="18"/>
                <w:szCs w:val="18"/>
                <w:color w:val="auto"/>
              </w:rPr>
            </w:pPr>
          </w:p>
        </w:tc>
        <w:tc>
          <w:tcPr>
            <w:tcW w:w="96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other NEOs </w:t>
            </w:r>
            <w:r>
              <w:rPr>
                <w:rFonts w:ascii="Arial" w:cs="Arial" w:eastAsia="Arial" w:hAnsi="Arial"/>
                <w:sz w:val="16"/>
                <w:szCs w:val="16"/>
                <w:b w:val="1"/>
                <w:bCs w:val="1"/>
                <w:color w:val="706F6F"/>
                <w:vertAlign w:val="superscript"/>
              </w:rPr>
              <w:t>(1)</w:t>
            </w:r>
          </w:p>
        </w:tc>
        <w:tc>
          <w:tcPr>
            <w:tcW w:w="240" w:type="dxa"/>
            <w:vAlign w:val="bottom"/>
            <w:tcBorders>
              <w:bottom w:val="single" w:sz="8" w:color="006DB6"/>
            </w:tcBorders>
          </w:tcPr>
          <w:p>
            <w:pPr>
              <w:spacing w:after="0"/>
              <w:rPr>
                <w:sz w:val="18"/>
                <w:szCs w:val="18"/>
                <w:color w:val="auto"/>
              </w:rPr>
            </w:pPr>
          </w:p>
        </w:tc>
        <w:tc>
          <w:tcPr>
            <w:tcW w:w="84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Return </w:t>
            </w:r>
            <w:r>
              <w:rPr>
                <w:rFonts w:ascii="Arial" w:cs="Arial" w:eastAsia="Arial" w:hAnsi="Arial"/>
                <w:sz w:val="16"/>
                <w:szCs w:val="16"/>
                <w:b w:val="1"/>
                <w:bCs w:val="1"/>
                <w:color w:val="706F6F"/>
                <w:vertAlign w:val="superscript"/>
              </w:rPr>
              <w:t>(2)</w:t>
            </w:r>
          </w:p>
        </w:tc>
        <w:tc>
          <w:tcPr>
            <w:tcW w:w="160" w:type="dxa"/>
            <w:vAlign w:val="bottom"/>
            <w:tcBorders>
              <w:bottom w:val="single" w:sz="8" w:color="006DB6"/>
            </w:tcBorders>
          </w:tcPr>
          <w:p>
            <w:pPr>
              <w:spacing w:after="0"/>
              <w:rPr>
                <w:sz w:val="18"/>
                <w:szCs w:val="18"/>
                <w:color w:val="auto"/>
              </w:rPr>
            </w:pPr>
          </w:p>
        </w:tc>
        <w:tc>
          <w:tcPr>
            <w:tcW w:w="940" w:type="dxa"/>
            <w:vAlign w:val="bottom"/>
            <w:tcBorders>
              <w:bottom w:val="single" w:sz="8" w:color="006DB6"/>
            </w:tcBorders>
            <w:gridSpan w:val="2"/>
          </w:tcPr>
          <w:p>
            <w:pPr>
              <w:jc w:val="right"/>
              <w:ind w:right="120"/>
              <w:spacing w:after="0"/>
              <w:rPr>
                <w:sz w:val="20"/>
                <w:szCs w:val="20"/>
                <w:color w:val="auto"/>
              </w:rPr>
            </w:pPr>
            <w:r>
              <w:rPr>
                <w:rFonts w:ascii="Arial" w:cs="Arial" w:eastAsia="Arial" w:hAnsi="Arial"/>
                <w:sz w:val="13"/>
                <w:szCs w:val="13"/>
                <w:b w:val="1"/>
                <w:bCs w:val="1"/>
                <w:color w:val="706F6F"/>
              </w:rPr>
              <w:t>Return</w:t>
            </w:r>
          </w:p>
        </w:tc>
        <w:tc>
          <w:tcPr>
            <w:tcW w:w="200" w:type="dxa"/>
            <w:vAlign w:val="bottom"/>
            <w:tcBorders>
              <w:bottom w:val="single" w:sz="8" w:color="006DB6"/>
            </w:tcBorders>
          </w:tcPr>
          <w:p>
            <w:pPr>
              <w:spacing w:after="0"/>
              <w:rPr>
                <w:sz w:val="18"/>
                <w:szCs w:val="18"/>
                <w:color w:val="auto"/>
              </w:rPr>
            </w:pPr>
          </w:p>
        </w:tc>
        <w:tc>
          <w:tcPr>
            <w:tcW w:w="86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Net income</w:t>
            </w:r>
          </w:p>
        </w:tc>
        <w:tc>
          <w:tcPr>
            <w:tcW w:w="200" w:type="dxa"/>
            <w:vAlign w:val="bottom"/>
            <w:tcBorders>
              <w:bottom w:val="single" w:sz="8" w:color="006DB6"/>
            </w:tcBorders>
          </w:tcPr>
          <w:p>
            <w:pPr>
              <w:spacing w:after="0"/>
              <w:rPr>
                <w:sz w:val="18"/>
                <w:szCs w:val="18"/>
                <w:color w:val="auto"/>
              </w:rPr>
            </w:pPr>
          </w:p>
        </w:tc>
        <w:tc>
          <w:tcPr>
            <w:tcW w:w="700" w:type="dxa"/>
            <w:vAlign w:val="bottom"/>
            <w:tcBorders>
              <w:bottom w:val="single" w:sz="8" w:color="006DB6"/>
            </w:tcBorders>
          </w:tcPr>
          <w:p>
            <w:pPr>
              <w:jc w:val="right"/>
              <w:spacing w:after="0"/>
              <w:rPr>
                <w:sz w:val="20"/>
                <w:szCs w:val="20"/>
                <w:color w:val="auto"/>
              </w:rPr>
            </w:pPr>
            <w:r>
              <w:rPr>
                <w:rFonts w:ascii="Arial" w:cs="Arial" w:eastAsia="Arial" w:hAnsi="Arial"/>
                <w:sz w:val="13"/>
                <w:szCs w:val="13"/>
                <w:b w:val="1"/>
                <w:bCs w:val="1"/>
                <w:color w:val="706F6F"/>
              </w:rPr>
              <w:t xml:space="preserve">EBITDA </w:t>
            </w:r>
            <w:r>
              <w:rPr>
                <w:rFonts w:ascii="Arial" w:cs="Arial" w:eastAsia="Arial" w:hAnsi="Arial"/>
                <w:sz w:val="16"/>
                <w:szCs w:val="16"/>
                <w:b w:val="1"/>
                <w:bCs w:val="1"/>
                <w:color w:val="706F6F"/>
                <w:vertAlign w:val="superscript"/>
              </w:rPr>
              <w:t>(4)</w:t>
            </w:r>
          </w:p>
        </w:tc>
      </w:tr>
      <w:tr>
        <w:trPr>
          <w:trHeight w:val="208"/>
        </w:trPr>
        <w:tc>
          <w:tcPr>
            <w:tcW w:w="44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6,311,862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2,111,457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1,743,879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799,567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151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30,157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102,034</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2"/>
        </w:trPr>
        <w:tc>
          <w:tcPr>
            <w:tcW w:w="44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4,717,785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7,588,418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1,479,626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2,103,054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201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3,997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112,769</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1"/>
        </w:trPr>
        <w:tc>
          <w:tcPr>
            <w:tcW w:w="440" w:type="dxa"/>
            <w:vAlign w:val="bottom"/>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5,058,691</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5,758,550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1,419,852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1,553,294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124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1,350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109,140</w:t>
            </w:r>
          </w:p>
        </w:tc>
      </w:tr>
      <w:tr>
        <w:trPr>
          <w:trHeight w:val="22"/>
        </w:trPr>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02"/>
        </w:trPr>
        <w:tc>
          <w:tcPr>
            <w:tcW w:w="440" w:type="dxa"/>
            <w:vAlign w:val="bottom"/>
          </w:tcPr>
          <w:p>
            <w:pPr>
              <w:ind w:left="20"/>
              <w:spacing w:after="0"/>
              <w:rPr>
                <w:sz w:val="20"/>
                <w:szCs w:val="20"/>
                <w:color w:val="auto"/>
              </w:rPr>
            </w:pPr>
            <w:r>
              <w:rPr>
                <w:rFonts w:ascii="Arial" w:cs="Arial" w:eastAsia="Arial" w:hAnsi="Arial"/>
                <w:sz w:val="14"/>
                <w:szCs w:val="14"/>
                <w:color w:val="auto"/>
              </w:rPr>
              <w:t>2020</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2,970,075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3,119,918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902,522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948,035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90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(134,250)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108,142</w:t>
            </w:r>
          </w:p>
        </w:tc>
      </w:tr>
    </w:tbl>
    <w:p>
      <w:pPr>
        <w:spacing w:after="0" w:line="215" w:lineRule="exact"/>
        <w:rPr>
          <w:sz w:val="20"/>
          <w:szCs w:val="20"/>
          <w:color w:val="auto"/>
        </w:rPr>
      </w:pPr>
    </w:p>
    <w:p>
      <w:pPr>
        <w:ind w:left="260" w:right="100" w:hanging="252"/>
        <w:spacing w:after="0"/>
        <w:tabs>
          <w:tab w:leader="none" w:pos="264"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Amounts represent compensation “actually paid” to our Principal Executive Officer ("PEO"), Mr. Dodson, and the average compensation actually paid to our remaining NEOs for the relevant fiscal year, as determined under SEC rules (and described for 2023 below), which includes the individuals indicated in the table below for each fiscal year:</w:t>
      </w:r>
    </w:p>
    <w:p>
      <w:pPr>
        <w:spacing w:after="0" w:line="287"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680" w:type="dxa"/>
            <w:vAlign w:val="bottom"/>
          </w:tcPr>
          <w:p>
            <w:pPr>
              <w:ind w:left="20"/>
              <w:spacing w:after="0"/>
              <w:rPr>
                <w:sz w:val="20"/>
                <w:szCs w:val="20"/>
                <w:color w:val="auto"/>
              </w:rPr>
            </w:pPr>
            <w:r>
              <w:rPr>
                <w:rFonts w:ascii="Arial" w:cs="Arial" w:eastAsia="Arial" w:hAnsi="Arial"/>
                <w:sz w:val="13"/>
                <w:szCs w:val="13"/>
                <w:b w:val="1"/>
                <w:bCs w:val="1"/>
                <w:color w:val="706F6F"/>
              </w:rPr>
              <w:t>Year</w:t>
            </w:r>
          </w:p>
        </w:tc>
        <w:tc>
          <w:tcPr>
            <w:tcW w:w="1920" w:type="dxa"/>
            <w:vAlign w:val="bottom"/>
          </w:tcPr>
          <w:p>
            <w:pPr>
              <w:jc w:val="right"/>
              <w:ind w:right="350"/>
              <w:spacing w:after="0"/>
              <w:rPr>
                <w:sz w:val="20"/>
                <w:szCs w:val="20"/>
                <w:color w:val="auto"/>
              </w:rPr>
            </w:pPr>
            <w:r>
              <w:rPr>
                <w:rFonts w:ascii="Arial" w:cs="Arial" w:eastAsia="Arial" w:hAnsi="Arial"/>
                <w:sz w:val="13"/>
                <w:szCs w:val="13"/>
                <w:b w:val="1"/>
                <w:bCs w:val="1"/>
                <w:color w:val="706F6F"/>
              </w:rPr>
              <w:t>PEO</w:t>
            </w:r>
          </w:p>
        </w:tc>
        <w:tc>
          <w:tcPr>
            <w:tcW w:w="4220" w:type="dxa"/>
            <w:vAlign w:val="bottom"/>
          </w:tcPr>
          <w:p>
            <w:pPr>
              <w:jc w:val="right"/>
              <w:spacing w:after="0"/>
              <w:rPr>
                <w:sz w:val="20"/>
                <w:szCs w:val="20"/>
                <w:color w:val="auto"/>
              </w:rPr>
            </w:pPr>
            <w:r>
              <w:rPr>
                <w:rFonts w:ascii="Arial" w:cs="Arial" w:eastAsia="Arial" w:hAnsi="Arial"/>
                <w:sz w:val="13"/>
                <w:szCs w:val="13"/>
                <w:b w:val="1"/>
                <w:bCs w:val="1"/>
                <w:color w:val="706F6F"/>
              </w:rPr>
              <w:t>other NEOs</w:t>
            </w:r>
          </w:p>
        </w:tc>
      </w:tr>
      <w:tr>
        <w:trPr>
          <w:trHeight w:val="29"/>
        </w:trPr>
        <w:tc>
          <w:tcPr>
            <w:tcW w:w="680" w:type="dxa"/>
            <w:vAlign w:val="bottom"/>
            <w:tcBorders>
              <w:bottom w:val="single" w:sz="8" w:color="006DB6"/>
            </w:tcBorders>
          </w:tcPr>
          <w:p>
            <w:pPr>
              <w:spacing w:after="0"/>
              <w:rPr>
                <w:sz w:val="2"/>
                <w:szCs w:val="2"/>
                <w:color w:val="auto"/>
              </w:rPr>
            </w:pPr>
          </w:p>
        </w:tc>
        <w:tc>
          <w:tcPr>
            <w:tcW w:w="1920" w:type="dxa"/>
            <w:vAlign w:val="bottom"/>
            <w:tcBorders>
              <w:bottom w:val="single" w:sz="8" w:color="006DB6"/>
            </w:tcBorders>
          </w:tcPr>
          <w:p>
            <w:pPr>
              <w:spacing w:after="0"/>
              <w:rPr>
                <w:sz w:val="2"/>
                <w:szCs w:val="2"/>
                <w:color w:val="auto"/>
              </w:rPr>
            </w:pPr>
          </w:p>
        </w:tc>
        <w:tc>
          <w:tcPr>
            <w:tcW w:w="4220" w:type="dxa"/>
            <w:vAlign w:val="bottom"/>
            <w:tcBorders>
              <w:bottom w:val="single" w:sz="8" w:color="006DB6"/>
            </w:tcBorders>
          </w:tcPr>
          <w:p>
            <w:pPr>
              <w:spacing w:after="0"/>
              <w:rPr>
                <w:sz w:val="2"/>
                <w:szCs w:val="2"/>
                <w:color w:val="auto"/>
              </w:rPr>
            </w:pPr>
          </w:p>
        </w:tc>
      </w:tr>
      <w:tr>
        <w:trPr>
          <w:trHeight w:val="208"/>
        </w:trPr>
        <w:tc>
          <w:tcPr>
            <w:tcW w:w="680" w:type="dxa"/>
            <w:vAlign w:val="bottom"/>
          </w:tcPr>
          <w:p>
            <w:pPr>
              <w:ind w:left="20"/>
              <w:spacing w:after="0"/>
              <w:rPr>
                <w:sz w:val="20"/>
                <w:szCs w:val="20"/>
                <w:color w:val="auto"/>
              </w:rPr>
            </w:pPr>
            <w:r>
              <w:rPr>
                <w:rFonts w:ascii="Arial" w:cs="Arial" w:eastAsia="Arial" w:hAnsi="Arial"/>
                <w:sz w:val="14"/>
                <w:szCs w:val="14"/>
                <w:color w:val="auto"/>
              </w:rPr>
              <w:t>2023</w:t>
            </w:r>
          </w:p>
        </w:tc>
        <w:tc>
          <w:tcPr>
            <w:tcW w:w="1920" w:type="dxa"/>
            <w:vAlign w:val="bottom"/>
          </w:tcPr>
          <w:p>
            <w:pPr>
              <w:jc w:val="right"/>
              <w:ind w:right="350"/>
              <w:spacing w:after="0"/>
              <w:rPr>
                <w:sz w:val="20"/>
                <w:szCs w:val="20"/>
                <w:color w:val="auto"/>
              </w:rPr>
            </w:pPr>
            <w:r>
              <w:rPr>
                <w:rFonts w:ascii="Arial" w:cs="Arial" w:eastAsia="Arial" w:hAnsi="Arial"/>
                <w:sz w:val="14"/>
                <w:szCs w:val="14"/>
                <w:color w:val="auto"/>
              </w:rPr>
              <w:t>Bradley J. Dodson</w:t>
            </w:r>
          </w:p>
        </w:tc>
        <w:tc>
          <w:tcPr>
            <w:tcW w:w="4220" w:type="dxa"/>
            <w:vAlign w:val="bottom"/>
          </w:tcPr>
          <w:p>
            <w:pPr>
              <w:jc w:val="right"/>
              <w:spacing w:after="0"/>
              <w:rPr>
                <w:sz w:val="20"/>
                <w:szCs w:val="20"/>
                <w:color w:val="auto"/>
              </w:rPr>
            </w:pPr>
            <w:r>
              <w:rPr>
                <w:rFonts w:ascii="Arial" w:cs="Arial" w:eastAsia="Arial" w:hAnsi="Arial"/>
                <w:sz w:val="14"/>
                <w:szCs w:val="14"/>
                <w:color w:val="auto"/>
              </w:rPr>
              <w:t>Carolyn J. Stone, Peter L. McCann and Allan D. Schoening</w:t>
            </w: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202"/>
        </w:trPr>
        <w:tc>
          <w:tcPr>
            <w:tcW w:w="680" w:type="dxa"/>
            <w:vAlign w:val="bottom"/>
          </w:tcPr>
          <w:p>
            <w:pPr>
              <w:ind w:left="20"/>
              <w:spacing w:after="0"/>
              <w:rPr>
                <w:sz w:val="20"/>
                <w:szCs w:val="20"/>
                <w:color w:val="auto"/>
              </w:rPr>
            </w:pPr>
            <w:r>
              <w:rPr>
                <w:rFonts w:ascii="Arial" w:cs="Arial" w:eastAsia="Arial" w:hAnsi="Arial"/>
                <w:sz w:val="14"/>
                <w:szCs w:val="14"/>
                <w:color w:val="auto"/>
              </w:rPr>
              <w:t>2022</w:t>
            </w:r>
          </w:p>
        </w:tc>
        <w:tc>
          <w:tcPr>
            <w:tcW w:w="1920" w:type="dxa"/>
            <w:vAlign w:val="bottom"/>
          </w:tcPr>
          <w:p>
            <w:pPr>
              <w:jc w:val="right"/>
              <w:ind w:right="350"/>
              <w:spacing w:after="0"/>
              <w:rPr>
                <w:sz w:val="20"/>
                <w:szCs w:val="20"/>
                <w:color w:val="auto"/>
              </w:rPr>
            </w:pPr>
            <w:r>
              <w:rPr>
                <w:rFonts w:ascii="Arial" w:cs="Arial" w:eastAsia="Arial" w:hAnsi="Arial"/>
                <w:sz w:val="14"/>
                <w:szCs w:val="14"/>
                <w:color w:val="auto"/>
              </w:rPr>
              <w:t>Bradley J. Dodson</w:t>
            </w:r>
          </w:p>
        </w:tc>
        <w:tc>
          <w:tcPr>
            <w:tcW w:w="4220" w:type="dxa"/>
            <w:vAlign w:val="bottom"/>
          </w:tcPr>
          <w:p>
            <w:pPr>
              <w:jc w:val="right"/>
              <w:spacing w:after="0"/>
              <w:rPr>
                <w:sz w:val="20"/>
                <w:szCs w:val="20"/>
                <w:color w:val="auto"/>
              </w:rPr>
            </w:pPr>
            <w:r>
              <w:rPr>
                <w:rFonts w:ascii="Arial" w:cs="Arial" w:eastAsia="Arial" w:hAnsi="Arial"/>
                <w:sz w:val="14"/>
                <w:szCs w:val="14"/>
                <w:color w:val="auto"/>
              </w:rPr>
              <w:t>Carolyn J. Stone, Peter L. McCann and Allan D. Schoening</w:t>
            </w: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201"/>
        </w:trPr>
        <w:tc>
          <w:tcPr>
            <w:tcW w:w="680" w:type="dxa"/>
            <w:vAlign w:val="bottom"/>
          </w:tcPr>
          <w:p>
            <w:pPr>
              <w:ind w:left="20"/>
              <w:spacing w:after="0"/>
              <w:rPr>
                <w:sz w:val="20"/>
                <w:szCs w:val="20"/>
                <w:color w:val="auto"/>
              </w:rPr>
            </w:pPr>
            <w:r>
              <w:rPr>
                <w:rFonts w:ascii="Arial" w:cs="Arial" w:eastAsia="Arial" w:hAnsi="Arial"/>
                <w:sz w:val="14"/>
                <w:szCs w:val="14"/>
                <w:color w:val="auto"/>
              </w:rPr>
              <w:t>2021</w:t>
            </w:r>
          </w:p>
        </w:tc>
        <w:tc>
          <w:tcPr>
            <w:tcW w:w="1920" w:type="dxa"/>
            <w:vAlign w:val="bottom"/>
          </w:tcPr>
          <w:p>
            <w:pPr>
              <w:jc w:val="right"/>
              <w:ind w:right="350"/>
              <w:spacing w:after="0"/>
              <w:rPr>
                <w:sz w:val="20"/>
                <w:szCs w:val="20"/>
                <w:color w:val="auto"/>
              </w:rPr>
            </w:pPr>
            <w:r>
              <w:rPr>
                <w:rFonts w:ascii="Arial" w:cs="Arial" w:eastAsia="Arial" w:hAnsi="Arial"/>
                <w:sz w:val="14"/>
                <w:szCs w:val="14"/>
                <w:color w:val="auto"/>
              </w:rPr>
              <w:t>Bradley J. Dodson</w:t>
            </w:r>
          </w:p>
        </w:tc>
        <w:tc>
          <w:tcPr>
            <w:tcW w:w="4220" w:type="dxa"/>
            <w:vAlign w:val="bottom"/>
          </w:tcPr>
          <w:p>
            <w:pPr>
              <w:jc w:val="right"/>
              <w:spacing w:after="0"/>
              <w:rPr>
                <w:sz w:val="20"/>
                <w:szCs w:val="20"/>
                <w:color w:val="auto"/>
              </w:rPr>
            </w:pPr>
            <w:r>
              <w:rPr>
                <w:rFonts w:ascii="Arial" w:cs="Arial" w:eastAsia="Arial" w:hAnsi="Arial"/>
                <w:sz w:val="14"/>
                <w:szCs w:val="14"/>
                <w:color w:val="auto"/>
              </w:rPr>
              <w:t>Carolyn J. Stone, Peter L. McCann and Allan D. Schoening</w:t>
            </w:r>
          </w:p>
        </w:tc>
      </w:tr>
      <w:tr>
        <w:trPr>
          <w:trHeight w:val="22"/>
        </w:trPr>
        <w:tc>
          <w:tcPr>
            <w:tcW w:w="6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r>
      <w:tr>
        <w:trPr>
          <w:trHeight w:val="201"/>
        </w:trPr>
        <w:tc>
          <w:tcPr>
            <w:tcW w:w="680" w:type="dxa"/>
            <w:vAlign w:val="bottom"/>
          </w:tcPr>
          <w:p>
            <w:pPr>
              <w:ind w:left="20"/>
              <w:spacing w:after="0"/>
              <w:rPr>
                <w:sz w:val="20"/>
                <w:szCs w:val="20"/>
                <w:color w:val="auto"/>
              </w:rPr>
            </w:pPr>
            <w:r>
              <w:rPr>
                <w:rFonts w:ascii="Arial" w:cs="Arial" w:eastAsia="Arial" w:hAnsi="Arial"/>
                <w:sz w:val="14"/>
                <w:szCs w:val="14"/>
                <w:color w:val="auto"/>
              </w:rPr>
              <w:t>2020</w:t>
            </w:r>
          </w:p>
        </w:tc>
        <w:tc>
          <w:tcPr>
            <w:tcW w:w="1920" w:type="dxa"/>
            <w:vAlign w:val="bottom"/>
          </w:tcPr>
          <w:p>
            <w:pPr>
              <w:jc w:val="right"/>
              <w:ind w:right="350"/>
              <w:spacing w:after="0"/>
              <w:rPr>
                <w:sz w:val="20"/>
                <w:szCs w:val="20"/>
                <w:color w:val="auto"/>
              </w:rPr>
            </w:pPr>
            <w:r>
              <w:rPr>
                <w:rFonts w:ascii="Arial" w:cs="Arial" w:eastAsia="Arial" w:hAnsi="Arial"/>
                <w:sz w:val="14"/>
                <w:szCs w:val="14"/>
                <w:color w:val="auto"/>
              </w:rPr>
              <w:t>Bradley J. Dodson</w:t>
            </w:r>
          </w:p>
        </w:tc>
        <w:tc>
          <w:tcPr>
            <w:tcW w:w="4220" w:type="dxa"/>
            <w:vAlign w:val="bottom"/>
          </w:tcPr>
          <w:p>
            <w:pPr>
              <w:jc w:val="right"/>
              <w:spacing w:after="0"/>
              <w:rPr>
                <w:sz w:val="20"/>
                <w:szCs w:val="20"/>
                <w:color w:val="auto"/>
              </w:rPr>
            </w:pPr>
            <w:r>
              <w:rPr>
                <w:rFonts w:ascii="Arial" w:cs="Arial" w:eastAsia="Arial" w:hAnsi="Arial"/>
                <w:sz w:val="14"/>
                <w:szCs w:val="14"/>
                <w:color w:val="auto"/>
              </w:rPr>
              <w:t>Carolyn J. Stone, Peter L. McCann and Allan D. Schoening</w:t>
            </w:r>
          </w:p>
        </w:tc>
      </w:tr>
    </w:tbl>
    <w:p>
      <w:pPr>
        <w:spacing w:after="0" w:line="196" w:lineRule="exact"/>
        <w:rPr>
          <w:sz w:val="20"/>
          <w:szCs w:val="20"/>
          <w:color w:val="auto"/>
        </w:rPr>
      </w:pPr>
    </w:p>
    <w:p>
      <w:pPr>
        <w:ind w:left="260" w:right="100"/>
        <w:spacing w:after="0" w:line="242" w:lineRule="auto"/>
        <w:rPr>
          <w:sz w:val="20"/>
          <w:szCs w:val="20"/>
          <w:color w:val="auto"/>
        </w:rPr>
      </w:pPr>
      <w:r>
        <w:rPr>
          <w:rFonts w:ascii="Arial" w:cs="Arial" w:eastAsia="Arial" w:hAnsi="Arial"/>
          <w:sz w:val="16"/>
          <w:szCs w:val="16"/>
          <w:color w:val="auto"/>
        </w:rPr>
        <w:t>Compensation actually paid to our NEOs represents the “Total” compensation reported in the Summary Compensation Table for the applicable fiscal year, adjusted as set forth in the table below, in accordance with SEC rules. The dollar amounts shown do not reflect the value of compensation actually received by our NEOs during the applicable year. Instead, the dollar amounts include the values (or changes in value) of unvested and vested equity awards during the applicable year based on year-end share prices, vesting date share prices, various accounting valuation assumptions and projected performance related to our performance-based shares. "Compensation actually paid", determined in accordance with SEC rules, will generally fluctuate due to share price achievement and varying levels of projected and actual achievement of performance goals applicable to our performance-based shares. For a discussion of how our Compensation Committee assesses performance and our NEOs' pay each year, please see the Compensation Discussion and Analysis in the annual proxy statement for each of 2021 through 2024.</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83" w:lineRule="exact"/>
        <w:rPr>
          <w:sz w:val="20"/>
          <w:szCs w:val="20"/>
          <w:color w:val="auto"/>
        </w:rPr>
      </w:pPr>
    </w:p>
    <w:tbl>
      <w:tblPr>
        <w:tblLayout w:type="fixed"/>
        <w:tblInd w:w="680" w:type="dxa"/>
        <w:tblCellMar>
          <w:top w:w="0" w:type="dxa"/>
          <w:left w:w="0" w:type="dxa"/>
          <w:bottom w:w="0" w:type="dxa"/>
          <w:right w:w="0" w:type="dxa"/>
        </w:tblCellMar>
      </w:tblPr>
      <w:tr>
        <w:trPr>
          <w:trHeight w:val="172"/>
        </w:trPr>
        <w:tc>
          <w:tcPr>
            <w:tcW w:w="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(minus)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plus / (minus)</w:t>
            </w:r>
          </w:p>
        </w:tc>
        <w:tc>
          <w:tcPr>
            <w:tcW w:w="0" w:type="dxa"/>
            <w:vAlign w:val="bottom"/>
          </w:tcPr>
          <w:p>
            <w:pPr>
              <w:spacing w:after="0"/>
              <w:rPr>
                <w:sz w:val="1"/>
                <w:szCs w:val="1"/>
                <w:color w:val="auto"/>
              </w:rPr>
            </w:pPr>
          </w:p>
        </w:tc>
      </w:tr>
      <w:tr>
        <w:trPr>
          <w:trHeight w:val="22"/>
        </w:trPr>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4"/>
        </w:trPr>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w w:val="96"/>
              </w:rPr>
              <w:t>Grant Date Fair Value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Fair Value at Fiscal</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of Stock Awards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Year-End of</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706F6F"/>
              </w:rPr>
              <w:t>Summary</w:t>
            </w: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Granted in Fiscal</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Outstanding and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Year Reported in</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Unvested Stock</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700" w:type="dxa"/>
            <w:vAlign w:val="bottom"/>
          </w:tcPr>
          <w:p>
            <w:pPr>
              <w:jc w:val="right"/>
              <w:ind w:right="137"/>
              <w:spacing w:after="0"/>
              <w:rPr>
                <w:sz w:val="20"/>
                <w:szCs w:val="20"/>
                <w:color w:val="auto"/>
              </w:rPr>
            </w:pPr>
            <w:r>
              <w:rPr>
                <w:rFonts w:ascii="Arial" w:cs="Arial" w:eastAsia="Arial" w:hAnsi="Arial"/>
                <w:sz w:val="13"/>
                <w:szCs w:val="13"/>
                <w:b w:val="1"/>
                <w:bCs w:val="1"/>
                <w:color w:val="706F6F"/>
              </w:rPr>
              <w:t>Compensation Table</w:t>
            </w: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Summary</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Awards Granted in</w:t>
            </w:r>
          </w:p>
        </w:tc>
        <w:tc>
          <w:tcPr>
            <w:tcW w:w="0" w:type="dxa"/>
            <w:vAlign w:val="bottom"/>
          </w:tcPr>
          <w:p>
            <w:pPr>
              <w:spacing w:after="0"/>
              <w:rPr>
                <w:sz w:val="1"/>
                <w:szCs w:val="1"/>
                <w:color w:val="auto"/>
              </w:rPr>
            </w:pPr>
          </w:p>
        </w:tc>
      </w:tr>
      <w:tr>
        <w:trPr>
          <w:trHeight w:val="172"/>
        </w:trPr>
        <w:tc>
          <w:tcPr>
            <w:tcW w:w="540" w:type="dxa"/>
            <w:vAlign w:val="bottom"/>
          </w:tcPr>
          <w:p>
            <w:pPr>
              <w:spacing w:after="0"/>
              <w:rPr>
                <w:sz w:val="20"/>
                <w:szCs w:val="20"/>
                <w:color w:val="auto"/>
              </w:rPr>
            </w:pPr>
            <w:r>
              <w:rPr>
                <w:rFonts w:ascii="Arial" w:cs="Arial" w:eastAsia="Arial" w:hAnsi="Arial"/>
                <w:sz w:val="13"/>
                <w:szCs w:val="13"/>
                <w:b w:val="1"/>
                <w:bCs w:val="1"/>
                <w:color w:val="706F6F"/>
              </w:rPr>
              <w:t>Year</w:t>
            </w:r>
          </w:p>
        </w:tc>
        <w:tc>
          <w:tcPr>
            <w:tcW w:w="1700" w:type="dxa"/>
            <w:vAlign w:val="bottom"/>
          </w:tcPr>
          <w:p>
            <w:pPr>
              <w:jc w:val="right"/>
              <w:ind w:right="137"/>
              <w:spacing w:after="0"/>
              <w:rPr>
                <w:sz w:val="20"/>
                <w:szCs w:val="20"/>
                <w:color w:val="auto"/>
              </w:rPr>
            </w:pPr>
            <w:r>
              <w:rPr>
                <w:rFonts w:ascii="Arial" w:cs="Arial" w:eastAsia="Arial" w:hAnsi="Arial"/>
                <w:sz w:val="13"/>
                <w:szCs w:val="13"/>
                <w:b w:val="1"/>
                <w:bCs w:val="1"/>
                <w:color w:val="706F6F"/>
              </w:rPr>
              <w:t>Total</w:t>
            </w:r>
          </w:p>
        </w:tc>
        <w:tc>
          <w:tcPr>
            <w:tcW w:w="1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Compensation Table</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706F6F"/>
              </w:rPr>
              <w:t>Fiscal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6223635"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236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plus / (minus)</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plus / (minus)</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706F6F"/>
              </w:rPr>
              <w:t>equals</w:t>
            </w:r>
          </w:p>
        </w:tc>
        <w:tc>
          <w:tcPr>
            <w:tcW w:w="0" w:type="dxa"/>
            <w:vAlign w:val="bottom"/>
          </w:tcPr>
          <w:p>
            <w:pPr>
              <w:spacing w:after="0"/>
              <w:rPr>
                <w:sz w:val="1"/>
                <w:szCs w:val="1"/>
                <w:color w:val="auto"/>
              </w:rPr>
            </w:pPr>
          </w:p>
        </w:tc>
      </w:tr>
      <w:tr>
        <w:trPr>
          <w:trHeight w:val="22"/>
        </w:trPr>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15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706F6F"/>
              </w:rPr>
              <w:t>Change in Fair Value</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Change in Fair Value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gridSpan w:val="2"/>
            <w:vMerge w:val="continue"/>
          </w:tcPr>
          <w:p>
            <w:pPr>
              <w:spacing w:after="0"/>
              <w:rPr>
                <w:sz w:val="12"/>
                <w:szCs w:val="12"/>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from Prior Fiscal Year-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from Prior Fiscal</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End to Vesting Date of</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Year-End to Current</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Stock Awards Granted</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Fiscal Year-End of</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w w:val="95"/>
              </w:rPr>
              <w:t>in Prior Years for which</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Outstanding and</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Applicable Vesting</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Unvested Stock</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Conditions were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Awards Granted in</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w w:val="99"/>
              </w:rPr>
              <w:t>Satisfied During Fiscal</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706F6F"/>
              </w:rPr>
              <w:t>Compensation</w:t>
            </w:r>
          </w:p>
        </w:tc>
        <w:tc>
          <w:tcPr>
            <w:tcW w:w="0" w:type="dxa"/>
            <w:vAlign w:val="bottom"/>
          </w:tcPr>
          <w:p>
            <w:pPr>
              <w:spacing w:after="0"/>
              <w:rPr>
                <w:sz w:val="1"/>
                <w:szCs w:val="1"/>
                <w:color w:val="auto"/>
              </w:rPr>
            </w:pPr>
          </w:p>
        </w:tc>
      </w:tr>
      <w:tr>
        <w:trPr>
          <w:trHeight w:val="185"/>
        </w:trPr>
        <w:tc>
          <w:tcPr>
            <w:tcW w:w="15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Prior Fiscal Years</w:t>
            </w:r>
          </w:p>
        </w:tc>
        <w:tc>
          <w:tcPr>
            <w:tcW w:w="1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706F6F"/>
              </w:rPr>
              <w:t>Year</w:t>
            </w:r>
          </w:p>
        </w:tc>
        <w:tc>
          <w:tcPr>
            <w:tcW w:w="1340" w:type="dxa"/>
            <w:vAlign w:val="bottom"/>
          </w:tcPr>
          <w:p>
            <w:pPr>
              <w:jc w:val="right"/>
              <w:spacing w:after="0"/>
              <w:rPr>
                <w:sz w:val="20"/>
                <w:szCs w:val="20"/>
                <w:color w:val="auto"/>
              </w:rPr>
            </w:pPr>
            <w:r>
              <w:rPr>
                <w:rFonts w:ascii="Arial" w:cs="Arial" w:eastAsia="Arial" w:hAnsi="Arial"/>
                <w:sz w:val="13"/>
                <w:szCs w:val="13"/>
                <w:b w:val="1"/>
                <w:bCs w:val="1"/>
                <w:color w:val="706F6F"/>
              </w:rPr>
              <w:t>Actually Paid</w:t>
            </w: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2">
            <w:col w:w="5740" w:space="200"/>
            <w:col w:w="5280"/>
          </w:cols>
          <w:pgMar w:left="320" w:top="125" w:right="359" w:bottom="1440" w:gutter="0" w:footer="0" w:header="0"/>
          <w:type w:val="continuous"/>
        </w:sect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Mr. Dodson</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800" w:type="dxa"/>
            <w:vAlign w:val="bottom"/>
            <w:tcBorders>
              <w:bottom w:val="single" w:sz="8" w:color="006DB6"/>
            </w:tcBorders>
            <w:gridSpan w:val="2"/>
          </w:tcPr>
          <w:p>
            <w:pPr>
              <w:ind w:left="20"/>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006DB6"/>
            </w:tcBorders>
          </w:tcPr>
          <w:p>
            <w:pPr>
              <w:spacing w:after="0"/>
              <w:rPr>
                <w:sz w:val="21"/>
                <w:szCs w:val="21"/>
                <w:color w:val="auto"/>
              </w:rPr>
            </w:pPr>
          </w:p>
        </w:tc>
        <w:tc>
          <w:tcPr>
            <w:tcW w:w="320" w:type="dxa"/>
            <w:vAlign w:val="bottom"/>
            <w:tcBorders>
              <w:bottom w:val="single" w:sz="8" w:color="006DB6"/>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006DB6"/>
            </w:tcBorders>
            <w:gridSpan w:val="2"/>
          </w:tcPr>
          <w:p>
            <w:pPr>
              <w:jc w:val="right"/>
              <w:ind w:right="180"/>
              <w:spacing w:after="0"/>
              <w:rPr>
                <w:sz w:val="20"/>
                <w:szCs w:val="20"/>
                <w:color w:val="auto"/>
              </w:rPr>
            </w:pPr>
            <w:r>
              <w:rPr>
                <w:rFonts w:ascii="Arial" w:cs="Arial" w:eastAsia="Arial" w:hAnsi="Arial"/>
                <w:sz w:val="14"/>
                <w:szCs w:val="14"/>
                <w:color w:val="auto"/>
              </w:rPr>
              <w:t>6,311,862</w:t>
            </w:r>
          </w:p>
        </w:tc>
        <w:tc>
          <w:tcPr>
            <w:tcW w:w="460" w:type="dxa"/>
            <w:vAlign w:val="bottom"/>
            <w:tcBorders>
              <w:bottom w:val="single" w:sz="8" w:color="006DB6"/>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006DB6"/>
            </w:tcBorders>
          </w:tcPr>
          <w:p>
            <w:pPr>
              <w:jc w:val="right"/>
              <w:ind w:right="88"/>
              <w:spacing w:after="0"/>
              <w:rPr>
                <w:sz w:val="20"/>
                <w:szCs w:val="20"/>
                <w:color w:val="auto"/>
              </w:rPr>
            </w:pPr>
            <w:r>
              <w:rPr>
                <w:rFonts w:ascii="Arial" w:cs="Arial" w:eastAsia="Arial" w:hAnsi="Arial"/>
                <w:sz w:val="14"/>
                <w:szCs w:val="14"/>
                <w:color w:val="auto"/>
              </w:rPr>
              <w:t>(2,811,698)</w:t>
            </w:r>
          </w:p>
        </w:tc>
        <w:tc>
          <w:tcPr>
            <w:tcW w:w="440" w:type="dxa"/>
            <w:vAlign w:val="bottom"/>
            <w:tcBorders>
              <w:bottom w:val="single" w:sz="8" w:color="006DB6"/>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006DB6"/>
            </w:tcBorders>
          </w:tcPr>
          <w:p>
            <w:pPr>
              <w:jc w:val="right"/>
              <w:ind w:right="108"/>
              <w:spacing w:after="0"/>
              <w:rPr>
                <w:sz w:val="20"/>
                <w:szCs w:val="20"/>
                <w:color w:val="auto"/>
              </w:rPr>
            </w:pPr>
            <w:r>
              <w:rPr>
                <w:rFonts w:ascii="Arial" w:cs="Arial" w:eastAsia="Arial" w:hAnsi="Arial"/>
                <w:sz w:val="14"/>
                <w:szCs w:val="14"/>
                <w:color w:val="auto"/>
              </w:rPr>
              <w:t>1,576,080</w:t>
            </w:r>
          </w:p>
        </w:tc>
        <w:tc>
          <w:tcPr>
            <w:tcW w:w="460" w:type="dxa"/>
            <w:vAlign w:val="bottom"/>
            <w:tcBorders>
              <w:bottom w:val="single" w:sz="8" w:color="006DB6"/>
            </w:tcBorders>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006DB6"/>
            </w:tcBorders>
          </w:tcPr>
          <w:p>
            <w:pPr>
              <w:jc w:val="right"/>
              <w:ind w:right="108"/>
              <w:spacing w:after="0"/>
              <w:rPr>
                <w:sz w:val="20"/>
                <w:szCs w:val="20"/>
                <w:color w:val="auto"/>
              </w:rPr>
            </w:pPr>
            <w:r>
              <w:rPr>
                <w:rFonts w:ascii="Arial" w:cs="Arial" w:eastAsia="Arial" w:hAnsi="Arial"/>
                <w:sz w:val="14"/>
                <w:szCs w:val="14"/>
                <w:color w:val="auto"/>
              </w:rPr>
              <w:t>(2,976,510)</w:t>
            </w:r>
          </w:p>
        </w:tc>
        <w:tc>
          <w:tcPr>
            <w:tcW w:w="620" w:type="dxa"/>
            <w:vAlign w:val="bottom"/>
            <w:tcBorders>
              <w:bottom w:val="single" w:sz="8" w:color="006DB6"/>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006DB6"/>
            </w:tcBorders>
          </w:tcPr>
          <w:p>
            <w:pPr>
              <w:jc w:val="right"/>
              <w:ind w:right="108"/>
              <w:spacing w:after="0"/>
              <w:rPr>
                <w:sz w:val="20"/>
                <w:szCs w:val="20"/>
                <w:color w:val="auto"/>
              </w:rPr>
            </w:pPr>
            <w:r>
              <w:rPr>
                <w:rFonts w:ascii="Arial" w:cs="Arial" w:eastAsia="Arial" w:hAnsi="Arial"/>
                <w:sz w:val="14"/>
                <w:szCs w:val="14"/>
                <w:color w:val="auto"/>
              </w:rPr>
              <w:t>11,723</w:t>
            </w:r>
          </w:p>
        </w:tc>
        <w:tc>
          <w:tcPr>
            <w:tcW w:w="500" w:type="dxa"/>
            <w:vAlign w:val="bottom"/>
            <w:tcBorders>
              <w:bottom w:val="single" w:sz="8" w:color="006DB6"/>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006DB6"/>
            </w:tcBorders>
          </w:tcPr>
          <w:p>
            <w:pPr>
              <w:jc w:val="right"/>
              <w:spacing w:after="0"/>
              <w:rPr>
                <w:sz w:val="20"/>
                <w:szCs w:val="20"/>
                <w:color w:val="auto"/>
              </w:rPr>
            </w:pPr>
            <w:r>
              <w:rPr>
                <w:rFonts w:ascii="Arial" w:cs="Arial" w:eastAsia="Arial" w:hAnsi="Arial"/>
                <w:sz w:val="14"/>
                <w:szCs w:val="14"/>
                <w:color w:val="auto"/>
              </w:rPr>
              <w:t>2,111,457</w:t>
            </w:r>
          </w:p>
        </w:tc>
      </w:tr>
      <w:tr>
        <w:trPr>
          <w:trHeight w:val="176"/>
        </w:trPr>
        <w:tc>
          <w:tcPr>
            <w:tcW w:w="20" w:type="dxa"/>
            <w:vAlign w:val="bottom"/>
          </w:tcPr>
          <w:p>
            <w:pPr>
              <w:spacing w:after="0"/>
              <w:rPr>
                <w:sz w:val="15"/>
                <w:szCs w:val="15"/>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rPr>
              <w:t>Average of other NEOs</w:t>
            </w: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8"/>
        </w:trPr>
        <w:tc>
          <w:tcPr>
            <w:tcW w:w="80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40" w:type="dxa"/>
            <w:vAlign w:val="bottom"/>
          </w:tcPr>
          <w:p>
            <w:pPr>
              <w:spacing w:after="0"/>
              <w:rPr>
                <w:sz w:val="19"/>
                <w:szCs w:val="19"/>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1,743,879</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(627,764)</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351,884</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(671,016)</w:t>
            </w:r>
          </w:p>
        </w:tc>
        <w:tc>
          <w:tcPr>
            <w:tcW w:w="62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2,584</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799,567</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436880</wp:posOffset>
            </wp:positionV>
            <wp:extent cx="394335" cy="196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006DB6"/>
        </w:rPr>
        <w:t>Executive Compensation</w:t>
      </w:r>
    </w:p>
    <w:p>
      <w:pPr>
        <w:spacing w:after="0" w:line="200" w:lineRule="exact"/>
        <w:rPr>
          <w:sz w:val="20"/>
          <w:szCs w:val="20"/>
          <w:color w:val="auto"/>
        </w:rPr>
      </w:pPr>
    </w:p>
    <w:p>
      <w:pPr>
        <w:spacing w:after="0" w:line="372"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Adjustments for stock options are not included as the NEOs do not have any outstanding options, and Civeo has not issued any options since it became an independent, publicly traded company in 2014. Adjustments for pension plans are not included as the Company does not offer a pension plan for which the NEOs are eligible.</w:t>
      </w:r>
    </w:p>
    <w:p>
      <w:pPr>
        <w:spacing w:after="0" w:line="61" w:lineRule="exact"/>
        <w:rPr>
          <w:sz w:val="20"/>
          <w:szCs w:val="20"/>
          <w:color w:val="auto"/>
        </w:rPr>
      </w:pPr>
    </w:p>
    <w:p>
      <w:pPr>
        <w:ind w:left="260" w:right="120" w:hanging="252"/>
        <w:spacing w:after="0" w:line="231"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TSR represents cumulative TSR on an initial base investment of $100 for the measurement periods beginning on December 31, 2019 and ending on December 31 of each of 2020, 2021, 2022 and 2023.</w:t>
      </w:r>
    </w:p>
    <w:p>
      <w:pPr>
        <w:spacing w:after="0" w:line="6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For each relevant fiscal year, represents the cumulative TSR (the "Peer Group TSR") of the PHLX Oil Service Sector Index.</w:t>
      </w:r>
    </w:p>
    <w:p>
      <w:pPr>
        <w:spacing w:after="0" w:line="93" w:lineRule="exact"/>
        <w:rPr>
          <w:rFonts w:ascii="Arial" w:cs="Arial" w:eastAsia="Arial" w:hAnsi="Arial"/>
          <w:sz w:val="19"/>
          <w:szCs w:val="19"/>
          <w:color w:val="auto"/>
          <w:vertAlign w:val="superscript"/>
        </w:rPr>
      </w:pPr>
    </w:p>
    <w:p>
      <w:pPr>
        <w:ind w:left="260" w:right="360" w:hanging="252"/>
        <w:spacing w:after="0" w:line="222"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Adjusted EBITDA is a non-GAAP measure. Please see Appendix B for further information including a reconciliation of Adjusted EBITDA to the most comparable GAAP measure.</w:t>
      </w:r>
    </w:p>
    <w:p>
      <w:pPr>
        <w:spacing w:after="0" w:line="245"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Relationship Graphs</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following provides a graphical depiction of the relationships between compensation actually paid to our PEO and the average of the compensation actually paid to our remaining NEOs, and our cumulative TSR and Peer Group TSR, for each of the four years in the period ended December 31, 2023. TSR amounts reported in the graph assume an initial fixed investment of $100, and that all dividends, if any,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5674995" cy="2948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67499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As seen above, Civeo has delivered strong financial and operational performance leading to cumulative TSR that exceeds its peers, returning 51% from the beginning of 2020 to the end of 2023, whereas its peers have average returns of 15% during the same time period.</w:t>
      </w:r>
    </w:p>
    <w:p>
      <w:pPr>
        <w:spacing w:after="0" w:line="6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following charts compare each of our key financial results to compensation actually paid to our PEO and, on average, to our other NEOs, as compared to the Company's net income and adjusted EBITDA, for each of the four fiscal years in the period ended December 31, 2023.</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6DB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5674995" cy="624078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674995" cy="6240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Tabular Disclosure</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list includes the most important financial and non-financial measures used to link executive compensation and Civeo's performance during the fiscal year ended December 31, 2023.</w:t>
      </w:r>
    </w:p>
    <w:p>
      <w:pPr>
        <w:spacing w:after="0" w:line="61" w:lineRule="exact"/>
        <w:rPr>
          <w:sz w:val="20"/>
          <w:szCs w:val="20"/>
          <w:color w:val="auto"/>
        </w:rPr>
      </w:pPr>
    </w:p>
    <w:p>
      <w:pPr>
        <w:ind w:left="860" w:hanging="155"/>
        <w:spacing w:after="0"/>
        <w:tabs>
          <w:tab w:leader="none" w:pos="86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Adjusted EBITDA</w:t>
      </w:r>
    </w:p>
    <w:p>
      <w:pPr>
        <w:spacing w:after="0" w:line="72" w:lineRule="exact"/>
        <w:rPr>
          <w:rFonts w:ascii="Arial" w:cs="Arial" w:eastAsia="Arial" w:hAnsi="Arial"/>
          <w:sz w:val="16"/>
          <w:szCs w:val="16"/>
          <w:color w:val="006DB6"/>
        </w:rPr>
      </w:pPr>
    </w:p>
    <w:p>
      <w:pPr>
        <w:ind w:left="860" w:hanging="155"/>
        <w:spacing w:after="0"/>
        <w:tabs>
          <w:tab w:leader="none" w:pos="86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Operating cash flow</w:t>
      </w:r>
    </w:p>
    <w:p>
      <w:pPr>
        <w:spacing w:after="0" w:line="86" w:lineRule="exact"/>
        <w:rPr>
          <w:rFonts w:ascii="Arial" w:cs="Arial" w:eastAsia="Arial" w:hAnsi="Arial"/>
          <w:sz w:val="16"/>
          <w:szCs w:val="16"/>
          <w:color w:val="006DB6"/>
        </w:rPr>
      </w:pPr>
    </w:p>
    <w:p>
      <w:pPr>
        <w:ind w:left="860" w:hanging="155"/>
        <w:spacing w:after="0"/>
        <w:tabs>
          <w:tab w:leader="none" w:pos="86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Relative TSR</w:t>
      </w:r>
    </w:p>
    <w:p>
      <w:pPr>
        <w:spacing w:after="0" w:line="113" w:lineRule="exact"/>
        <w:rPr>
          <w:rFonts w:ascii="Arial" w:cs="Arial" w:eastAsia="Arial" w:hAnsi="Arial"/>
          <w:sz w:val="16"/>
          <w:szCs w:val="16"/>
          <w:color w:val="006DB6"/>
        </w:rPr>
      </w:pPr>
    </w:p>
    <w:p>
      <w:pPr>
        <w:ind w:left="860" w:hanging="155"/>
        <w:spacing w:after="0"/>
        <w:tabs>
          <w:tab w:leader="none" w:pos="860" w:val="left"/>
        </w:tabs>
        <w:numPr>
          <w:ilvl w:val="0"/>
          <w:numId w:val="55"/>
        </w:numPr>
        <w:rPr>
          <w:rFonts w:ascii="Arial" w:cs="Arial" w:eastAsia="Arial" w:hAnsi="Arial"/>
          <w:sz w:val="16"/>
          <w:szCs w:val="16"/>
          <w:color w:val="006DB6"/>
        </w:rPr>
      </w:pPr>
      <w:r>
        <w:rPr>
          <w:rFonts w:ascii="Arial" w:cs="Arial" w:eastAsia="Arial" w:hAnsi="Arial"/>
          <w:sz w:val="16"/>
          <w:szCs w:val="16"/>
          <w:color w:val="auto"/>
        </w:rPr>
        <w:t>Safety - TRIR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183515</wp:posOffset>
            </wp:positionV>
            <wp:extent cx="394335" cy="1968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45"/>
          <w:szCs w:val="45"/>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5568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3</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Ratification of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2024 and the internal control over financial reporting of Civeo at December 31, 2024. E&amp;Y has audited Civeo’s, or its predecessor’s, as applicable, consolidated financial statements beginning with the year ended December 31, 2010 through the year ended December 31, 2023. Our board of directors is asking shareholders to ratify the appointment of E&amp;Y as Civeo’s auditors for the year ending December 31, 2024 and until the next annual general meeting of shareholders and to authorize the directors, acting through the Audit Committee, to determine the remuneration to be paid to E&amp;Y for 2024. If the appointment is not ratified, the Audit Committee will consider whether it is appropriate to appoint another independent registered public accounting firm for 2025. Even if the selection is ratified, the Audit Committee in its discretion may appoint a different independent registered public accounting firm at any time during the year.</w:t>
      </w:r>
    </w:p>
    <w:p>
      <w:pPr>
        <w:spacing w:after="0" w:line="69"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29, 2024.</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058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332" w:lineRule="exact"/>
        <w:rPr>
          <w:sz w:val="20"/>
          <w:szCs w:val="20"/>
          <w:color w:val="auto"/>
        </w:rPr>
      </w:pPr>
    </w:p>
    <w:p>
      <w:pPr>
        <w:ind w:left="160" w:right="160"/>
        <w:spacing w:after="0" w:line="265" w:lineRule="auto"/>
        <w:rPr>
          <w:sz w:val="20"/>
          <w:szCs w:val="20"/>
          <w:color w:val="auto"/>
        </w:rPr>
      </w:pPr>
      <w:r>
        <w:rPr>
          <w:rFonts w:ascii="Arial" w:cs="Arial" w:eastAsia="Arial" w:hAnsi="Arial"/>
          <w:sz w:val="16"/>
          <w:szCs w:val="16"/>
          <w:color w:val="auto"/>
        </w:rPr>
        <w:t xml:space="preserve">The board of directors recommends that shareholders vote “ </w:t>
      </w:r>
      <w:r>
        <w:rPr>
          <w:rFonts w:ascii="Arial" w:cs="Arial" w:eastAsia="Arial" w:hAnsi="Arial"/>
          <w:sz w:val="16"/>
          <w:szCs w:val="16"/>
          <w:b w:val="1"/>
          <w:bCs w:val="1"/>
          <w:color w:val="006DB6"/>
        </w:rPr>
        <w:t>FOR</w:t>
      </w:r>
      <w:r>
        <w:rPr>
          <w:rFonts w:ascii="Arial" w:cs="Arial" w:eastAsia="Arial" w:hAnsi="Arial"/>
          <w:sz w:val="16"/>
          <w:szCs w:val="16"/>
          <w:color w:val="auto"/>
        </w:rPr>
        <w:t>” the ratification of the appointment of E&amp;Y as Civeo’s independent registered public accounting firm for the year ending December 31, 2024 and until the next annual general meeting of shareholders and the authorization of the directors of Civeo, acting through the Audit Committee, to determine the remuneration to be paid to E&amp;Y for 2024. The persons named in the accompanying proxy intend to vote such proxy in favor of this proposal, unless authority to vote for this proposal is withheld.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Fee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aggregate fees billed by and paid to E&amp;Y for 2023 and 2022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20" w:type="dxa"/>
            <w:vAlign w:val="bottom"/>
            <w:tcBorders>
              <w:bottom w:val="single" w:sz="8" w:color="006DB6"/>
            </w:tcBorders>
          </w:tcPr>
          <w:p>
            <w:pPr>
              <w:spacing w:after="0"/>
              <w:rPr>
                <w:sz w:val="19"/>
                <w:szCs w:val="19"/>
                <w:color w:val="auto"/>
              </w:rPr>
            </w:pPr>
          </w:p>
        </w:tc>
        <w:tc>
          <w:tcPr>
            <w:tcW w:w="260" w:type="dxa"/>
            <w:vAlign w:val="bottom"/>
            <w:tcBorders>
              <w:bottom w:val="single" w:sz="8" w:color="006DB6"/>
            </w:tcBorders>
          </w:tcPr>
          <w:p>
            <w:pPr>
              <w:spacing w:after="0"/>
              <w:rPr>
                <w:sz w:val="19"/>
                <w:szCs w:val="19"/>
                <w:color w:val="auto"/>
              </w:rPr>
            </w:pPr>
          </w:p>
        </w:tc>
        <w:tc>
          <w:tcPr>
            <w:tcW w:w="640" w:type="dxa"/>
            <w:vAlign w:val="bottom"/>
            <w:tcBorders>
              <w:bottom w:val="single" w:sz="8" w:color="006DB6"/>
            </w:tcBorders>
          </w:tcPr>
          <w:p>
            <w:pPr>
              <w:jc w:val="right"/>
              <w:ind w:right="221"/>
              <w:spacing w:after="0"/>
              <w:rPr>
                <w:sz w:val="20"/>
                <w:szCs w:val="20"/>
                <w:color w:val="auto"/>
              </w:rPr>
            </w:pPr>
            <w:r>
              <w:rPr>
                <w:rFonts w:ascii="Arial" w:cs="Arial" w:eastAsia="Arial" w:hAnsi="Arial"/>
                <w:sz w:val="14"/>
                <w:szCs w:val="14"/>
                <w:b w:val="1"/>
                <w:bCs w:val="1"/>
                <w:color w:val="706F6F"/>
              </w:rPr>
              <w:t>2023</w:t>
            </w:r>
          </w:p>
        </w:tc>
        <w:tc>
          <w:tcPr>
            <w:tcW w:w="1120" w:type="dxa"/>
            <w:vAlign w:val="bottom"/>
            <w:tcBorders>
              <w:bottom w:val="single" w:sz="8" w:color="006DB6"/>
            </w:tcBorders>
            <w:gridSpan w:val="2"/>
          </w:tcPr>
          <w:p>
            <w:pPr>
              <w:ind w:left="400"/>
              <w:spacing w:after="0"/>
              <w:rPr>
                <w:sz w:val="20"/>
                <w:szCs w:val="20"/>
                <w:color w:val="auto"/>
              </w:rPr>
            </w:pPr>
            <w:r>
              <w:rPr>
                <w:rFonts w:ascii="Arial" w:cs="Arial" w:eastAsia="Arial" w:hAnsi="Arial"/>
                <w:sz w:val="14"/>
                <w:szCs w:val="14"/>
                <w:b w:val="1"/>
                <w:bCs w:val="1"/>
                <w:color w:val="706F6F"/>
              </w:rPr>
              <w:t>2022</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 Fees</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1,874</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Audit-Related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Tax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Other Fees</w:t>
            </w:r>
          </w:p>
        </w:tc>
        <w:tc>
          <w:tcPr>
            <w:tcW w:w="260" w:type="dxa"/>
            <w:vAlign w:val="bottom"/>
            <w:tcBorders>
              <w:bottom w:val="single" w:sz="8" w:color="auto"/>
            </w:tcBorders>
            <w:shd w:val="clear" w:color="auto" w:fill="E8EEF7"/>
          </w:tcPr>
          <w:p>
            <w:pPr>
              <w:spacing w:after="0"/>
              <w:rPr>
                <w:sz w:val="24"/>
                <w:szCs w:val="24"/>
                <w:color w:val="auto"/>
              </w:rPr>
            </w:pP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77"/>
        </w:trPr>
        <w:tc>
          <w:tcPr>
            <w:tcW w:w="9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E8EEF7"/>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E8EEF7"/>
          </w:tcPr>
          <w:p>
            <w:pPr>
              <w:jc w:val="right"/>
              <w:ind w:right="1"/>
              <w:spacing w:after="0"/>
              <w:rPr>
                <w:sz w:val="20"/>
                <w:szCs w:val="20"/>
                <w:color w:val="auto"/>
              </w:rPr>
            </w:pPr>
            <w:r>
              <w:rPr>
                <w:rFonts w:ascii="Arial" w:cs="Arial" w:eastAsia="Arial" w:hAnsi="Arial"/>
                <w:sz w:val="16"/>
                <w:szCs w:val="16"/>
                <w:color w:val="auto"/>
              </w:rPr>
              <w:t>1,879</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 Fees</w:t>
      </w:r>
    </w:p>
    <w:p>
      <w:pPr>
        <w:spacing w:after="0" w:line="1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Audit-Related Fees</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Fees for audit-related services are fees paid for assurance and related services that are reasonably related to the performance of the audit or review of our financial statements not reported above under “Audit Fees” and principally include due diligence in connection with acquisitions, accounting consultations and audits in connections with acquisitions, and internal control reviews.</w:t>
      </w:r>
    </w:p>
    <w:p>
      <w:pPr>
        <w:spacing w:after="0" w:line="21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Tax Fees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professional services provided for tax compliance, tax advice and tax planning, except those rendered in connection with the audit.</w:t>
      </w:r>
    </w:p>
    <w:p>
      <w:pPr>
        <w:spacing w:after="0" w:line="282" w:lineRule="exact"/>
        <w:rPr>
          <w:sz w:val="20"/>
          <w:szCs w:val="20"/>
          <w:color w:val="auto"/>
        </w:rPr>
      </w:pPr>
    </w:p>
    <w:p>
      <w:pPr>
        <w:spacing w:after="0"/>
        <w:rPr>
          <w:sz w:val="20"/>
          <w:szCs w:val="20"/>
          <w:color w:val="auto"/>
        </w:rPr>
      </w:pPr>
      <w:r>
        <w:rPr>
          <w:rFonts w:ascii="Arial" w:cs="Arial" w:eastAsia="Arial" w:hAnsi="Arial"/>
          <w:sz w:val="29"/>
          <w:szCs w:val="29"/>
          <w:b w:val="1"/>
          <w:bCs w:val="1"/>
          <w:color w:val="006DB6"/>
        </w:rPr>
        <w:t>All Other Fees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All other fees include fees for access to an accounting research tool.</w:t>
      </w: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Pre-Approval Policy</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charter of the Audit Committee provides that the Audit Committee is responsible for the pre-approval of all auditing services and permitted non-audit services to be performed for Civeo by the independent auditors so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2023 and 2022 were pre-approved in accordance with our pre-approval policy. None of the services related to the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to encourage compliance with independence regulations.</w:t>
      </w: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Audit Committee Report</w:t>
      </w:r>
    </w:p>
    <w:p>
      <w:pPr>
        <w:spacing w:after="0" w:line="134"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board of directors appointed the undersigned independent directors as members of the Audit Committee and adopted a written charter setting forth the procedures and responsibilities of the committee. Responsibilities of the Audit Committee include overseeing the integrity of Civeo's financial statements and effectiveness of internal control over financial reporting, as well as overseeing risks related to the financial reporting process, regulatory compliance, litigation and cybersecurity, among other things.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96520</wp:posOffset>
            </wp:positionV>
            <wp:extent cx="394335" cy="1968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During 2023, and earlier in 2024 in preparation for the filing with the SEC of Civeo’s Annual Report on Form 10-K for the year ended December 31, 2023,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70" w:lineRule="exact"/>
        <w:rPr>
          <w:sz w:val="20"/>
          <w:szCs w:val="20"/>
          <w:color w:val="auto"/>
        </w:rPr>
      </w:pPr>
    </w:p>
    <w:p>
      <w:pPr>
        <w:ind w:left="200" w:right="320" w:hanging="192"/>
        <w:spacing w:after="0" w:line="299"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reviewed and discussed with management and E&amp;Y (1) the audited annual financial statements and quarterly financial statements, (2) related periodic reports filed with the SEC and (3) quarterly earnings press releases;</w:t>
      </w:r>
    </w:p>
    <w:p>
      <w:pPr>
        <w:ind w:left="180" w:hanging="172"/>
        <w:spacing w:after="0"/>
        <w:tabs>
          <w:tab w:leader="none" w:pos="18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reviewed the overall scope and plans for the audit and the results of E&amp;Y’s examinations;</w:t>
      </w:r>
    </w:p>
    <w:p>
      <w:pPr>
        <w:spacing w:after="0" w:line="86" w:lineRule="exact"/>
        <w:rPr>
          <w:rFonts w:ascii="Arial" w:cs="Arial" w:eastAsia="Arial" w:hAnsi="Arial"/>
          <w:sz w:val="16"/>
          <w:szCs w:val="16"/>
          <w:color w:val="006DB6"/>
        </w:rPr>
      </w:pPr>
    </w:p>
    <w:p>
      <w:pPr>
        <w:ind w:left="200" w:right="280" w:hanging="192"/>
        <w:spacing w:after="0" w:line="275"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spacing w:after="0" w:line="15" w:lineRule="exact"/>
        <w:rPr>
          <w:rFonts w:ascii="Arial" w:cs="Arial" w:eastAsia="Arial" w:hAnsi="Arial"/>
          <w:sz w:val="16"/>
          <w:szCs w:val="16"/>
          <w:color w:val="006DB6"/>
        </w:rPr>
      </w:pPr>
    </w:p>
    <w:p>
      <w:pPr>
        <w:ind w:left="200" w:right="660" w:hanging="192"/>
        <w:spacing w:after="0" w:line="304"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spacing w:after="0" w:line="6" w:lineRule="exact"/>
        <w:rPr>
          <w:rFonts w:ascii="Arial" w:cs="Arial" w:eastAsia="Arial" w:hAnsi="Arial"/>
          <w:sz w:val="16"/>
          <w:szCs w:val="16"/>
          <w:color w:val="006DB6"/>
        </w:rPr>
      </w:pPr>
    </w:p>
    <w:p>
      <w:pPr>
        <w:ind w:left="200" w:right="360" w:hanging="192"/>
        <w:spacing w:after="0" w:line="286"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received the written disclosures and the letter from E&amp;Y required by applicable requirements of the PCAOB regarding E&amp;Y’s communications with the Audit Committee concerning independence;</w:t>
      </w:r>
    </w:p>
    <w:p>
      <w:pPr>
        <w:spacing w:after="0" w:line="20" w:lineRule="exact"/>
        <w:rPr>
          <w:rFonts w:ascii="Arial" w:cs="Arial" w:eastAsia="Arial" w:hAnsi="Arial"/>
          <w:sz w:val="16"/>
          <w:szCs w:val="16"/>
          <w:color w:val="006DB6"/>
        </w:rPr>
      </w:pPr>
    </w:p>
    <w:p>
      <w:pPr>
        <w:ind w:left="200" w:right="20" w:hanging="192"/>
        <w:spacing w:after="0" w:line="265"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the PCAOB and the SEC, and (5) any issues deemed significant by E&amp;Y, including critical audit matters addressed during the audit;</w:t>
      </w:r>
    </w:p>
    <w:p>
      <w:pPr>
        <w:spacing w:after="0" w:line="37" w:lineRule="exact"/>
        <w:rPr>
          <w:rFonts w:ascii="Arial" w:cs="Arial" w:eastAsia="Arial" w:hAnsi="Arial"/>
          <w:sz w:val="16"/>
          <w:szCs w:val="16"/>
          <w:color w:val="006DB6"/>
        </w:rPr>
      </w:pPr>
    </w:p>
    <w:p>
      <w:pPr>
        <w:ind w:left="200" w:right="100" w:hanging="192"/>
        <w:spacing w:after="0" w:line="266"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2023 for filing with the SEC; and</w:t>
      </w:r>
    </w:p>
    <w:p>
      <w:pPr>
        <w:spacing w:after="0" w:line="36" w:lineRule="exact"/>
        <w:rPr>
          <w:rFonts w:ascii="Arial" w:cs="Arial" w:eastAsia="Arial" w:hAnsi="Arial"/>
          <w:sz w:val="16"/>
          <w:szCs w:val="16"/>
          <w:color w:val="006DB6"/>
        </w:rPr>
      </w:pPr>
    </w:p>
    <w:p>
      <w:pPr>
        <w:ind w:left="200" w:right="40" w:hanging="192"/>
        <w:spacing w:after="0" w:line="275" w:lineRule="auto"/>
        <w:tabs>
          <w:tab w:leader="none" w:pos="170" w:val="left"/>
        </w:tabs>
        <w:numPr>
          <w:ilvl w:val="0"/>
          <w:numId w:val="56"/>
        </w:numPr>
        <w:rPr>
          <w:rFonts w:ascii="Arial" w:cs="Arial" w:eastAsia="Arial" w:hAnsi="Arial"/>
          <w:sz w:val="16"/>
          <w:szCs w:val="16"/>
          <w:color w:val="006DB6"/>
        </w:rPr>
      </w:pPr>
      <w:r>
        <w:rPr>
          <w:rFonts w:ascii="Arial" w:cs="Arial" w:eastAsia="Arial" w:hAnsi="Arial"/>
          <w:sz w:val="16"/>
          <w:szCs w:val="16"/>
          <w:color w:val="auto"/>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spacing w:after="0" w:line="5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2023 and on the representations of the independent auditors included in their report on Civeo’s financial statements.</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spacing w:after="0" w:line="8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 xml:space="preserve">Constance B. Moore, </w:t>
      </w:r>
      <w:r>
        <w:rPr>
          <w:rFonts w:ascii="Arial" w:cs="Arial" w:eastAsia="Arial" w:hAnsi="Arial"/>
          <w:sz w:val="16"/>
          <w:szCs w:val="16"/>
          <w:b w:val="1"/>
          <w:bCs w:val="1"/>
          <w:i w:val="1"/>
          <w:iCs w:val="1"/>
          <w:color w:val="006DB6"/>
        </w:rPr>
        <w:t>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 Ronald Blankenship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Jay K. Grewal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Charles Szalkowski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5568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4</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DB6"/>
        </w:rPr>
        <w:t>Amendment to Articles to Declassify the Board and Phase-In Annual Director Elections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On December 13, 2023, Civeo’s board of directors unanimously approved, subject to shareholder approval, amendments to Articles 14.2, 14.6, 14.10 and 14.11 of our Articles to phase out the classification of our board of directors over a three-year period starting with Civeo’s next annual general meeting of shareholders, such that all directors are elected on an annual basis starting with the 2027 annual general meeting of shareholders (the “2027 Annual Meeting”) and to make certain related non-substantive changes to the Articles with respect to the filling of vacancies (the “Declassification Amendment”). We are asking that shareholders pass a special resolution to approve the Declassification Amendment. Our board of directors believes that the proposed amendments to Articles 14.2, 14.6, 14.10 and 14.11 of our Articles set forth in the Declassification Amendment are in the best interests of Civeo and its shareholders.</w:t>
      </w: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The following description is a summary only and is qualified in its entirety by reference to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which sets forth the proposed form of Amended and Restated Articles of the Company reflecting the Declassification Amendment, marking those changes specifically (additions to the Articles are indicated by underlining and deletions in the Articles are indicated by strikeouts).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FFC000"/>
        </w:rPr>
        <w:t>Background of the Declassification Amendment</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Article 14.2 of the Articles, the board of directors is currently divided into three classes as nearly equal in number as is reasonably possible. Each year our shareholders are asked to elect the directors comprising one of the classes for a three-year term. The term of the current Class I directors is set to expire at this annual general meeting. The term of the current Class II directors is set to expire at Civeo’s 2025 annual general meeting of shareholders (the “2025 Annual Meeting”) and the term of the current Class III directors is set to expire at Civeo’s 2026 annual general meeting of shareholders (the “2026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b w:val="1"/>
          <w:bCs w:val="1"/>
          <w:color w:val="FFC000"/>
        </w:rPr>
        <w:t>Purpose of the Declassification Amendment</w:t>
      </w:r>
    </w:p>
    <w:p>
      <w:pPr>
        <w:spacing w:after="0" w:line="24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board of directors regularly reviews the implementation of appropriate corporate governance measures. Most recently, our board of directors conducted a review of our classified board structure. In connection with this review, our board of directors considered the advantages of maintaining the classified board structure, as well as the advantages of declassifying the board. The advantages of the classified board structure include that a classified board may promote board continuity, encourage a long-term perspective by management and the board of directors, and provide protection against certain abusive takeover tactics, including by making it more difficult for one or more shareholders holding a large number of shares to replace the entire board of directors at once.</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the other hand, our board of directors understands that many investors believe that annually elected boards increase accountability of directors to a company’s shareholders. Our board of directors also recognizes that shareholders of public companies generally support shifting from classified boards to the annual election of directors. Following its review and consultation with our shareholders, including ATG Capital Management LLC, our board of directors determined that the Declassification Amendment better aligns our governance with governance practices supported by the investor community. A declassified board will enable Civeo’s shareholders to express a view on each director’s performance by means of an annual vote and will support Civeo’s ongoing efforts to foster “best practices” in corporate governance.</w:t>
      </w:r>
    </w:p>
    <w:p>
      <w:pPr>
        <w:spacing w:after="0" w:line="219"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Our board of directors evaluated the Declassification Amendment in light of the considerations described above. Based on these considerations, our board of directors, subject to shareholder approval, unanimously approved the Amended and Restated Articles setting forth the Declassification Amendment, declared the Amended and Restated Articles setting forth the Declassification Amendment advisable and in the best interests of Civeo and its shareholders, and unanimously resolved to submit the Declassification Amendment to our shareholders for approval and recommended that our shareholders adopt the Declassification Amendment. Notwithstanding the board of directors approval and recommendation described above, the changes reflected in the Amended and Restated Articles come into force and effect only following receipt of the requisite shareholder approval and delivery of such Amended and Restated Articles for deposit at the records office of Civeo.</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00"/>
        </w:rPr>
        <w:t>Effect of the Declassification Amendment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If the Declassification Amendment is approved by Civeo’s shareholders and implemented by Civeo, it would provide for the annual election of all directors</w:t>
      </w:r>
    </w:p>
    <w:p>
      <w:pPr>
        <w:spacing w:after="0" w:line="8"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beginning at the 2027 Annual Meeting, and the declassification of our board of directors would be phased in over a period of three years, as follows: (i) the current Class II directors will be elected at the 2025 Annual Meeting to serve for a term of one year expiring at the next succeeding annual general meeting</w:t>
      </w:r>
    </w:p>
    <w:p>
      <w:pPr>
        <w:jc w:val="both"/>
        <w:spacing w:after="0" w:line="228" w:lineRule="auto"/>
        <w:rPr>
          <w:sz w:val="20"/>
          <w:szCs w:val="20"/>
          <w:color w:val="auto"/>
        </w:rPr>
      </w:pPr>
      <w:r>
        <w:rPr>
          <w:rFonts w:ascii="Arial" w:cs="Arial" w:eastAsia="Arial" w:hAnsi="Arial"/>
          <w:sz w:val="16"/>
          <w:szCs w:val="16"/>
          <w:color w:val="auto"/>
        </w:rPr>
        <w:t>of shareholders, (ii) the current Class II and Class III directors will be elected at the 2026 Annual Meeting to serve for a term of one year expiring at the next succeeding annual general meeting of shareholders, and (iii) the current Class I, Class II and Class III directors will be elected at the 2027 Annual Meeting to serve for a term of one year expiring at the next succeeding annual general meeting of shareholders. The Declassification Amendment would not shorten the existing terms of our directors. Accordingly, a director who has been elected to a three-year term (including directors elected at this annual general meeting</w:t>
      </w:r>
    </w:p>
    <w:p>
      <w:pPr>
        <w:spacing w:after="0" w:line="3" w:lineRule="exact"/>
        <w:rPr>
          <w:sz w:val="20"/>
          <w:szCs w:val="20"/>
          <w:color w:val="auto"/>
        </w:rPr>
      </w:pPr>
    </w:p>
    <w:p>
      <w:pPr>
        <w:jc w:val="both"/>
        <w:ind w:right="20"/>
        <w:spacing w:after="0" w:line="235" w:lineRule="auto"/>
        <w:rPr>
          <w:sz w:val="20"/>
          <w:szCs w:val="20"/>
          <w:color w:val="auto"/>
        </w:rPr>
      </w:pPr>
      <w:r>
        <w:rPr>
          <w:rFonts w:ascii="Arial" w:cs="Arial" w:eastAsia="Arial" w:hAnsi="Arial"/>
          <w:sz w:val="16"/>
          <w:szCs w:val="16"/>
          <w:color w:val="auto"/>
        </w:rPr>
        <w:t>of shareholders) may complete that term. Beginning with the 2027 Annual Meeting, the declassification of our board of directors would be complete, and all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95885</wp:posOffset>
            </wp:positionV>
            <wp:extent cx="394335" cy="1968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006DB6"/>
        </w:rPr>
        <w:t>Audit Matters</w:t>
      </w:r>
    </w:p>
    <w:p>
      <w:pPr>
        <w:spacing w:after="0" w:line="200" w:lineRule="exact"/>
        <w:rPr>
          <w:sz w:val="20"/>
          <w:szCs w:val="20"/>
          <w:color w:val="auto"/>
        </w:rPr>
      </w:pP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would be subject to annual election for one-year terms. As amended, Article 14.2 will further provide that, until the election of directors at the 2027 Annual Meeting, the number of directors in each class shall be apportioned in the manner determined by the board of directors in the event of any increase or decrease, from time to time, in the number of directors.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In order to facilitate the implementation of our board’s declassification, the Declassification Amendment also amends Articles 14.6, 14.10 and 14.11 to provide that (i) while the declassification of our board of directors is being phased in (i.e., until the 2027 Annual Meeting), any director chosen by the board of directors to fill a vacancy on the board of directors (including, without limitation, as a result of a director’s removal by shareholders or the board of directors) will hold office until the next election of the class for which such director whose vacancy is being filled was originally chosen and until his or her successor has been duly elected and qualified, and that (ii) each director so chosen after the election of directors at the 2027 Annual Meeting will serve for a term expiring at the next succeeding annual general meeting and until his or her successor shall have been duly elected and qualified.</w:t>
      </w:r>
    </w:p>
    <w:p>
      <w:pPr>
        <w:spacing w:after="0" w:line="192"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If our shareholders approve the Declassification Amendment, it will become effective upon delivery of such Amended and Restated Articles for deposit at the records office of Civeo, which we anticipate doing as soon as practicable following shareholder approval of the Declassification Amendment. As is typical, while our board of directors does not currently expect to exercise this discretion, as part of the adopting resolutions, our board of directors reserved the right to elect to abandon the Declassification Amendment, if it determines, in its sole discretion, that the Declassification Amendment is no longer in the best interests of Civeo and its shareholders. If our board of directors were to exercise such discretion, we will publicly disclose that fact, and our board of directors</w:t>
      </w:r>
    </w:p>
    <w:p>
      <w:pPr>
        <w:jc w:val="both"/>
        <w:spacing w:after="0" w:line="220" w:lineRule="auto"/>
        <w:rPr>
          <w:sz w:val="20"/>
          <w:szCs w:val="20"/>
          <w:color w:val="auto"/>
        </w:rPr>
      </w:pPr>
      <w:r>
        <w:rPr>
          <w:rFonts w:ascii="Arial" w:cs="Arial" w:eastAsia="Arial" w:hAnsi="Arial"/>
          <w:sz w:val="16"/>
          <w:szCs w:val="16"/>
          <w:color w:val="auto"/>
        </w:rPr>
        <w:t>will remain classified. If our shareholders do not approve the Declassification Amendment, the Amended and Restated Articles will not be delivered for deposit at the registered and records office of Civeo, our board of directors will remain classified and the related changes to the Articles regarding the filling</w:t>
      </w:r>
    </w:p>
    <w:p>
      <w:pPr>
        <w:spacing w:after="0"/>
        <w:rPr>
          <w:sz w:val="20"/>
          <w:szCs w:val="20"/>
          <w:color w:val="auto"/>
        </w:rPr>
      </w:pPr>
      <w:r>
        <w:rPr>
          <w:rFonts w:ascii="Arial" w:cs="Arial" w:eastAsia="Arial" w:hAnsi="Arial"/>
          <w:sz w:val="16"/>
          <w:szCs w:val="16"/>
          <w:color w:val="auto"/>
        </w:rPr>
        <w:t>of vacancies will not be made.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FFC000"/>
        </w:rPr>
        <w:t>Voting Requirements</w:t>
      </w:r>
    </w:p>
    <w:p>
      <w:pPr>
        <w:spacing w:after="0" w:line="24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Pursuant to Section 9.6 of Civeo's Articles, the approval of the Declassification Amendment requires the affirmative vote of 66 2/3% of the voting power of the issued and outstanding shares of the Company entitled to vote thereon,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55689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right="520"/>
        <w:spacing w:after="0" w:line="286" w:lineRule="auto"/>
        <w:rPr>
          <w:sz w:val="20"/>
          <w:szCs w:val="20"/>
          <w:color w:val="auto"/>
        </w:rPr>
      </w:pPr>
      <w:r>
        <w:rPr>
          <w:rFonts w:ascii="Arial" w:cs="Arial" w:eastAsia="Arial" w:hAnsi="Arial"/>
          <w:sz w:val="16"/>
          <w:szCs w:val="16"/>
          <w:color w:val="auto"/>
        </w:rPr>
        <w:t>The board of directors recommends that shareholders vote “</w:t>
      </w:r>
      <w:r>
        <w:rPr>
          <w:rFonts w:ascii="Arial" w:cs="Arial" w:eastAsia="Arial" w:hAnsi="Arial"/>
          <w:sz w:val="16"/>
          <w:szCs w:val="16"/>
          <w:b w:val="1"/>
          <w:bCs w:val="1"/>
          <w:color w:val="006DB6"/>
        </w:rPr>
        <w:t>FOR</w:t>
      </w:r>
      <w:r>
        <w:rPr>
          <w:rFonts w:ascii="Arial" w:cs="Arial" w:eastAsia="Arial" w:hAnsi="Arial"/>
          <w:sz w:val="16"/>
          <w:szCs w:val="16"/>
          <w:color w:val="auto"/>
        </w:rPr>
        <w:t>” the Declassification Amendment. The persons named in the accompanying proxy intend to vote such proxy in favor of this proposal, unless authority to vote for this proposal is withheld.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20"/>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006DB6"/>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6940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6DB6"/>
        </w:rPr>
        <w:t>PROPOSAL 5</w:t>
      </w:r>
    </w:p>
    <w:p>
      <w:pPr>
        <w:spacing w:after="0" w:line="39" w:lineRule="exact"/>
        <w:rPr>
          <w:sz w:val="20"/>
          <w:szCs w:val="20"/>
          <w:color w:val="auto"/>
        </w:rPr>
      </w:pPr>
    </w:p>
    <w:p>
      <w:pPr>
        <w:ind w:left="160" w:right="960"/>
        <w:spacing w:after="0" w:line="284" w:lineRule="auto"/>
        <w:rPr>
          <w:sz w:val="20"/>
          <w:szCs w:val="20"/>
          <w:color w:val="auto"/>
        </w:rPr>
      </w:pPr>
      <w:r>
        <w:rPr>
          <w:rFonts w:ascii="Arial" w:cs="Arial" w:eastAsia="Arial" w:hAnsi="Arial"/>
          <w:sz w:val="25"/>
          <w:szCs w:val="25"/>
          <w:b w:val="1"/>
          <w:bCs w:val="1"/>
          <w:color w:val="006DB6"/>
        </w:rPr>
        <w:t>Approval of an Amendment to Articles to Eliminate the Terms of the Class A Series 1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March 27, 2024, Civeo’s board of directors unanimously approved, subject to shareholder approval, amendments to Article 27 of our Articles to remove the existing special rights and restrictions attaching to the Preferred Shares and set out in Schedule A to the Articles, particularly to allow the shares of such series to be returned to the general pool of Class A Series 1 Preferred Shares available for issuance (the “Preferred Share Amendment”). We are asking that shareholders pass a special resolution to approve the Preferred Share Amendment. Our board of directors believes that the proposed amendment to Article 27 of our Articles set forth in the Preferred Share Amendment is in the best interests of Civeo and its shareholders.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The following description is a summary only and is qualified in its entirety by reference to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which sets forth the proposed form of Amended and Restated Articles of the Company reflecting the Preferred Share Amendment, marking those changes specifically (additions to the Articles are indicated by underlining and deletions in the Articles are indicated by strikeouts).</w:t>
      </w:r>
    </w:p>
    <w:p>
      <w:pPr>
        <w:spacing w:after="0" w:line="186" w:lineRule="exact"/>
        <w:rPr>
          <w:sz w:val="20"/>
          <w:szCs w:val="20"/>
          <w:color w:val="auto"/>
        </w:rPr>
      </w:pPr>
    </w:p>
    <w:p>
      <w:pPr>
        <w:spacing w:after="0"/>
        <w:rPr>
          <w:sz w:val="20"/>
          <w:szCs w:val="20"/>
          <w:color w:val="auto"/>
        </w:rPr>
      </w:pPr>
      <w:r>
        <w:rPr>
          <w:rFonts w:ascii="Arial" w:cs="Arial" w:eastAsia="Arial" w:hAnsi="Arial"/>
          <w:sz w:val="23"/>
          <w:szCs w:val="23"/>
          <w:b w:val="1"/>
          <w:bCs w:val="1"/>
          <w:color w:val="FFC000"/>
        </w:rPr>
        <w:t>Background of the Preferred Share Amendment</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April 2018, Civeo amended the Articles to create the Preferred Shares, which were issued in connection with the acquisition by Civeo of Noralta Lodge Ltd. The special rights and restrictions attaching to the Preferred Shares were structured to account for particular transaction considerations and were restrictive in nature. In December 2022, the holders of the Preferred Shares converted all remaining Preferred Shares into common shares. Following such conversion, no Preferred Shares remained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FFC000"/>
        </w:rPr>
        <w:t>Purpose and Effect of the Preferred Share Amendment</w:t>
      </w:r>
    </w:p>
    <w:p>
      <w:pPr>
        <w:spacing w:after="0" w:line="25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Articles provide our board of directors with the ability to issue, without shareholder approval, class A preferred shares and class B preferred shares (and any series thereof, including the Preferred Shares), which are subject to limitations, including that the aggregate number of issued and outstanding shares of such classes and series be pooled, such that no more than 50,000,000 shares, in aggregate, may be issued. Such preferred shares may be issued with voting or other rights or preferences that could impede the success of any attempt to change control of us. These and other provisions may have the effect of deterring hostile takeovers or delaying changes in control or management of our company. The existing rights and restrictions attaching to the Preferred Shares prevents any repurchased, redeemed or otherwise acquired or converted shares from being returned to the pool for future issuance, limiting the pool of shares available for issuance by Civeo. Eliminating the existing special rights and restrictions attaching to the Preferred Shares would have the effect of returning the shares constituting such series (50,000,000 shares) to the general pool of Class A Series 1 Preferred Shares available to be issued under the Articles. Our board of directors believes that eliminating the existing special rights and restrictions attaching to the Preferred Shares will provide increased flexibility and remove unnecessary provisions from the Articles, while not affecting existing shareholders in any material way.</w:t>
      </w:r>
    </w:p>
    <w:p>
      <w:pPr>
        <w:spacing w:after="0" w:line="20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Our board of directors evaluated the Preferred Share Amendment in light of the considerations described above. Based on these considerations, our board of directors, subject to shareholder approval, unanimously approved the Amended and Restated Articles setting forth the Preferred Share Amendment, declared the Amended and Restated Articles setting forth the Preferred Share Amendment advisable and in the best interests of Civeo and its shareholders, and unanimously resolved to submit the Preferred Share Amendment to our shareholders for approval and recommended that our shareholders adopt the Preferred Share Amendment. Notwithstanding the board of directors approval and recommendation described above, the changes reflected in the Amended and Restated Articles come into force and effect only following receipt of the requisite shareholder approval and delivery of such Amended and Restated Articles for deposit at the records office of Civeo, which we anticipate doing as soon as practicable following shareholder approval of the Preferred Share Amendment.</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16"/>
          <w:szCs w:val="16"/>
          <w:color w:val="auto"/>
        </w:rPr>
        <w:t>As is typical, while our board of directors does not currently expect to exercise this discretion, as part of the adopting resolutions, our board of directors reserved the right to elect to abandon the Preferred Share Amendment, if it determines, in its sole discretion, that the Preferred Share Amendment is no longer in the best interests of Civeo and its shareholders. If our board of directors were to exercise such discretion, we will publicly disclose that fact, and the existing special rights and restrictions attaching to the Preferred Shares will remain. If our shareholders do not approve the Preferred Share Amendment at the meeting, the Amended and Restated Articles reflecting the Preferred Share Amendment will not be delivered for deposit at the registered and records office of Civeo, the existing special rights and restrictions attaching to the Preferred Shares will remain and the related changes to the Articles will not be made. If our shareholders approve the Declassified Amendment but do not approve the Preferred Share Amendment at the meeting, the changes to the Amended and Restated Articles reflecting the Declassified Amendment will be effected, and the existing special rights and restrictions attaching to the Preferred Shares will remain.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560705</wp:posOffset>
            </wp:positionV>
            <wp:extent cx="394335" cy="1968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23"/>
          <w:szCs w:val="23"/>
          <w:b w:val="1"/>
          <w:bCs w:val="1"/>
          <w:color w:val="FFC000"/>
        </w:rPr>
        <w:t>Voting Requirements</w:t>
      </w: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Section 9.6 of Civeo's Articles, the approval of the Preferred Share Amendment requires the affirmative vote of 66 2/3% of the voting power of the issued and outstanding shares of the Company entitled to vote thereon,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6083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4" w:lineRule="exact"/>
        <w:rPr>
          <w:sz w:val="20"/>
          <w:szCs w:val="20"/>
          <w:color w:val="auto"/>
        </w:rPr>
      </w:pPr>
    </w:p>
    <w:p>
      <w:pPr>
        <w:jc w:val="both"/>
        <w:ind w:left="160" w:right="240"/>
        <w:spacing w:after="0" w:line="275" w:lineRule="auto"/>
        <w:rPr>
          <w:sz w:val="20"/>
          <w:szCs w:val="20"/>
          <w:color w:val="auto"/>
        </w:rPr>
      </w:pPr>
      <w:r>
        <w:rPr>
          <w:rFonts w:ascii="Arial" w:cs="Arial" w:eastAsia="Arial" w:hAnsi="Arial"/>
          <w:sz w:val="16"/>
          <w:szCs w:val="16"/>
          <w:color w:val="auto"/>
        </w:rPr>
        <w:t>Civeo’s board of directors recommends that you vote “</w:t>
      </w:r>
      <w:r>
        <w:rPr>
          <w:rFonts w:ascii="Arial" w:cs="Arial" w:eastAsia="Arial" w:hAnsi="Arial"/>
          <w:sz w:val="16"/>
          <w:szCs w:val="16"/>
          <w:b w:val="1"/>
          <w:bCs w:val="1"/>
          <w:color w:val="006DB6"/>
        </w:rPr>
        <w:t>FOR</w:t>
      </w:r>
      <w:r>
        <w:rPr>
          <w:rFonts w:ascii="Arial" w:cs="Arial" w:eastAsia="Arial" w:hAnsi="Arial"/>
          <w:sz w:val="16"/>
          <w:szCs w:val="16"/>
          <w:color w:val="auto"/>
        </w:rPr>
        <w:t>” the Preferred Share Amendment. The persons named in the accompanying proxy intend to vote such proxy FOR the approval of this proposal, unless a contrary choice or abstention is set forth therein or unless such proxy is subject to a broker non-vote with respect to this proposal.</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69" w:name="page70"/>
    <w:bookmarkEnd w:id="69"/>
    <w:p>
      <w:pPr>
        <w:ind w:right="980"/>
        <w:spacing w:after="0" w:line="298" w:lineRule="auto"/>
        <w:rPr>
          <w:sz w:val="20"/>
          <w:szCs w:val="20"/>
          <w:color w:val="auto"/>
        </w:rPr>
      </w:pPr>
      <w:r>
        <w:rPr>
          <w:rFonts w:ascii="Arial" w:cs="Arial" w:eastAsia="Arial" w:hAnsi="Arial"/>
          <w:sz w:val="45"/>
          <w:szCs w:val="45"/>
          <w:b w:val="1"/>
          <w:bCs w:val="1"/>
          <w:color w:val="006DB6"/>
        </w:rPr>
        <w:t>Security Ownership of Management and Certain Beneficial Owners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known to Civeo with respect to the beneficial ownership of Civeo’s shares as of March 18, 2024 by:</w:t>
      </w:r>
    </w:p>
    <w:p>
      <w:pPr>
        <w:spacing w:after="0" w:line="127"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each shareholder known by Civeo to own more than 5% of Civeo’s outstanding shares;</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each of Civeo’s current directors;</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each of Civeo’s named executive officers; and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57"/>
        </w:numPr>
        <w:rPr>
          <w:rFonts w:ascii="Arial" w:cs="Arial" w:eastAsia="Arial" w:hAnsi="Arial"/>
          <w:sz w:val="16"/>
          <w:szCs w:val="16"/>
          <w:color w:val="006DB6"/>
        </w:rPr>
      </w:pPr>
      <w:r>
        <w:rPr>
          <w:rFonts w:ascii="Arial" w:cs="Arial" w:eastAsia="Arial" w:hAnsi="Arial"/>
          <w:sz w:val="16"/>
          <w:szCs w:val="16"/>
          <w:color w:val="auto"/>
        </w:rPr>
        <w:t>all of Civeo’s current directors and executive officers as a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Unvested performance awards for Civeo's executive officers are not included in this table.</w:t>
      </w:r>
    </w:p>
    <w:p>
      <w:pPr>
        <w:spacing w:after="0" w:line="8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19"/>
                <w:szCs w:val="19"/>
                <w:color w:val="auto"/>
              </w:rPr>
            </w:pPr>
          </w:p>
        </w:tc>
        <w:tc>
          <w:tcPr>
            <w:tcW w:w="3140" w:type="dxa"/>
            <w:vAlign w:val="bottom"/>
            <w:tcBorders>
              <w:bottom w:val="single" w:sz="8" w:color="006DB6"/>
            </w:tcBorders>
            <w:gridSpan w:val="2"/>
          </w:tcPr>
          <w:p>
            <w:pPr>
              <w:jc w:val="right"/>
              <w:ind w:right="760"/>
              <w:spacing w:after="0"/>
              <w:rPr>
                <w:sz w:val="20"/>
                <w:szCs w:val="20"/>
                <w:color w:val="auto"/>
              </w:rPr>
            </w:pPr>
            <w:r>
              <w:rPr>
                <w:rFonts w:ascii="Arial" w:cs="Arial" w:eastAsia="Arial" w:hAnsi="Arial"/>
                <w:sz w:val="14"/>
                <w:szCs w:val="14"/>
                <w:b w:val="1"/>
                <w:bCs w:val="1"/>
                <w:color w:val="70706F"/>
              </w:rPr>
              <w:t>Beneficial Ownership</w:t>
            </w:r>
          </w:p>
        </w:tc>
        <w:tc>
          <w:tcPr>
            <w:tcW w:w="0" w:type="dxa"/>
            <w:vAlign w:val="bottom"/>
          </w:tcPr>
          <w:p>
            <w:pPr>
              <w:spacing w:after="0"/>
              <w:rPr>
                <w:sz w:val="1"/>
                <w:szCs w:val="1"/>
                <w:color w:val="auto"/>
              </w:rPr>
            </w:pPr>
          </w:p>
        </w:tc>
      </w:tr>
      <w:tr>
        <w:trPr>
          <w:trHeight w:val="180"/>
        </w:trPr>
        <w:tc>
          <w:tcPr>
            <w:tcW w:w="8100" w:type="dxa"/>
            <w:vAlign w:val="bottom"/>
            <w:vMerge w:val="restart"/>
          </w:tcPr>
          <w:p>
            <w:pPr>
              <w:ind w:left="20"/>
              <w:spacing w:after="0"/>
              <w:rPr>
                <w:sz w:val="20"/>
                <w:szCs w:val="20"/>
                <w:color w:val="auto"/>
              </w:rPr>
            </w:pPr>
            <w:r>
              <w:rPr>
                <w:rFonts w:ascii="Arial" w:cs="Arial" w:eastAsia="Arial" w:hAnsi="Arial"/>
                <w:sz w:val="14"/>
                <w:szCs w:val="14"/>
                <w:b w:val="1"/>
                <w:bCs w:val="1"/>
                <w:color w:val="70706F"/>
              </w:rPr>
              <w:t>Name and Address of Beneficial Owners</w:t>
            </w:r>
            <w:r>
              <w:rPr>
                <w:rFonts w:ascii="Arial" w:cs="Arial" w:eastAsia="Arial" w:hAnsi="Arial"/>
                <w:sz w:val="18"/>
                <w:szCs w:val="18"/>
                <w:b w:val="1"/>
                <w:bCs w:val="1"/>
                <w:color w:val="70706F"/>
                <w:vertAlign w:val="superscript"/>
              </w:rPr>
              <w:t>(1)</w:t>
            </w:r>
          </w:p>
        </w:tc>
        <w:tc>
          <w:tcPr>
            <w:tcW w:w="1860" w:type="dxa"/>
            <w:vAlign w:val="bottom"/>
          </w:tcPr>
          <w:p>
            <w:pPr>
              <w:jc w:val="right"/>
              <w:ind w:right="300"/>
              <w:spacing w:after="0"/>
              <w:rPr>
                <w:sz w:val="20"/>
                <w:szCs w:val="20"/>
                <w:color w:val="auto"/>
              </w:rPr>
            </w:pPr>
            <w:r>
              <w:rPr>
                <w:rFonts w:ascii="Arial" w:cs="Arial" w:eastAsia="Arial" w:hAnsi="Arial"/>
                <w:sz w:val="14"/>
                <w:szCs w:val="14"/>
                <w:b w:val="1"/>
                <w:bCs w:val="1"/>
                <w:color w:val="70706F"/>
              </w:rPr>
              <w:t>Common</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70706F"/>
              </w:rPr>
              <w:t>Percentage</w:t>
            </w:r>
            <w:r>
              <w:rPr>
                <w:rFonts w:ascii="Arial" w:cs="Arial" w:eastAsia="Arial" w:hAnsi="Arial"/>
                <w:sz w:val="18"/>
                <w:szCs w:val="18"/>
                <w:b w:val="1"/>
                <w:bCs w:val="1"/>
                <w:color w:val="70706F"/>
                <w:vertAlign w:val="superscript"/>
              </w:rPr>
              <w:t>(2)</w:t>
            </w:r>
          </w:p>
        </w:tc>
        <w:tc>
          <w:tcPr>
            <w:tcW w:w="0" w:type="dxa"/>
            <w:vAlign w:val="bottom"/>
          </w:tcPr>
          <w:p>
            <w:pPr>
              <w:spacing w:after="0"/>
              <w:rPr>
                <w:sz w:val="1"/>
                <w:szCs w:val="1"/>
                <w:color w:val="auto"/>
              </w:rPr>
            </w:pPr>
          </w:p>
        </w:tc>
      </w:tr>
      <w:tr>
        <w:trPr>
          <w:trHeight w:val="232"/>
        </w:trPr>
        <w:tc>
          <w:tcPr>
            <w:tcW w:w="8100" w:type="dxa"/>
            <w:vAlign w:val="bottom"/>
            <w:tcBorders>
              <w:bottom w:val="single" w:sz="8" w:color="006DB6"/>
            </w:tcBorders>
            <w:vMerge w:val="continue"/>
          </w:tcPr>
          <w:p>
            <w:pPr>
              <w:spacing w:after="0"/>
              <w:rPr>
                <w:sz w:val="20"/>
                <w:szCs w:val="20"/>
                <w:color w:val="auto"/>
              </w:rPr>
            </w:pPr>
          </w:p>
        </w:tc>
        <w:tc>
          <w:tcPr>
            <w:tcW w:w="1860" w:type="dxa"/>
            <w:vAlign w:val="bottom"/>
            <w:tcBorders>
              <w:bottom w:val="single" w:sz="8" w:color="006DB6"/>
            </w:tcBorders>
          </w:tcPr>
          <w:p>
            <w:pPr>
              <w:jc w:val="right"/>
              <w:ind w:right="300"/>
              <w:spacing w:after="0"/>
              <w:rPr>
                <w:sz w:val="20"/>
                <w:szCs w:val="20"/>
                <w:color w:val="auto"/>
              </w:rPr>
            </w:pPr>
            <w:r>
              <w:rPr>
                <w:rFonts w:ascii="Arial" w:cs="Arial" w:eastAsia="Arial" w:hAnsi="Arial"/>
                <w:sz w:val="14"/>
                <w:szCs w:val="14"/>
                <w:b w:val="1"/>
                <w:bCs w:val="1"/>
                <w:color w:val="70706F"/>
              </w:rPr>
              <w:t>Shares</w:t>
            </w:r>
          </w:p>
        </w:tc>
        <w:tc>
          <w:tcPr>
            <w:tcW w:w="1280" w:type="dxa"/>
            <w:vAlign w:val="bottom"/>
            <w:tcBorders>
              <w:bottom w:val="single" w:sz="8" w:color="006DB6"/>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20"/>
              <w:spacing w:after="0" w:line="216" w:lineRule="exact"/>
              <w:rPr>
                <w:sz w:val="20"/>
                <w:szCs w:val="20"/>
                <w:color w:val="auto"/>
              </w:rPr>
            </w:pPr>
            <w:r>
              <w:rPr>
                <w:rFonts w:ascii="Arial" w:cs="Arial" w:eastAsia="Arial" w:hAnsi="Arial"/>
                <w:sz w:val="16"/>
                <w:szCs w:val="16"/>
                <w:b w:val="1"/>
                <w:bCs w:val="1"/>
                <w:color w:val="006DB6"/>
              </w:rPr>
              <w:t>Horizon Kinetics Asset Management LLC</w:t>
            </w:r>
            <w:r>
              <w:rPr>
                <w:rFonts w:ascii="Arial" w:cs="Arial" w:eastAsia="Arial" w:hAnsi="Arial"/>
                <w:sz w:val="21"/>
                <w:szCs w:val="21"/>
                <w:b w:val="1"/>
                <w:bCs w:val="1"/>
                <w:color w:val="006DB6"/>
                <w:vertAlign w:val="superscript"/>
              </w:rPr>
              <w:t>(3)</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3,734,335</w:t>
            </w:r>
          </w:p>
        </w:tc>
        <w:tc>
          <w:tcPr>
            <w:tcW w:w="1280" w:type="dxa"/>
            <w:vAlign w:val="bottom"/>
          </w:tcPr>
          <w:p>
            <w:pPr>
              <w:jc w:val="right"/>
              <w:spacing w:after="0"/>
              <w:rPr>
                <w:sz w:val="20"/>
                <w:szCs w:val="20"/>
                <w:color w:val="auto"/>
              </w:rPr>
            </w:pPr>
            <w:r>
              <w:rPr>
                <w:rFonts w:ascii="Arial" w:cs="Arial" w:eastAsia="Arial" w:hAnsi="Arial"/>
                <w:sz w:val="16"/>
                <w:szCs w:val="16"/>
                <w:color w:val="auto"/>
              </w:rPr>
              <w:t>25.5 %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470 Park Avenue South, 4th Floor South</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New York, NY 10016</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line="209" w:lineRule="exact"/>
              <w:rPr>
                <w:sz w:val="20"/>
                <w:szCs w:val="20"/>
                <w:color w:val="auto"/>
              </w:rPr>
            </w:pPr>
            <w:r>
              <w:rPr>
                <w:rFonts w:ascii="Arial" w:cs="Arial" w:eastAsia="Arial" w:hAnsi="Arial"/>
                <w:sz w:val="16"/>
                <w:szCs w:val="16"/>
                <w:b w:val="1"/>
                <w:bCs w:val="1"/>
                <w:color w:val="006DB6"/>
              </w:rPr>
              <w:t>FMR LLC</w:t>
            </w:r>
            <w:r>
              <w:rPr>
                <w:rFonts w:ascii="Arial" w:cs="Arial" w:eastAsia="Arial" w:hAnsi="Arial"/>
                <w:sz w:val="21"/>
                <w:szCs w:val="21"/>
                <w:b w:val="1"/>
                <w:bCs w:val="1"/>
                <w:color w:val="006DB6"/>
                <w:vertAlign w:val="superscript"/>
              </w:rPr>
              <w:t>(4)</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1,237,952</w:t>
            </w:r>
          </w:p>
        </w:tc>
        <w:tc>
          <w:tcPr>
            <w:tcW w:w="1280" w:type="dxa"/>
            <w:vAlign w:val="bottom"/>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245 Summer Street</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Boston, MA 02210</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00" w:type="dxa"/>
            <w:vAlign w:val="bottom"/>
          </w:tcPr>
          <w:p>
            <w:pPr>
              <w:ind w:left="20"/>
              <w:spacing w:after="0" w:line="209" w:lineRule="exact"/>
              <w:rPr>
                <w:sz w:val="20"/>
                <w:szCs w:val="20"/>
                <w:color w:val="auto"/>
              </w:rPr>
            </w:pPr>
            <w:r>
              <w:rPr>
                <w:rFonts w:ascii="Arial" w:cs="Arial" w:eastAsia="Arial" w:hAnsi="Arial"/>
                <w:sz w:val="16"/>
                <w:szCs w:val="16"/>
                <w:b w:val="1"/>
                <w:bCs w:val="1"/>
                <w:color w:val="006DB6"/>
              </w:rPr>
              <w:t>The TCW Group Inc</w:t>
            </w:r>
            <w:r>
              <w:rPr>
                <w:rFonts w:ascii="Arial" w:cs="Arial" w:eastAsia="Arial" w:hAnsi="Arial"/>
                <w:sz w:val="21"/>
                <w:szCs w:val="21"/>
                <w:b w:val="1"/>
                <w:bCs w:val="1"/>
                <w:color w:val="006DB6"/>
                <w:vertAlign w:val="superscript"/>
              </w:rPr>
              <w:t>(5)</w:t>
            </w:r>
          </w:p>
        </w:tc>
        <w:tc>
          <w:tcPr>
            <w:tcW w:w="1860" w:type="dxa"/>
            <w:vAlign w:val="bottom"/>
          </w:tcPr>
          <w:p>
            <w:pPr>
              <w:jc w:val="right"/>
              <w:ind w:right="360"/>
              <w:spacing w:after="0"/>
              <w:rPr>
                <w:sz w:val="20"/>
                <w:szCs w:val="20"/>
                <w:color w:val="auto"/>
              </w:rPr>
            </w:pPr>
            <w:r>
              <w:rPr>
                <w:rFonts w:ascii="Arial" w:cs="Arial" w:eastAsia="Arial" w:hAnsi="Arial"/>
                <w:sz w:val="16"/>
                <w:szCs w:val="16"/>
                <w:color w:val="auto"/>
              </w:rPr>
              <w:t>744,535</w:t>
            </w:r>
          </w:p>
        </w:tc>
        <w:tc>
          <w:tcPr>
            <w:tcW w:w="1280" w:type="dxa"/>
            <w:vAlign w:val="bottom"/>
          </w:tcPr>
          <w:p>
            <w:pPr>
              <w:jc w:val="right"/>
              <w:spacing w:after="0"/>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203"/>
        </w:trPr>
        <w:tc>
          <w:tcPr>
            <w:tcW w:w="8100" w:type="dxa"/>
            <w:vAlign w:val="bottom"/>
          </w:tcPr>
          <w:p>
            <w:pPr>
              <w:ind w:left="360"/>
              <w:spacing w:after="0"/>
              <w:rPr>
                <w:sz w:val="20"/>
                <w:szCs w:val="20"/>
                <w:color w:val="auto"/>
              </w:rPr>
            </w:pPr>
            <w:r>
              <w:rPr>
                <w:rFonts w:ascii="Arial" w:cs="Arial" w:eastAsia="Arial" w:hAnsi="Arial"/>
                <w:sz w:val="16"/>
                <w:szCs w:val="16"/>
                <w:color w:val="auto"/>
              </w:rPr>
              <w:t>515 South Flower Street</w:t>
            </w:r>
          </w:p>
        </w:tc>
        <w:tc>
          <w:tcPr>
            <w:tcW w:w="1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00" w:type="dxa"/>
            <w:vAlign w:val="bottom"/>
          </w:tcPr>
          <w:p>
            <w:pPr>
              <w:ind w:left="360"/>
              <w:spacing w:after="0"/>
              <w:rPr>
                <w:sz w:val="20"/>
                <w:szCs w:val="20"/>
                <w:color w:val="auto"/>
              </w:rPr>
            </w:pPr>
            <w:r>
              <w:rPr>
                <w:rFonts w:ascii="Arial" w:cs="Arial" w:eastAsia="Arial" w:hAnsi="Arial"/>
                <w:sz w:val="16"/>
                <w:szCs w:val="16"/>
                <w:color w:val="auto"/>
              </w:rPr>
              <w:t>Los Angeles, CA 90071</w:t>
            </w: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1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Richard A. Navarre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51,867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Bradley J. Dodson</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227,330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Carolyn J. Stone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42,749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Peter L. McCann</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50,615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Allan D. Schoening</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21,146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 Ronald Blankenship</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39,750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Jay K. Grewal</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16,436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Martin A. Lambert</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55,106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Michael Montelongo</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16,436</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Constance B. Moore</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35,287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Charles Szalkowski</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39,791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6"/>
              </w:rPr>
              <w:t>Timothy O. Wall</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31,808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 current directors and executive officers as a group (12 persons)</w:t>
            </w:r>
          </w:p>
        </w:tc>
        <w:tc>
          <w:tcPr>
            <w:tcW w:w="1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628,321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9"/>
          <w:szCs w:val="9"/>
          <w:color w:val="auto"/>
        </w:rPr>
      </w:pPr>
      <w:r>
        <w:rPr>
          <w:rFonts w:ascii="Arial" w:cs="Arial" w:eastAsia="Arial" w:hAnsi="Arial"/>
          <w:sz w:val="14"/>
          <w:szCs w:val="14"/>
          <w:color w:val="auto"/>
        </w:rPr>
        <w:t>Less than one percent.</w:t>
      </w:r>
    </w:p>
    <w:p>
      <w:pPr>
        <w:spacing w:after="0" w:line="82"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9"/>
          <w:szCs w:val="9"/>
          <w:color w:val="auto"/>
        </w:rPr>
      </w:pPr>
      <w:r>
        <w:rPr>
          <w:rFonts w:ascii="Arial" w:cs="Arial" w:eastAsia="Arial" w:hAnsi="Arial"/>
          <w:sz w:val="14"/>
          <w:szCs w:val="14"/>
          <w:color w:val="auto"/>
        </w:rPr>
        <w:t>Unless otherwise indicated, the address of each beneficial owner is c/o Civeo Corporation, Three Allen Center, 333 Clay Street, Suite 4980, Houston, Texas 77002.</w:t>
      </w:r>
    </w:p>
    <w:p>
      <w:pPr>
        <w:spacing w:after="0" w:line="122" w:lineRule="exact"/>
        <w:rPr>
          <w:rFonts w:ascii="Arial" w:cs="Arial" w:eastAsia="Arial" w:hAnsi="Arial"/>
          <w:sz w:val="9"/>
          <w:szCs w:val="9"/>
          <w:color w:val="auto"/>
        </w:rPr>
      </w:pPr>
    </w:p>
    <w:p>
      <w:pPr>
        <w:ind w:left="260" w:right="240" w:hanging="252"/>
        <w:spacing w:after="0" w:line="231" w:lineRule="auto"/>
        <w:tabs>
          <w:tab w:leader="none" w:pos="264"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Based on total shares outstanding of 14,658,743 as of March 18, 2024 and the number of shares that could be issued upon the exercise of outstanding options held by a person that are currently exercisable.</w:t>
      </w:r>
    </w:p>
    <w:p>
      <w:pPr>
        <w:spacing w:after="0" w:line="93" w:lineRule="exact"/>
        <w:rPr>
          <w:rFonts w:ascii="Arial" w:cs="Arial" w:eastAsia="Arial" w:hAnsi="Arial"/>
          <w:sz w:val="19"/>
          <w:szCs w:val="19"/>
          <w:color w:val="auto"/>
          <w:vertAlign w:val="superscript"/>
        </w:rPr>
      </w:pPr>
    </w:p>
    <w:p>
      <w:pPr>
        <w:ind w:left="260" w:right="340" w:hanging="252"/>
        <w:spacing w:after="0" w:line="231" w:lineRule="auto"/>
        <w:tabs>
          <w:tab w:leader="none" w:pos="264"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Based on a Schedule 13F filed pursuant to the Exchange Act on February 15, 2024, as of December 31, 2023, Horizon Kinetics Asset Management LLC has beneficial ownership of 3,734,335 shares and sole voting and dispositive power over those shares.</w:t>
      </w:r>
    </w:p>
    <w:p>
      <w:pPr>
        <w:spacing w:after="0" w:line="80" w:lineRule="exact"/>
        <w:rPr>
          <w:rFonts w:ascii="Arial" w:cs="Arial" w:eastAsia="Arial" w:hAnsi="Arial"/>
          <w:sz w:val="19"/>
          <w:szCs w:val="19"/>
          <w:color w:val="auto"/>
          <w:vertAlign w:val="superscript"/>
        </w:rPr>
      </w:pPr>
    </w:p>
    <w:p>
      <w:pPr>
        <w:ind w:left="260" w:hanging="252"/>
        <w:spacing w:after="0" w:line="257" w:lineRule="auto"/>
        <w:tabs>
          <w:tab w:leader="none" w:pos="264" w:val="left"/>
        </w:tabs>
        <w:numPr>
          <w:ilvl w:val="0"/>
          <w:numId w:val="59"/>
        </w:numPr>
        <w:rPr>
          <w:rFonts w:ascii="Arial" w:cs="Arial" w:eastAsia="Arial" w:hAnsi="Arial"/>
          <w:sz w:val="9"/>
          <w:szCs w:val="9"/>
          <w:color w:val="auto"/>
        </w:rPr>
      </w:pPr>
      <w:r>
        <w:rPr>
          <w:rFonts w:ascii="Arial" w:cs="Arial" w:eastAsia="Arial" w:hAnsi="Arial"/>
          <w:sz w:val="14"/>
          <w:szCs w:val="14"/>
          <w:color w:val="auto"/>
        </w:rPr>
        <w:t>Based on a Schedule 13G/A filed pursuant to the Exchange Act on February 8, 2024, as of December 31, 2023, FMR LLC has beneficial ownership of 1,237,952 shares and sole voting and dispositive power of those shares. The Schedule 13G/A identifies FMR LLC as a parent holding company and identifies the relevant entities beneficially owning the shares being reported in the Schedule 13G/A as Fidelity Management &amp; Research Company LLC and Fidelity Management Trust Company. The Schedule 13G/A further reports: (i) Fidelity Management &amp; Research Company LLC. is the beneficial owner of 5% or greater of our common shares outstanding; (ii) Abigail P. Johnson is a Director, Chairman and Chief Executive Officer of FMR LLC; (iii) members of the Johnson family, including Abigail P. Johnson, are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84455</wp:posOffset>
            </wp:positionV>
            <wp:extent cx="394335" cy="1968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70" w:name="page71"/>
    <w:bookmarkEnd w:id="70"/>
    <w:p>
      <w:pPr>
        <w:ind w:left="260" w:right="80"/>
        <w:spacing w:after="0" w:line="257" w:lineRule="auto"/>
        <w:rPr>
          <w:sz w:val="20"/>
          <w:szCs w:val="20"/>
          <w:color w:val="auto"/>
        </w:rPr>
      </w:pPr>
      <w:r>
        <w:rPr>
          <w:rFonts w:ascii="Arial" w:cs="Arial" w:eastAsia="Arial" w:hAnsi="Arial"/>
          <w:sz w:val="14"/>
          <w:szCs w:val="14"/>
          <w:color w:val="auto"/>
        </w:rPr>
        <w:t>predominant owners, directly or through trusts, of 45% voting equity of FMR LLC; (iv) the Johnson family group and other equity owners of FMR LLC have entered into a voting agreement and (v) through their ownership of voting equity and the execution of the voting agreement, members of the Johnson family may be deemed, under the Investment Company Act of 1940, as amended (the “Investment Company Act”), to form a controlling group with respect to FMR LLC. The Schedule 13G/A does not reflect shares, if any, beneficially owned by certain subsidiaries, affiliates or other companies whose beneficial ownership of shares is disaggregated from that of FMR LLC in accordance with SEC Release No. 34-39538 (January 12, 1998).</w:t>
      </w:r>
    </w:p>
    <w:p>
      <w:pPr>
        <w:spacing w:after="0" w:line="205" w:lineRule="exact"/>
        <w:rPr>
          <w:sz w:val="20"/>
          <w:szCs w:val="20"/>
          <w:color w:val="auto"/>
        </w:rPr>
      </w:pPr>
    </w:p>
    <w:p>
      <w:pPr>
        <w:ind w:left="260" w:right="160" w:hanging="252"/>
        <w:spacing w:after="0" w:line="305" w:lineRule="auto"/>
        <w:tabs>
          <w:tab w:leader="none" w:pos="264" w:val="left"/>
        </w:tabs>
        <w:numPr>
          <w:ilvl w:val="0"/>
          <w:numId w:val="60"/>
        </w:numPr>
        <w:rPr>
          <w:rFonts w:ascii="Arial" w:cs="Arial" w:eastAsia="Arial" w:hAnsi="Arial"/>
          <w:sz w:val="9"/>
          <w:szCs w:val="9"/>
          <w:color w:val="auto"/>
        </w:rPr>
      </w:pPr>
      <w:r>
        <w:rPr>
          <w:rFonts w:ascii="Arial" w:cs="Arial" w:eastAsia="Arial" w:hAnsi="Arial"/>
          <w:sz w:val="14"/>
          <w:szCs w:val="14"/>
          <w:color w:val="auto"/>
        </w:rPr>
        <w:t>Based on a Schedule 13G filed pursuant to the Exchange Act on February 12, 2024, as of December 31, 2023, The TCW Group, Inc. has beneficial ownership of 744,535 shares and shared voting and dispositive power over those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71" w:name="page72"/>
    <w:bookmarkEnd w:id="71"/>
    <w:p>
      <w:pPr>
        <w:spacing w:after="0"/>
        <w:rPr>
          <w:sz w:val="20"/>
          <w:szCs w:val="20"/>
          <w:color w:val="auto"/>
        </w:rPr>
      </w:pPr>
      <w:r>
        <w:rPr>
          <w:rFonts w:ascii="Arial" w:cs="Arial" w:eastAsia="Arial" w:hAnsi="Arial"/>
          <w:sz w:val="45"/>
          <w:szCs w:val="45"/>
          <w:b w:val="1"/>
          <w:bCs w:val="1"/>
          <w:color w:val="006DB6"/>
        </w:rPr>
        <w:t>Additional Information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 Information about the Annual General Meeting</w:t>
      </w:r>
    </w:p>
    <w:p>
      <w:pPr>
        <w:spacing w:after="0" w:line="1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appendices for more information.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Why am I receiving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 During the annual general meeting, you will be asked to vote on several proposals, including:</w:t>
      </w:r>
    </w:p>
    <w:p>
      <w:pPr>
        <w:spacing w:after="0" w:line="113"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color w:val="006DB6"/>
        </w:rPr>
      </w:pPr>
      <w:r>
        <w:rPr>
          <w:rFonts w:ascii="Arial" w:cs="Arial" w:eastAsia="Arial" w:hAnsi="Arial"/>
          <w:sz w:val="16"/>
          <w:szCs w:val="16"/>
          <w:color w:val="auto"/>
        </w:rPr>
        <w:t>the election of three persons as Class I members of Civeo’s board of directors: C. Ronald Blankenship, Michael Montelongo and Charles Szalkowski;</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61"/>
        </w:numPr>
        <w:rPr>
          <w:rFonts w:ascii="Arial" w:cs="Arial" w:eastAsia="Arial" w:hAnsi="Arial"/>
          <w:sz w:val="16"/>
          <w:szCs w:val="16"/>
          <w:color w:val="006DB6"/>
        </w:rPr>
      </w:pPr>
      <w:r>
        <w:rPr>
          <w:rFonts w:ascii="Arial" w:cs="Arial" w:eastAsia="Arial" w:hAnsi="Arial"/>
          <w:sz w:val="16"/>
          <w:szCs w:val="16"/>
          <w:color w:val="auto"/>
        </w:rPr>
        <w:t>the approval, on an advisory basis, of the compensation of Civeo’s named executive officers;</w:t>
      </w:r>
    </w:p>
    <w:p>
      <w:pPr>
        <w:spacing w:after="0" w:line="113" w:lineRule="exact"/>
        <w:rPr>
          <w:rFonts w:ascii="Arial" w:cs="Arial" w:eastAsia="Arial" w:hAnsi="Arial"/>
          <w:sz w:val="16"/>
          <w:szCs w:val="16"/>
          <w:color w:val="006DB6"/>
        </w:rPr>
      </w:pPr>
    </w:p>
    <w:p>
      <w:pPr>
        <w:ind w:left="200" w:right="120" w:hanging="192"/>
        <w:spacing w:after="0" w:line="275" w:lineRule="auto"/>
        <w:tabs>
          <w:tab w:leader="none" w:pos="170" w:val="left"/>
        </w:tabs>
        <w:numPr>
          <w:ilvl w:val="0"/>
          <w:numId w:val="61"/>
        </w:numPr>
        <w:rPr>
          <w:rFonts w:ascii="Arial" w:cs="Arial" w:eastAsia="Arial" w:hAnsi="Arial"/>
          <w:sz w:val="16"/>
          <w:szCs w:val="16"/>
          <w:color w:val="006DB6"/>
        </w:rPr>
      </w:pPr>
      <w:r>
        <w:rPr>
          <w:rFonts w:ascii="Arial" w:cs="Arial" w:eastAsia="Arial" w:hAnsi="Arial"/>
          <w:sz w:val="16"/>
          <w:szCs w:val="16"/>
          <w:color w:val="auto"/>
        </w:rPr>
        <w:t>the ratification of the appointment of Ernst &amp; Young LLP as Civeo’s independent registered public accounting firm for the year ending December 31, 2024 and until the next annual general meeting of shareholders and the authorization of the directors, acting through the Audit Committee, to determine the remuneration to be paid to Ernst &amp; Young LLP for 2024;</w:t>
      </w:r>
    </w:p>
    <w:p>
      <w:pPr>
        <w:spacing w:after="0" w:line="56" w:lineRule="exact"/>
        <w:rPr>
          <w:rFonts w:ascii="Arial" w:cs="Arial" w:eastAsia="Arial" w:hAnsi="Arial"/>
          <w:sz w:val="16"/>
          <w:szCs w:val="16"/>
          <w:color w:val="006DB6"/>
        </w:rPr>
      </w:pPr>
    </w:p>
    <w:p>
      <w:pPr>
        <w:ind w:left="180" w:hanging="172"/>
        <w:spacing w:after="0"/>
        <w:tabs>
          <w:tab w:leader="none" w:pos="180" w:val="left"/>
        </w:tabs>
        <w:numPr>
          <w:ilvl w:val="0"/>
          <w:numId w:val="61"/>
        </w:numPr>
        <w:rPr>
          <w:rFonts w:ascii="Arial" w:cs="Arial" w:eastAsia="Arial" w:hAnsi="Arial"/>
          <w:sz w:val="16"/>
          <w:szCs w:val="16"/>
          <w:color w:val="006DB6"/>
        </w:rPr>
      </w:pPr>
      <w:r>
        <w:rPr>
          <w:rFonts w:ascii="Arial" w:cs="Arial" w:eastAsia="Arial" w:hAnsi="Arial"/>
          <w:sz w:val="16"/>
          <w:szCs w:val="16"/>
          <w:color w:val="auto"/>
        </w:rPr>
        <w:t>to approve an amendment to Civeo's Articles to declassify Civeo's board of directors and phase-in annual director elections; and</w:t>
      </w:r>
    </w:p>
    <w:p>
      <w:pPr>
        <w:spacing w:after="0" w:line="126" w:lineRule="exact"/>
        <w:rPr>
          <w:rFonts w:ascii="Arial" w:cs="Arial" w:eastAsia="Arial" w:hAnsi="Arial"/>
          <w:sz w:val="16"/>
          <w:szCs w:val="16"/>
          <w:color w:val="006DB6"/>
        </w:rPr>
      </w:pPr>
    </w:p>
    <w:p>
      <w:pPr>
        <w:ind w:left="200" w:right="100" w:hanging="192"/>
        <w:spacing w:after="0" w:line="286" w:lineRule="auto"/>
        <w:tabs>
          <w:tab w:leader="none" w:pos="170" w:val="left"/>
        </w:tabs>
        <w:numPr>
          <w:ilvl w:val="0"/>
          <w:numId w:val="61"/>
        </w:numPr>
        <w:rPr>
          <w:rFonts w:ascii="Arial" w:cs="Arial" w:eastAsia="Arial" w:hAnsi="Arial"/>
          <w:sz w:val="16"/>
          <w:szCs w:val="16"/>
          <w:color w:val="006DB6"/>
        </w:rPr>
      </w:pPr>
      <w:r>
        <w:rPr>
          <w:rFonts w:ascii="Arial" w:cs="Arial" w:eastAsia="Arial" w:hAnsi="Arial"/>
          <w:sz w:val="16"/>
          <w:szCs w:val="16"/>
          <w:color w:val="auto"/>
        </w:rPr>
        <w:t>to approve an amendment to Civeo's Articles to remove the existing special rights and restrictions attaching to the Class A Series 1 Preferred Shares and return the shares constituting such series to the general pool of preferred shares of such series; and</w:t>
      </w:r>
    </w:p>
    <w:p>
      <w:pPr>
        <w:spacing w:after="0" w:line="61" w:lineRule="exact"/>
        <w:rPr>
          <w:rFonts w:ascii="Arial" w:cs="Arial" w:eastAsia="Arial" w:hAnsi="Arial"/>
          <w:sz w:val="16"/>
          <w:szCs w:val="16"/>
          <w:color w:val="006DB6"/>
        </w:rPr>
      </w:pPr>
    </w:p>
    <w:p>
      <w:pPr>
        <w:ind w:left="180" w:hanging="172"/>
        <w:spacing w:after="0"/>
        <w:tabs>
          <w:tab w:leader="none" w:pos="180" w:val="left"/>
        </w:tabs>
        <w:numPr>
          <w:ilvl w:val="0"/>
          <w:numId w:val="61"/>
        </w:numPr>
        <w:rPr>
          <w:rFonts w:ascii="Arial" w:cs="Arial" w:eastAsia="Arial" w:hAnsi="Arial"/>
          <w:sz w:val="16"/>
          <w:szCs w:val="16"/>
          <w:color w:val="006DB6"/>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knows of no matters, other than those stated in this proxy statement, to be presented for consideration at the annual general meeting.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these proposals and the annual general meeting.</w:t>
      </w:r>
    </w:p>
    <w:p>
      <w:pPr>
        <w:spacing w:after="0" w:line="12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Your vote is important and we encourage you to vote as soon as possible. Even if you plan to attend the annual general meeting, we recommend that you vote your shares prior to the meeting so that your vote will be counted if you later decide not to attend.</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of shareholders is required to approve the proposals at the annual general meeting?</w:t>
      </w:r>
    </w:p>
    <w:p>
      <w:pPr>
        <w:spacing w:after="0" w:line="127"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the Director Proposal and the Auditor Proposal, you may vote either “FOR” or “WITHHOLD.” A plurality of the votes cast by shareholders at the</w:t>
      </w:r>
    </w:p>
    <w:p>
      <w:pPr>
        <w:spacing w:after="0" w:line="21" w:lineRule="exact"/>
        <w:rPr>
          <w:rFonts w:ascii="Arial" w:cs="Arial" w:eastAsia="Arial" w:hAnsi="Arial"/>
          <w:sz w:val="16"/>
          <w:szCs w:val="16"/>
          <w:color w:val="auto"/>
        </w:rPr>
      </w:pPr>
    </w:p>
    <w:p>
      <w:pPr>
        <w:ind w:right="140"/>
        <w:spacing w:after="0" w:line="257" w:lineRule="auto"/>
        <w:rPr>
          <w:rFonts w:ascii="Arial" w:cs="Arial" w:eastAsia="Arial" w:hAnsi="Arial"/>
          <w:sz w:val="16"/>
          <w:szCs w:val="16"/>
          <w:color w:val="auto"/>
        </w:rPr>
      </w:pPr>
      <w:r>
        <w:rPr>
          <w:rFonts w:ascii="Arial" w:cs="Arial" w:eastAsia="Arial" w:hAnsi="Arial"/>
          <w:sz w:val="16"/>
          <w:szCs w:val="16"/>
          <w:color w:val="auto"/>
        </w:rPr>
        <w:t>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Environmental, Social, Governance and Nominating Committee following certification of the shareholder vote. For more information, please read “Management-Director Resignation Policy.”</w:t>
      </w:r>
    </w:p>
    <w:p>
      <w:pPr>
        <w:spacing w:after="0" w:line="8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Say-on-Pay Proposal, you may vote “FOR”, “AGAINST” or “ABSTAIN”. To approve the Say-on-Pay Proposal, the votes cast in favor of the proposal must exceed the votes cast against the proposal.</w:t>
      </w:r>
    </w:p>
    <w:p>
      <w:pPr>
        <w:spacing w:after="0" w:line="4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For the Declassification Amendment and Preferred Share Amendment, you may vote "FOR", "AGAINST", or "ABSTAIN". To approve the Declassification Amendment and Preferred Share Amendment, each proposal must receive the affirmative vote of 66 2/3% of the voting power of the issued and outstanding shares of the Company entitled to vote thereon.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vote does the board of directors recommend?</w:t>
      </w:r>
    </w:p>
    <w:p>
      <w:pPr>
        <w:spacing w:after="0" w:line="113" w:lineRule="exact"/>
        <w:rPr>
          <w:sz w:val="20"/>
          <w:szCs w:val="20"/>
          <w:color w:val="auto"/>
        </w:rPr>
      </w:pPr>
    </w:p>
    <w:p>
      <w:pPr>
        <w:ind w:right="340" w:firstLine="8"/>
        <w:spacing w:after="0" w:line="286" w:lineRule="auto"/>
        <w:tabs>
          <w:tab w:leader="none" w:pos="19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board of directors recommends shareholders of Civeo vote “FOR” each of the director nominees named in the Director Proposal, the Say-on-Pay Proposal, the Auditor Proposal, the Declassification Amendment, and the Preferred Share Amendment.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When and where will the annual general meeting be held?</w:t>
      </w:r>
    </w:p>
    <w:p>
      <w:pPr>
        <w:spacing w:after="0" w:line="113" w:lineRule="exact"/>
        <w:rPr>
          <w:sz w:val="20"/>
          <w:szCs w:val="20"/>
          <w:color w:val="auto"/>
        </w:rPr>
      </w:pPr>
    </w:p>
    <w:p>
      <w:pPr>
        <w:jc w:val="both"/>
        <w:ind w:firstLine="8"/>
        <w:spacing w:after="0" w:line="275" w:lineRule="auto"/>
        <w:tabs>
          <w:tab w:leader="none" w:pos="198"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annual general meeting will be held virtually, conducted via live audio webcast, on May 15, 2024 at 9:00 a.m., local time. You will be able to attend the annual general meeting by visiting www.virtualshareholdermeeting.com/CVEO2024, where you will be able to listen to the meeting live, submit questions and vote.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attend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183515</wp:posOffset>
            </wp:positionV>
            <wp:extent cx="394335" cy="1968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right="60" w:firstLine="8"/>
        <w:spacing w:after="0" w:line="286" w:lineRule="auto"/>
        <w:tabs>
          <w:tab w:leader="none" w:pos="19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To attend the annual general meeting, vote your shares and submit questions during the meeting, shareholders and duly appointed proxyholders can visit www.virtualshareholdermeeting.com/CVEO2024.</w:t>
      </w:r>
    </w:p>
    <w:p>
      <w:pPr>
        <w:spacing w:after="0" w:line="61" w:lineRule="exact"/>
        <w:rPr>
          <w:sz w:val="20"/>
          <w:szCs w:val="20"/>
          <w:color w:val="auto"/>
        </w:rPr>
      </w:pPr>
    </w:p>
    <w:p>
      <w:pPr>
        <w:ind w:left="200" w:right="80" w:hanging="192"/>
        <w:spacing w:after="0" w:line="269" w:lineRule="auto"/>
        <w:tabs>
          <w:tab w:leader="none" w:pos="170" w:val="left"/>
        </w:tabs>
        <w:numPr>
          <w:ilvl w:val="0"/>
          <w:numId w:val="66"/>
        </w:numPr>
        <w:rPr>
          <w:rFonts w:ascii="Arial" w:cs="Arial" w:eastAsia="Arial" w:hAnsi="Arial"/>
          <w:sz w:val="16"/>
          <w:szCs w:val="16"/>
          <w:color w:val="006DB6"/>
        </w:rPr>
      </w:pPr>
      <w:r>
        <w:rPr>
          <w:rFonts w:ascii="Arial" w:cs="Arial" w:eastAsia="Arial" w:hAnsi="Arial"/>
          <w:sz w:val="16"/>
          <w:szCs w:val="16"/>
          <w:color w:val="auto"/>
        </w:rPr>
        <w:t xml:space="preserve">Before attending the meeting, you will be directed to the Registration Page. Please complete the registration form with your name and control number included in your voting instruction form or proxy card or otherwise provided to you by your broker, trustee or other nominee, as described below. Your control number is located on the form of proxy or in the email notification you received. Once registration information has been entered, shareholders and duly appointed proxyholders can participate in the meeting by clicking </w:t>
      </w:r>
      <w:r>
        <w:rPr>
          <w:rFonts w:ascii="Arial" w:cs="Arial" w:eastAsia="Arial" w:hAnsi="Arial"/>
          <w:sz w:val="16"/>
          <w:szCs w:val="16"/>
          <w:b w:val="1"/>
          <w:bCs w:val="1"/>
          <w:color w:val="auto"/>
        </w:rPr>
        <w:t>“Register &amp; Join”</w:t>
      </w:r>
      <w:r>
        <w:rPr>
          <w:rFonts w:ascii="Arial" w:cs="Arial" w:eastAsia="Arial" w:hAnsi="Arial"/>
          <w:sz w:val="16"/>
          <w:szCs w:val="16"/>
          <w:color w:val="auto"/>
        </w:rPr>
        <w:t>.</w:t>
      </w:r>
    </w:p>
    <w:p>
      <w:pPr>
        <w:spacing w:after="0" w:line="52" w:lineRule="exact"/>
        <w:rPr>
          <w:rFonts w:ascii="Arial" w:cs="Arial" w:eastAsia="Arial" w:hAnsi="Arial"/>
          <w:sz w:val="16"/>
          <w:szCs w:val="16"/>
          <w:color w:val="006DB6"/>
        </w:rPr>
      </w:pPr>
    </w:p>
    <w:p>
      <w:pPr>
        <w:ind w:left="200" w:right="380" w:hanging="192"/>
        <w:spacing w:after="0" w:line="314" w:lineRule="auto"/>
        <w:tabs>
          <w:tab w:leader="none" w:pos="170" w:val="left"/>
        </w:tabs>
        <w:numPr>
          <w:ilvl w:val="0"/>
          <w:numId w:val="66"/>
        </w:numPr>
        <w:rPr>
          <w:rFonts w:ascii="Arial" w:cs="Arial" w:eastAsia="Arial" w:hAnsi="Arial"/>
          <w:sz w:val="16"/>
          <w:szCs w:val="16"/>
          <w:color w:val="006DB6"/>
        </w:rPr>
      </w:pPr>
      <w:r>
        <w:rPr>
          <w:rFonts w:ascii="Arial" w:cs="Arial" w:eastAsia="Arial" w:hAnsi="Arial"/>
          <w:sz w:val="16"/>
          <w:szCs w:val="16"/>
          <w:color w:val="auto"/>
        </w:rPr>
        <w:t xml:space="preserve">Once registration information has been entered, shareholders and duly appointed proxyholders can participate in the meeting by clicking </w:t>
      </w:r>
      <w:r>
        <w:rPr>
          <w:rFonts w:ascii="Arial" w:cs="Arial" w:eastAsia="Arial" w:hAnsi="Arial"/>
          <w:sz w:val="16"/>
          <w:szCs w:val="16"/>
          <w:b w:val="1"/>
          <w:bCs w:val="1"/>
          <w:color w:val="auto"/>
        </w:rPr>
        <w:t>“Register &amp;</w:t>
      </w:r>
      <w:r>
        <w:rPr>
          <w:rFonts w:ascii="Arial" w:cs="Arial" w:eastAsia="Arial" w:hAnsi="Arial"/>
          <w:sz w:val="16"/>
          <w:szCs w:val="16"/>
          <w:color w:val="auto"/>
        </w:rPr>
        <w:t xml:space="preserve"> </w:t>
      </w:r>
      <w:r>
        <w:rPr>
          <w:rFonts w:ascii="Arial" w:cs="Arial" w:eastAsia="Arial" w:hAnsi="Arial"/>
          <w:sz w:val="16"/>
          <w:szCs w:val="16"/>
          <w:b w:val="1"/>
          <w:bCs w:val="1"/>
          <w:color w:val="auto"/>
        </w:rPr>
        <w:t>Join”</w:t>
      </w:r>
      <w:r>
        <w:rPr>
          <w:rFonts w:ascii="Arial" w:cs="Arial" w:eastAsia="Arial" w:hAnsi="Arial"/>
          <w:sz w:val="16"/>
          <w:szCs w:val="16"/>
          <w:color w:val="auto"/>
        </w:rPr>
        <w:t>.</w:t>
      </w:r>
    </w:p>
    <w:p>
      <w:pPr>
        <w:spacing w:after="0" w:line="18" w:lineRule="exact"/>
        <w:rPr>
          <w:rFonts w:ascii="Arial" w:cs="Arial" w:eastAsia="Arial" w:hAnsi="Arial"/>
          <w:sz w:val="16"/>
          <w:szCs w:val="16"/>
          <w:color w:val="006DB6"/>
        </w:rPr>
      </w:pPr>
    </w:p>
    <w:p>
      <w:pPr>
        <w:ind w:left="200" w:right="660" w:hanging="192"/>
        <w:spacing w:after="0" w:line="314" w:lineRule="auto"/>
        <w:tabs>
          <w:tab w:leader="none" w:pos="170" w:val="left"/>
        </w:tabs>
        <w:numPr>
          <w:ilvl w:val="0"/>
          <w:numId w:val="66"/>
        </w:numPr>
        <w:rPr>
          <w:rFonts w:ascii="Arial" w:cs="Arial" w:eastAsia="Arial" w:hAnsi="Arial"/>
          <w:sz w:val="16"/>
          <w:szCs w:val="16"/>
          <w:color w:val="006DB6"/>
        </w:rPr>
      </w:pPr>
      <w:r>
        <w:rPr>
          <w:rFonts w:ascii="Arial" w:cs="Arial" w:eastAsia="Arial" w:hAnsi="Arial"/>
          <w:sz w:val="16"/>
          <w:szCs w:val="16"/>
          <w:color w:val="auto"/>
        </w:rPr>
        <w:t xml:space="preserve">Voting at the meeting will only be available for shareholders and duly appointed proxyholders who have registered on the website. Non-registered shareholders who have not appointed themselves may attend the meeting by clicking </w:t>
      </w:r>
      <w:r>
        <w:rPr>
          <w:rFonts w:ascii="Arial" w:cs="Arial" w:eastAsia="Arial" w:hAnsi="Arial"/>
          <w:sz w:val="16"/>
          <w:szCs w:val="16"/>
          <w:b w:val="1"/>
          <w:bCs w:val="1"/>
          <w:color w:val="auto"/>
        </w:rPr>
        <w:t>“Guest”</w:t>
      </w:r>
      <w:r>
        <w:rPr>
          <w:rFonts w:ascii="Arial" w:cs="Arial" w:eastAsia="Arial" w:hAnsi="Arial"/>
          <w:sz w:val="16"/>
          <w:szCs w:val="16"/>
          <w:color w:val="auto"/>
        </w:rPr>
        <w:t xml:space="preserve"> and completing the online form.</w:t>
      </w:r>
    </w:p>
    <w:p>
      <w:pPr>
        <w:spacing w:after="0" w:line="1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On the day of the meeting, if you have trouble logging in or need assistance, please call Broadridge support at 844-976-0738 (US) or 303-562-9301 (International).</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appoint my proxy?</w:t>
      </w:r>
    </w:p>
    <w:p>
      <w:pPr>
        <w:spacing w:after="0" w:line="113" w:lineRule="exact"/>
        <w:rPr>
          <w:sz w:val="20"/>
          <w:szCs w:val="20"/>
          <w:color w:val="auto"/>
        </w:rPr>
      </w:pPr>
    </w:p>
    <w:p>
      <w:pPr>
        <w:ind w:right="320" w:firstLine="8"/>
        <w:spacing w:after="0" w:line="265" w:lineRule="auto"/>
        <w:tabs>
          <w:tab w:leader="none" w:pos="198"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Shareholders who wish to appoint a third party proxyholder to represent them at the meeting </w:t>
      </w:r>
      <w:r>
        <w:rPr>
          <w:rFonts w:ascii="Arial" w:cs="Arial" w:eastAsia="Arial" w:hAnsi="Arial"/>
          <w:sz w:val="16"/>
          <w:szCs w:val="16"/>
          <w:b w:val="1"/>
          <w:bCs w:val="1"/>
          <w:color w:val="auto"/>
        </w:rPr>
        <w:t>must submit their proxy or voting instruction form (if</w:t>
      </w:r>
      <w:r>
        <w:rPr>
          <w:rFonts w:ascii="Arial" w:cs="Arial" w:eastAsia="Arial" w:hAnsi="Arial"/>
          <w:sz w:val="16"/>
          <w:szCs w:val="16"/>
          <w:color w:val="auto"/>
        </w:rPr>
        <w:t xml:space="preserve"> </w:t>
      </w:r>
      <w:r>
        <w:rPr>
          <w:rFonts w:ascii="Arial" w:cs="Arial" w:eastAsia="Arial" w:hAnsi="Arial"/>
          <w:sz w:val="16"/>
          <w:szCs w:val="16"/>
          <w:b w:val="1"/>
          <w:bCs w:val="1"/>
          <w:color w:val="auto"/>
        </w:rPr>
        <w:t>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rial" w:cs="Arial" w:eastAsia="Arial" w:hAnsi="Arial"/>
          <w:sz w:val="16"/>
          <w:szCs w:val="16"/>
          <w:color w:val="auto"/>
        </w:rPr>
        <w:t>. To register a proxyholder, shareholders MUST write in the appointee's name on the proxy card enclosed in your packet and return via US mail</w:t>
      </w:r>
      <w:r>
        <w:rPr>
          <w:rFonts w:ascii="Arial" w:cs="Arial" w:eastAsia="Arial" w:hAnsi="Arial"/>
          <w:sz w:val="16"/>
          <w:szCs w:val="16"/>
          <w:b w:val="1"/>
          <w:bCs w:val="1"/>
          <w:color w:val="auto"/>
        </w:rPr>
        <w:t xml:space="preserve"> </w:t>
      </w:r>
      <w:r>
        <w:rPr>
          <w:rFonts w:ascii="Arial" w:cs="Arial" w:eastAsia="Arial" w:hAnsi="Arial"/>
          <w:sz w:val="16"/>
          <w:szCs w:val="16"/>
          <w:color w:val="auto"/>
        </w:rPr>
        <w:t>using the enclosed envelope.</w:t>
      </w:r>
    </w:p>
    <w:p>
      <w:pPr>
        <w:spacing w:after="0" w:line="6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proxy must be received by Broadridge no later than May 14, 2024 at 11:59 p.m., Eastern Time. If a shareholder who has submitted a proxy attends the meeting and has accepted the terms and conditions when entering the meeting, any votes cast by such shareholder on a ballot will be counted and the submitted proxy will be disregarded.</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can I ask questions at the annual general meeting?</w:t>
      </w:r>
    </w:p>
    <w:p>
      <w:pPr>
        <w:spacing w:after="0" w:line="127" w:lineRule="exact"/>
        <w:rPr>
          <w:sz w:val="20"/>
          <w:szCs w:val="20"/>
          <w:color w:val="auto"/>
        </w:rPr>
      </w:pPr>
    </w:p>
    <w:p>
      <w:pPr>
        <w:ind w:left="200" w:hanging="192"/>
        <w:spacing w:after="0"/>
        <w:tabs>
          <w:tab w:leader="none" w:pos="2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Shareholders who wish to submit a question may do so at www.virtualshareholdermeeting.com/CVEO2024. Shareholders may submit questions live</w:t>
      </w:r>
    </w:p>
    <w:p>
      <w:pPr>
        <w:spacing w:after="0" w:line="21" w:lineRule="exact"/>
        <w:rPr>
          <w:rFonts w:ascii="Arial" w:cs="Arial" w:eastAsia="Arial" w:hAnsi="Arial"/>
          <w:sz w:val="16"/>
          <w:szCs w:val="16"/>
          <w:color w:val="auto"/>
        </w:rPr>
      </w:pPr>
    </w:p>
    <w:p>
      <w:pPr>
        <w:ind w:right="100"/>
        <w:spacing w:after="0" w:line="258" w:lineRule="auto"/>
        <w:rPr>
          <w:rFonts w:ascii="Arial" w:cs="Arial" w:eastAsia="Arial" w:hAnsi="Arial"/>
          <w:sz w:val="16"/>
          <w:szCs w:val="16"/>
          <w:color w:val="auto"/>
        </w:rPr>
      </w:pPr>
      <w:r>
        <w:rPr>
          <w:rFonts w:ascii="Arial" w:cs="Arial" w:eastAsia="Arial" w:hAnsi="Arial"/>
          <w:sz w:val="16"/>
          <w:szCs w:val="16"/>
          <w:color w:val="auto"/>
        </w:rPr>
        <w:t>during the annual general meeting. Civeo is committed to transparency. All questions received during the annual general meeting, and Civeo’s responses, will be posted to our Investor Relations website at http://ir.civeo.com/ events-presentations promptly after the annual general meeting. Personal details may be omitted for data protection purposes. If we receive substantially similar questions, we may group these questions together and provide a single response to avoid repetition.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To submit a question for the Q&amp;A portion of the meeting, a shareholder should complete the following steps:</w:t>
      </w:r>
    </w:p>
    <w:p>
      <w:pPr>
        <w:spacing w:after="0" w:line="113" w:lineRule="exact"/>
        <w:rPr>
          <w:sz w:val="20"/>
          <w:szCs w:val="20"/>
          <w:color w:val="auto"/>
        </w:rPr>
      </w:pPr>
    </w:p>
    <w:p>
      <w:pPr>
        <w:ind w:left="180" w:hanging="172"/>
        <w:spacing w:after="0"/>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Click the Q&amp;A button to open the panel;</w:t>
      </w:r>
    </w:p>
    <w:p>
      <w:pPr>
        <w:spacing w:after="0" w:line="113" w:lineRule="exact"/>
        <w:rPr>
          <w:rFonts w:ascii="Arial" w:cs="Arial" w:eastAsia="Arial" w:hAnsi="Arial"/>
          <w:sz w:val="16"/>
          <w:szCs w:val="16"/>
          <w:color w:val="auto"/>
        </w:rPr>
      </w:pPr>
    </w:p>
    <w:p>
      <w:pPr>
        <w:ind w:left="180" w:hanging="172"/>
        <w:spacing w:after="0"/>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Enter their question in the field labelled “Submit a question”; and</w:t>
      </w:r>
    </w:p>
    <w:p>
      <w:pPr>
        <w:spacing w:after="0" w:line="126" w:lineRule="exact"/>
        <w:rPr>
          <w:rFonts w:ascii="Arial" w:cs="Arial" w:eastAsia="Arial" w:hAnsi="Arial"/>
          <w:sz w:val="16"/>
          <w:szCs w:val="16"/>
          <w:color w:val="auto"/>
        </w:rPr>
      </w:pPr>
    </w:p>
    <w:p>
      <w:pPr>
        <w:ind w:left="180" w:hanging="172"/>
        <w:spacing w:after="0"/>
        <w:tabs>
          <w:tab w:leader="none" w:pos="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Click SUBMIT.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entitled to vote during the annual general meeting?</w:t>
      </w:r>
    </w:p>
    <w:p>
      <w:pPr>
        <w:spacing w:after="0" w:line="127" w:lineRule="exact"/>
        <w:rPr>
          <w:sz w:val="20"/>
          <w:szCs w:val="20"/>
          <w:color w:val="auto"/>
        </w:rPr>
      </w:pPr>
    </w:p>
    <w:p>
      <w:pPr>
        <w:ind w:right="260" w:firstLine="8"/>
        <w:spacing w:after="0" w:line="266" w:lineRule="auto"/>
        <w:tabs>
          <w:tab w:leader="none" w:pos="198"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fixed March 18, 2024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many votes do I have?</w:t>
      </w:r>
    </w:p>
    <w:p>
      <w:pPr>
        <w:spacing w:after="0" w:line="113" w:lineRule="exact"/>
        <w:rPr>
          <w:sz w:val="20"/>
          <w:szCs w:val="20"/>
          <w:color w:val="auto"/>
        </w:rPr>
      </w:pPr>
    </w:p>
    <w:p>
      <w:pPr>
        <w:ind w:right="140" w:firstLine="8"/>
        <w:spacing w:after="0" w:line="286" w:lineRule="auto"/>
        <w:tabs>
          <w:tab w:leader="none" w:pos="1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You are entitled to one vote for each share you owned as of the close of business, U.S. Eastern Time, on the record date. As of the close of business on the record date, there were approximately 14,658,743 Civeo common shares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How do I vote?</w:t>
      </w:r>
    </w:p>
    <w:p>
      <w:pPr>
        <w:spacing w:after="0" w:line="113" w:lineRule="exact"/>
        <w:rPr>
          <w:sz w:val="20"/>
          <w:szCs w:val="20"/>
          <w:color w:val="auto"/>
        </w:rPr>
      </w:pPr>
    </w:p>
    <w:p>
      <w:pPr>
        <w:ind w:right="40" w:firstLine="8"/>
        <w:spacing w:after="0" w:line="275" w:lineRule="auto"/>
        <w:tabs>
          <w:tab w:leader="none" w:pos="198"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U.S. Eastern Time, on March 18, 2024, the record date for the annual general meeting, you may vote in person by attending the annual general meeting or, to ensure your shares are represented at the annual general meeting, you may authorize a proxy to vote by:</w:t>
      </w:r>
    </w:p>
    <w:p>
      <w:pPr>
        <w:spacing w:after="0" w:line="56" w:lineRule="exact"/>
        <w:rPr>
          <w:sz w:val="20"/>
          <w:szCs w:val="20"/>
          <w:color w:val="auto"/>
        </w:rPr>
      </w:pPr>
    </w:p>
    <w:p>
      <w:pPr>
        <w:ind w:left="180" w:hanging="172"/>
        <w:spacing w:after="0"/>
        <w:tabs>
          <w:tab w:leader="none" w:pos="180" w:val="left"/>
        </w:tabs>
        <w:numPr>
          <w:ilvl w:val="0"/>
          <w:numId w:val="73"/>
        </w:numPr>
        <w:rPr>
          <w:rFonts w:ascii="Arial" w:cs="Arial" w:eastAsia="Arial" w:hAnsi="Arial"/>
          <w:sz w:val="16"/>
          <w:szCs w:val="16"/>
          <w:color w:val="006DB6"/>
        </w:rPr>
      </w:pPr>
      <w:r>
        <w:rPr>
          <w:rFonts w:ascii="Arial" w:cs="Arial" w:eastAsia="Arial" w:hAnsi="Arial"/>
          <w:sz w:val="16"/>
          <w:szCs w:val="16"/>
          <w:color w:val="auto"/>
        </w:rPr>
        <w:t>accessing the Internet website specified on your proxy card;</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3"/>
        </w:numPr>
        <w:rPr>
          <w:rFonts w:ascii="Arial" w:cs="Arial" w:eastAsia="Arial" w:hAnsi="Arial"/>
          <w:sz w:val="16"/>
          <w:szCs w:val="16"/>
          <w:color w:val="006DB6"/>
        </w:rPr>
      </w:pPr>
      <w:r>
        <w:rPr>
          <w:rFonts w:ascii="Arial" w:cs="Arial" w:eastAsia="Arial" w:hAnsi="Arial"/>
          <w:sz w:val="16"/>
          <w:szCs w:val="16"/>
          <w:color w:val="auto"/>
        </w:rPr>
        <w:t>calling the toll-free number specified on your proxy card; or</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3"/>
        </w:numPr>
        <w:rPr>
          <w:rFonts w:ascii="Arial" w:cs="Arial" w:eastAsia="Arial" w:hAnsi="Arial"/>
          <w:sz w:val="16"/>
          <w:szCs w:val="16"/>
          <w:color w:val="006DB6"/>
        </w:rPr>
      </w:pPr>
      <w:r>
        <w:rPr>
          <w:rFonts w:ascii="Arial" w:cs="Arial" w:eastAsia="Arial" w:hAnsi="Arial"/>
          <w:sz w:val="16"/>
          <w:szCs w:val="16"/>
          <w:color w:val="auto"/>
        </w:rPr>
        <w:t>signing and returning your proxy card in the postage-paid envelope provided.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proxy card is being sent with this proxy statement to each shareholder of record as of the record date for the annual general meeting.</w:t>
      </w:r>
    </w:p>
    <w:p>
      <w:pPr>
        <w:spacing w:after="0" w:line="12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19"/>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If my shares are held in “street name” by my nominee, when will my nominee vote shares for me?</w:t>
      </w:r>
    </w:p>
    <w:p>
      <w:pPr>
        <w:spacing w:after="0" w:line="113" w:lineRule="exact"/>
        <w:rPr>
          <w:sz w:val="20"/>
          <w:szCs w:val="20"/>
          <w:color w:val="auto"/>
        </w:rPr>
      </w:pPr>
    </w:p>
    <w:p>
      <w:pPr>
        <w:ind w:firstLine="8"/>
        <w:spacing w:after="0" w:line="260" w:lineRule="auto"/>
        <w:tabs>
          <w:tab w:leader="none" w:pos="198" w:val="left"/>
        </w:tabs>
        <w:numPr>
          <w:ilvl w:val="0"/>
          <w:numId w:val="74"/>
        </w:numPr>
        <w:rPr>
          <w:rFonts w:ascii="Arial" w:cs="Arial" w:eastAsia="Arial" w:hAnsi="Arial"/>
          <w:sz w:val="16"/>
          <w:szCs w:val="16"/>
          <w:color w:val="auto"/>
        </w:rPr>
      </w:pPr>
      <w:r>
        <w:rPr>
          <w:rFonts w:ascii="Arial" w:cs="Arial" w:eastAsia="Arial" w:hAnsi="Arial"/>
          <w:sz w:val="16"/>
          <w:szCs w:val="16"/>
          <w:color w:val="auto"/>
        </w:rPr>
        <w:t>For the annual general meeting, if your shares are held by a bank, broker or other nominee of record, you are considered the beneficial owner of those shares, but not the record holder. This means that you vote by providing instructions to your broker rather than directly to Civeo.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vote on any of the proposals unless you provide voting instructions. If you do not provide voting instructions and the broker elects to vote your shares on some but not all matters, it will result in a “broker non-vote” for the matters on which the broker does not vote and your shares will not be voted on those matters. Broker non-votes, if any, will have no effect on the Director Proposal, the Auditor Proposal or the Say-on-Pay Proposal. However, broker non-votes, if any, will have the effect of a vote against the Declassification Amendment and Preferred Share Amendment. Your nominee can give you directions on how to instruct the voting of your shares. We encourage you to instruct your nominee how to vote your shares.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Are shareholders able to exercise appraisal rights?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Appraisal rights are not available to shareholders in connection with any of the proposals.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Can I change my vote after I grant my proxy?</w:t>
      </w:r>
    </w:p>
    <w:p>
      <w:pPr>
        <w:spacing w:after="0" w:line="113" w:lineRule="exact"/>
        <w:rPr>
          <w:sz w:val="20"/>
          <w:szCs w:val="20"/>
          <w:color w:val="auto"/>
        </w:rPr>
      </w:pPr>
    </w:p>
    <w:p>
      <w:pPr>
        <w:ind w:right="580" w:firstLine="8"/>
        <w:spacing w:after="0" w:line="286" w:lineRule="auto"/>
        <w:tabs>
          <w:tab w:leader="none" w:pos="198" w:val="left"/>
        </w:tabs>
        <w:numPr>
          <w:ilvl w:val="0"/>
          <w:numId w:val="75"/>
        </w:numPr>
        <w:rPr>
          <w:rFonts w:ascii="Arial" w:cs="Arial" w:eastAsia="Arial" w:hAnsi="Arial"/>
          <w:sz w:val="16"/>
          <w:szCs w:val="16"/>
          <w:color w:val="auto"/>
        </w:rPr>
      </w:pPr>
      <w:r>
        <w:rPr>
          <w:rFonts w:ascii="Arial" w:cs="Arial" w:eastAsia="Arial" w:hAnsi="Arial"/>
          <w:sz w:val="16"/>
          <w:szCs w:val="16"/>
          <w:color w:val="auto"/>
        </w:rPr>
        <w:t>Yes. You can change your vote at any time before your proxy is voted at the annual general meeting. In addition to revocation in any other manner permitted by law, you can revoke your proxy in one of the following ways:</w:t>
      </w:r>
    </w:p>
    <w:p>
      <w:pPr>
        <w:spacing w:after="0" w:line="6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6"/>
          <w:szCs w:val="16"/>
          <w:color w:val="006DB6"/>
        </w:rPr>
      </w:pPr>
      <w:r>
        <w:rPr>
          <w:rFonts w:ascii="Arial" w:cs="Arial" w:eastAsia="Arial" w:hAnsi="Arial"/>
          <w:sz w:val="16"/>
          <w:szCs w:val="16"/>
          <w:color w:val="auto"/>
        </w:rPr>
        <w:t>filing a written revocation with the Secretary prior to the voting of such proxy;</w:t>
      </w:r>
    </w:p>
    <w:p>
      <w:pPr>
        <w:spacing w:after="0" w:line="86" w:lineRule="exact"/>
        <w:rPr>
          <w:rFonts w:ascii="Arial" w:cs="Arial" w:eastAsia="Arial" w:hAnsi="Arial"/>
          <w:sz w:val="16"/>
          <w:szCs w:val="16"/>
          <w:color w:val="006DB6"/>
        </w:rPr>
      </w:pPr>
    </w:p>
    <w:p>
      <w:pPr>
        <w:ind w:left="180" w:hanging="172"/>
        <w:spacing w:after="0"/>
        <w:tabs>
          <w:tab w:leader="none" w:pos="180" w:val="left"/>
        </w:tabs>
        <w:numPr>
          <w:ilvl w:val="0"/>
          <w:numId w:val="76"/>
        </w:numPr>
        <w:rPr>
          <w:rFonts w:ascii="Arial" w:cs="Arial" w:eastAsia="Arial" w:hAnsi="Arial"/>
          <w:sz w:val="16"/>
          <w:szCs w:val="16"/>
          <w:color w:val="006DB6"/>
        </w:rPr>
      </w:pPr>
      <w:r>
        <w:rPr>
          <w:rFonts w:ascii="Arial" w:cs="Arial" w:eastAsia="Arial" w:hAnsi="Arial"/>
          <w:sz w:val="16"/>
          <w:szCs w:val="16"/>
          <w:color w:val="auto"/>
        </w:rPr>
        <w:t>giving a duly executed proxy bearing a later date; or</w:t>
      </w:r>
    </w:p>
    <w:p>
      <w:pPr>
        <w:spacing w:after="0" w:line="72" w:lineRule="exact"/>
        <w:rPr>
          <w:rFonts w:ascii="Arial" w:cs="Arial" w:eastAsia="Arial" w:hAnsi="Arial"/>
          <w:sz w:val="16"/>
          <w:szCs w:val="16"/>
          <w:color w:val="006DB6"/>
        </w:rPr>
      </w:pPr>
    </w:p>
    <w:p>
      <w:pPr>
        <w:ind w:left="180" w:hanging="172"/>
        <w:spacing w:after="0"/>
        <w:tabs>
          <w:tab w:leader="none" w:pos="180" w:val="left"/>
        </w:tabs>
        <w:numPr>
          <w:ilvl w:val="0"/>
          <w:numId w:val="76"/>
        </w:numPr>
        <w:rPr>
          <w:rFonts w:ascii="Arial" w:cs="Arial" w:eastAsia="Arial" w:hAnsi="Arial"/>
          <w:sz w:val="16"/>
          <w:szCs w:val="16"/>
          <w:color w:val="006DB6"/>
        </w:rPr>
      </w:pPr>
      <w:r>
        <w:rPr>
          <w:rFonts w:ascii="Arial" w:cs="Arial" w:eastAsia="Arial" w:hAnsi="Arial"/>
          <w:sz w:val="16"/>
          <w:szCs w:val="16"/>
          <w:color w:val="auto"/>
        </w:rPr>
        <w:t>attending the annual general meeting and voting in person.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Your attendance during the annual general meeting will not itself revoke your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have instructed a broker to vote your shares, you must follow the procedure provided by your broker to change those instructions.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abstain from voting and/or withhold my vote or fail to vote?</w:t>
      </w:r>
    </w:p>
    <w:p>
      <w:pPr>
        <w:spacing w:after="0" w:line="127" w:lineRule="exact"/>
        <w:rPr>
          <w:sz w:val="20"/>
          <w:szCs w:val="20"/>
          <w:color w:val="auto"/>
        </w:rPr>
      </w:pPr>
    </w:p>
    <w:p>
      <w:pPr>
        <w:ind w:right="100" w:firstLine="8"/>
        <w:spacing w:after="0" w:line="275" w:lineRule="auto"/>
        <w:tabs>
          <w:tab w:leader="none" w:pos="198"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Under applicable local law, if you are a shareholder of Civeo and are present in person or by proxy at the annual general meeting and mark your proxy or voting instructions to “ABSTAIN”, this will have no effect on the Say-on-Pay Proposal, but will have the effect of a vote against the Declassification Amendment and Preferred Share Amendment.</w:t>
      </w:r>
    </w:p>
    <w:p>
      <w:pPr>
        <w:spacing w:after="0" w:line="5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If you are a shareholder of Civeo and are present in person or by proxy at the annual general meeting and mark your proxy or voting instructions to ”WITHHOLD”, this will have the effect of a vote withheld from the applicable director nominee named in the Director Proposal, but will have no direct effect on the election of such director nominee. If you are a shareholder of Civeo and are present in person or by proxy at the annual general meeting and mark your proxy or voting instructions to ”WITHHOLD”, this will have no effect on the Auditor Proposal.</w:t>
      </w:r>
    </w:p>
    <w:p>
      <w:pPr>
        <w:spacing w:after="0" w:line="7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If you are a shareholder of Civeo and (1) are not present in person at the annual general meeting and do not respond by proxy or (2) fail to instruct your broker, bank or other nominee to vote, this will have no effect on the election of the director nominees named in the Director Proposal, the Auditor Proposal or the Say-on-Pay Proposal, but will have the effect of a vote against the Declassification Amendment and Preferred Share Amendment.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will happen if I return my proxy card without indicating how to vote?</w:t>
      </w:r>
    </w:p>
    <w:p>
      <w:pPr>
        <w:spacing w:after="0" w:line="113" w:lineRule="exact"/>
        <w:rPr>
          <w:sz w:val="20"/>
          <w:szCs w:val="20"/>
          <w:color w:val="auto"/>
        </w:rPr>
      </w:pPr>
    </w:p>
    <w:p>
      <w:pPr>
        <w:ind w:right="180" w:firstLine="8"/>
        <w:spacing w:after="0" w:line="304" w:lineRule="auto"/>
        <w:tabs>
          <w:tab w:leader="none" w:pos="198"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signed proxy card without indicating how to vote on any particular proposal, the shares of Civeo represented by your proxy will be voted as recommended by the Civeo board of directors with respect to that proposal.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What is the quorum requirement for the annual general meeting?</w:t>
      </w:r>
    </w:p>
    <w:p>
      <w:pPr>
        <w:spacing w:after="0" w:line="113" w:lineRule="exact"/>
        <w:rPr>
          <w:sz w:val="20"/>
          <w:szCs w:val="20"/>
          <w:color w:val="auto"/>
        </w:rPr>
      </w:pPr>
    </w:p>
    <w:p>
      <w:pPr>
        <w:ind w:right="20" w:firstLine="8"/>
        <w:spacing w:after="0" w:line="271" w:lineRule="auto"/>
        <w:tabs>
          <w:tab w:leader="none" w:pos="198"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soliciting my proxy?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Proxies are being solicited by our board of directors for use at the annual general meeting and any adjournment or postponement thereof.</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6DB6"/>
        </w:rPr>
        <w:t>Q: Who is paying for the cost of this proxy solicitation?</w:t>
      </w:r>
    </w:p>
    <w:p>
      <w:pPr>
        <w:spacing w:after="0" w:line="113" w:lineRule="exact"/>
        <w:rPr>
          <w:sz w:val="20"/>
          <w:szCs w:val="20"/>
          <w:color w:val="auto"/>
        </w:rPr>
      </w:pPr>
    </w:p>
    <w:p>
      <w:pPr>
        <w:ind w:right="600" w:firstLine="8"/>
        <w:spacing w:after="0" w:line="286" w:lineRule="auto"/>
        <w:tabs>
          <w:tab w:leader="none" w:pos="198"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142240</wp:posOffset>
            </wp:positionV>
            <wp:extent cx="394335" cy="1968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94335" cy="196850"/>
                    </a:xfrm>
                    <a:prstGeom prst="rect">
                      <a:avLst/>
                    </a:prstGeom>
                    <a:noFill/>
                  </pic:spPr>
                </pic:pic>
              </a:graphicData>
            </a:graphic>
          </wp:anchor>
        </w:drawing>
      </w:r>
    </w:p>
    <w:p>
      <w:pPr>
        <w:spacing w:after="0" w:line="3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372"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$9,000. Broadridge will serve as the inspector of election for the annual general meeting.</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Future Shareholder Proposals</w:t>
      </w:r>
    </w:p>
    <w:p>
      <w:pPr>
        <w:spacing w:after="0" w:line="1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To be included in the proxy materials for the 2025 annual general meeting of shareholders under SEC Rule 14a-8, shareholder proposals that are submitted for presentation at that annual general meeting and are otherwise eligible for inclusion in the proxy statement must be received by us no later than December 13, 2024.</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2025 annual general meeting of shareholders, notice will have to be delivered to us no later than January 15, 2025.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business other than nominations and nominations of directors (which includes information required by Rule 14a-19).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spacing w:after="0" w:line="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Proxies granted in connection with that annual general meeting may confer discretionary authority to vote on any shareholder proposal if a shareholder does not also comply with the requirements of Rule 14a-4(c)(2) under the Exchange Act. It is suggested that proponents submit their proposals by certified mail, return receipt requested.</w:t>
      </w:r>
    </w:p>
    <w:p>
      <w:pPr>
        <w:spacing w:after="0" w:line="56"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rial" w:cs="Arial" w:eastAsia="Arial" w:hAnsi="Arial"/>
          <w:sz w:val="16"/>
          <w:szCs w:val="16"/>
          <w:i w:val="1"/>
          <w:iCs w:val="1"/>
          <w:color w:val="auto"/>
        </w:rPr>
        <w:t>usiness Corporations Act</w:t>
      </w:r>
      <w:r>
        <w:rPr>
          <w:rFonts w:ascii="Arial" w:cs="Arial" w:eastAsia="Arial" w:hAnsi="Arial"/>
          <w:sz w:val="16"/>
          <w:szCs w:val="16"/>
          <w:color w:val="auto"/>
        </w:rPr>
        <w:t xml:space="preserve">; and (ii) a requisition of a meeting made pursuant to the provisions of the British Columbia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80" w:type="dxa"/>
            <w:vAlign w:val="bottom"/>
          </w:tcPr>
          <w:p>
            <w:pPr>
              <w:ind w:left="9260"/>
              <w:spacing w:after="0"/>
              <w:rPr>
                <w:sz w:val="20"/>
                <w:szCs w:val="20"/>
                <w:color w:val="auto"/>
              </w:rPr>
            </w:pPr>
            <w:r>
              <w:rPr>
                <w:rFonts w:ascii="Arial" w:cs="Arial" w:eastAsia="Arial" w:hAnsi="Arial"/>
                <w:sz w:val="14"/>
                <w:szCs w:val="14"/>
                <w:color w:val="auto"/>
              </w:rPr>
              <w:t>2023 Proxy Statement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333"/>
        </w:trPr>
        <w:tc>
          <w:tcPr>
            <w:tcW w:w="10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6DB6"/>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Householding</w:t>
      </w:r>
    </w:p>
    <w:p>
      <w:pPr>
        <w:spacing w:after="0" w:line="1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SEC permits a single copy of the proxy materials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receive only one copy of the proxy materials unless any shareholder at that address has given the broker contrary instructions. However, if any such beneficial shareholder residing at such an address wishes to receive a separate set of proxy materials in the future, or if any such beneficial shareholder that elected to continue to receive separate proxy materials wishes to receive a single copy of the proxy materials in the future, that shareholder should contact their broker or send a request to our Corporate Secretary, Civeo Corporation, Three Allen Center, 333 Clay Street, Suite 4980, Houston, Texas 77002, (713) 510-2400.</w:t>
      </w:r>
    </w:p>
    <w:p>
      <w:pPr>
        <w:spacing w:after="0" w:line="64"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b w:val="1"/>
          <w:bCs w:val="1"/>
          <w:color w:val="auto"/>
        </w:rPr>
        <w:t>We will deliver, without charge, promptly upon written or oral request to the Corporate Secretary at the contact information above, a separate copy of this proxy statement and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286385</wp:posOffset>
            </wp:positionV>
            <wp:extent cx="394335" cy="1974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9433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1005840</wp:posOffset>
            </wp:positionV>
            <wp:extent cx="1645920" cy="9518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45"/>
          <w:szCs w:val="45"/>
          <w:b w:val="1"/>
          <w:bCs w:val="1"/>
          <w:color w:val="006DB6"/>
        </w:rPr>
        <w:t>Appendix</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6"/>
          <w:szCs w:val="16"/>
          <w:b w:val="1"/>
          <w:bCs w:val="1"/>
          <w:i w:val="1"/>
          <w:iCs w:val="1"/>
          <w:color w:val="auto"/>
        </w:rPr>
        <w:t>BUSINESS CORPORATIONS ACT</w:t>
      </w:r>
    </w:p>
    <w:p>
      <w:pPr>
        <w:spacing w:after="0" w:line="232"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BRITISH COLUMBIA</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ARTICLES</w:t>
      </w:r>
    </w:p>
    <w:p>
      <w:pPr>
        <w:spacing w:after="0" w:line="19" w:lineRule="exact"/>
        <w:rPr>
          <w:sz w:val="20"/>
          <w:szCs w:val="20"/>
          <w:color w:val="auto"/>
        </w:rPr>
      </w:pPr>
    </w:p>
    <w:p>
      <w:pPr>
        <w:ind w:left="5540"/>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CIVEO CORPORATION</w:t>
      </w:r>
    </w:p>
    <w:p>
      <w:pPr>
        <w:spacing w:after="0" w:line="232"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spacing w:after="0"/>
        <w:tabs>
          <w:tab w:leader="dot" w:pos="11140" w:val="left"/>
        </w:tabs>
        <w:rPr>
          <w:sz w:val="20"/>
          <w:szCs w:val="20"/>
          <w:color w:val="auto"/>
        </w:rPr>
      </w:pPr>
      <w:r>
        <w:rPr>
          <w:rFonts w:ascii="Arial" w:cs="Arial" w:eastAsia="Arial" w:hAnsi="Arial"/>
          <w:sz w:val="16"/>
          <w:szCs w:val="16"/>
          <w:b w:val="1"/>
          <w:bCs w:val="1"/>
          <w:color w:val="auto"/>
        </w:rPr>
        <w:t>PART 1 INTERPRETATION</w:t>
      </w:r>
      <w:r>
        <w:rPr>
          <w:sz w:val="20"/>
          <w:szCs w:val="20"/>
          <w:color w:val="auto"/>
        </w:rPr>
        <w:tab/>
      </w:r>
      <w:r>
        <w:rPr>
          <w:rFonts w:ascii="Arial" w:cs="Arial" w:eastAsia="Arial" w:hAnsi="Arial"/>
          <w:sz w:val="14"/>
          <w:szCs w:val="14"/>
          <w:b w:val="1"/>
          <w:bCs w:val="1"/>
          <w:color w:val="auto"/>
        </w:rPr>
        <w:t>1</w:t>
      </w:r>
    </w:p>
    <w:p>
      <w:pPr>
        <w:spacing w:after="0" w:line="100" w:lineRule="exact"/>
        <w:rPr>
          <w:sz w:val="20"/>
          <w:szCs w:val="20"/>
          <w:color w:val="auto"/>
        </w:rPr>
      </w:pPr>
    </w:p>
    <w:p>
      <w:pPr>
        <w:jc w:val="right"/>
        <w:spacing w:after="0"/>
        <w:tabs>
          <w:tab w:leader="none" w:pos="7660" w:val="left"/>
          <w:tab w:leader="dot" w:pos="60" w:val="left"/>
        </w:tabs>
        <w:rPr>
          <w:sz w:val="20"/>
          <w:szCs w:val="20"/>
          <w:color w:val="auto"/>
        </w:rPr>
      </w:pPr>
      <w:r>
        <w:rPr>
          <w:rFonts w:ascii="Arial" w:cs="Arial" w:eastAsia="Arial" w:hAnsi="Arial"/>
          <w:sz w:val="16"/>
          <w:szCs w:val="16"/>
          <w:color w:val="auto"/>
        </w:rPr>
        <w:t>1.1.</w:t>
        <w:tab/>
        <w:t>Definitions</w:t>
      </w:r>
      <w:r>
        <w:rPr>
          <w:sz w:val="20"/>
          <w:szCs w:val="20"/>
          <w:color w:val="auto"/>
        </w:rPr>
        <w:tab/>
      </w:r>
      <w:r>
        <w:rPr>
          <w:rFonts w:ascii="Arial" w:cs="Arial" w:eastAsia="Arial" w:hAnsi="Arial"/>
          <w:sz w:val="14"/>
          <w:szCs w:val="14"/>
          <w:color w:val="auto"/>
        </w:rPr>
        <w:t>1</w:t>
      </w:r>
    </w:p>
    <w:p>
      <w:pPr>
        <w:spacing w:after="0" w:line="113" w:lineRule="exact"/>
        <w:rPr>
          <w:sz w:val="20"/>
          <w:szCs w:val="20"/>
          <w:color w:val="auto"/>
        </w:rPr>
      </w:pPr>
    </w:p>
    <w:p>
      <w:pPr>
        <w:ind w:left="3120"/>
        <w:spacing w:after="0"/>
        <w:tabs>
          <w:tab w:leader="none" w:pos="3560" w:val="left"/>
          <w:tab w:leader="dot" w:pos="11140" w:val="left"/>
        </w:tabs>
        <w:rPr>
          <w:sz w:val="20"/>
          <w:szCs w:val="20"/>
          <w:color w:val="auto"/>
        </w:rPr>
      </w:pPr>
      <w:r>
        <w:rPr>
          <w:rFonts w:ascii="Arial" w:cs="Arial" w:eastAsia="Arial" w:hAnsi="Arial"/>
          <w:sz w:val="16"/>
          <w:szCs w:val="16"/>
          <w:color w:val="auto"/>
        </w:rPr>
        <w:t>1.2.</w:t>
        <w:tab/>
        <w:t>Business Corporations Act and Interpretation Act Definitions Applicable</w:t>
      </w:r>
      <w:r>
        <w:rPr>
          <w:sz w:val="20"/>
          <w:szCs w:val="20"/>
          <w:color w:val="auto"/>
        </w:rPr>
        <w:tab/>
      </w:r>
      <w:r>
        <w:rPr>
          <w:rFonts w:ascii="Arial" w:cs="Arial" w:eastAsia="Arial" w:hAnsi="Arial"/>
          <w:sz w:val="14"/>
          <w:szCs w:val="14"/>
          <w:color w:val="auto"/>
        </w:rPr>
        <w:t>1</w:t>
      </w:r>
    </w:p>
    <w:p>
      <w:pPr>
        <w:spacing w:after="0" w:line="100" w:lineRule="exact"/>
        <w:rPr>
          <w:sz w:val="20"/>
          <w:szCs w:val="20"/>
          <w:color w:val="auto"/>
        </w:rPr>
      </w:pPr>
    </w:p>
    <w:p>
      <w:pPr>
        <w:ind w:left="3600"/>
        <w:spacing w:after="0"/>
        <w:tabs>
          <w:tab w:leader="dot" w:pos="11140" w:val="left"/>
        </w:tabs>
        <w:rPr>
          <w:sz w:val="20"/>
          <w:szCs w:val="20"/>
          <w:color w:val="auto"/>
        </w:rPr>
      </w:pPr>
      <w:r>
        <w:rPr>
          <w:rFonts w:ascii="Arial" w:cs="Arial" w:eastAsia="Arial" w:hAnsi="Arial"/>
          <w:sz w:val="16"/>
          <w:szCs w:val="16"/>
          <w:b w:val="1"/>
          <w:bCs w:val="1"/>
          <w:color w:val="auto"/>
        </w:rPr>
        <w:t>PART 2 SHARES AND SHARE CERTIFICATES</w:t>
      </w:r>
      <w:r>
        <w:rPr>
          <w:sz w:val="20"/>
          <w:szCs w:val="20"/>
          <w:color w:val="auto"/>
        </w:rPr>
        <w:tab/>
      </w:r>
      <w:r>
        <w:rPr>
          <w:rFonts w:ascii="Arial" w:cs="Arial" w:eastAsia="Arial" w:hAnsi="Arial"/>
          <w:sz w:val="14"/>
          <w:szCs w:val="14"/>
          <w:b w:val="1"/>
          <w:bCs w:val="1"/>
          <w:color w:val="auto"/>
        </w:rPr>
        <w:t>1</w:t>
      </w:r>
    </w:p>
    <w:p>
      <w:pPr>
        <w:spacing w:after="0" w:line="113" w:lineRule="exact"/>
        <w:rPr>
          <w:sz w:val="20"/>
          <w:szCs w:val="20"/>
          <w:color w:val="auto"/>
        </w:rPr>
      </w:pPr>
    </w:p>
    <w:p>
      <w:pPr>
        <w:ind w:left="3040"/>
        <w:spacing w:after="0"/>
        <w:tabs>
          <w:tab w:leader="none" w:pos="3460" w:val="left"/>
          <w:tab w:leader="dot" w:pos="11140" w:val="left"/>
        </w:tabs>
        <w:rPr>
          <w:sz w:val="20"/>
          <w:szCs w:val="20"/>
          <w:color w:val="auto"/>
        </w:rPr>
      </w:pPr>
      <w:r>
        <w:rPr>
          <w:rFonts w:ascii="Arial" w:cs="Arial" w:eastAsia="Arial" w:hAnsi="Arial"/>
          <w:sz w:val="16"/>
          <w:szCs w:val="16"/>
          <w:color w:val="auto"/>
        </w:rPr>
        <w:t>2.1.</w:t>
        <w:tab/>
        <w:t>Authorized Share Structure</w:t>
      </w:r>
      <w:r>
        <w:rPr>
          <w:sz w:val="20"/>
          <w:szCs w:val="20"/>
          <w:color w:val="auto"/>
        </w:rPr>
        <w:tab/>
      </w:r>
      <w:r>
        <w:rPr>
          <w:rFonts w:ascii="Arial" w:cs="Arial" w:eastAsia="Arial" w:hAnsi="Arial"/>
          <w:sz w:val="14"/>
          <w:szCs w:val="14"/>
          <w:color w:val="auto"/>
        </w:rPr>
        <w:t>1</w:t>
      </w:r>
    </w:p>
    <w:p>
      <w:pPr>
        <w:spacing w:after="0" w:line="100" w:lineRule="exact"/>
        <w:rPr>
          <w:sz w:val="20"/>
          <w:szCs w:val="20"/>
          <w:color w:val="auto"/>
        </w:rPr>
      </w:pPr>
    </w:p>
    <w:p>
      <w:pPr>
        <w:ind w:left="3040"/>
        <w:spacing w:after="0"/>
        <w:tabs>
          <w:tab w:leader="none" w:pos="3460" w:val="left"/>
          <w:tab w:leader="dot" w:pos="11140" w:val="left"/>
        </w:tabs>
        <w:rPr>
          <w:sz w:val="20"/>
          <w:szCs w:val="20"/>
          <w:color w:val="auto"/>
        </w:rPr>
      </w:pPr>
      <w:r>
        <w:rPr>
          <w:rFonts w:ascii="Arial" w:cs="Arial" w:eastAsia="Arial" w:hAnsi="Arial"/>
          <w:sz w:val="16"/>
          <w:szCs w:val="16"/>
          <w:color w:val="auto"/>
        </w:rPr>
        <w:t>2.2.</w:t>
        <w:tab/>
        <w:t>Form of Share Certificate</w:t>
      </w:r>
      <w:r>
        <w:rPr>
          <w:sz w:val="20"/>
          <w:szCs w:val="20"/>
          <w:color w:val="auto"/>
        </w:rPr>
        <w:tab/>
      </w:r>
      <w:r>
        <w:rPr>
          <w:rFonts w:ascii="Arial" w:cs="Arial" w:eastAsia="Arial" w:hAnsi="Arial"/>
          <w:sz w:val="14"/>
          <w:szCs w:val="14"/>
          <w:color w:val="auto"/>
        </w:rPr>
        <w:t>1</w:t>
      </w:r>
    </w:p>
    <w:p>
      <w:pPr>
        <w:spacing w:after="0" w:line="113" w:lineRule="exact"/>
        <w:rPr>
          <w:sz w:val="20"/>
          <w:szCs w:val="20"/>
          <w:color w:val="auto"/>
        </w:rPr>
      </w:pPr>
    </w:p>
    <w:p>
      <w:pPr>
        <w:ind w:left="3120"/>
        <w:spacing w:after="0"/>
        <w:tabs>
          <w:tab w:leader="none" w:pos="3540" w:val="left"/>
          <w:tab w:leader="dot" w:pos="11140" w:val="left"/>
        </w:tabs>
        <w:rPr>
          <w:sz w:val="20"/>
          <w:szCs w:val="20"/>
          <w:color w:val="auto"/>
        </w:rPr>
      </w:pPr>
      <w:r>
        <w:rPr>
          <w:rFonts w:ascii="Arial" w:cs="Arial" w:eastAsia="Arial" w:hAnsi="Arial"/>
          <w:sz w:val="16"/>
          <w:szCs w:val="16"/>
          <w:color w:val="auto"/>
        </w:rPr>
        <w:t>2.3.</w:t>
        <w:tab/>
        <w:t>Shareholder Entitled to Certificate or Acknowledgement</w:t>
      </w:r>
      <w:r>
        <w:rPr>
          <w:sz w:val="20"/>
          <w:szCs w:val="20"/>
          <w:color w:val="auto"/>
        </w:rPr>
        <w:tab/>
      </w:r>
      <w:r>
        <w:rPr>
          <w:rFonts w:ascii="Arial" w:cs="Arial" w:eastAsia="Arial" w:hAnsi="Arial"/>
          <w:sz w:val="14"/>
          <w:szCs w:val="14"/>
          <w:color w:val="auto"/>
        </w:rPr>
        <w:t>2</w:t>
      </w:r>
    </w:p>
    <w:p>
      <w:pPr>
        <w:spacing w:after="0" w:line="100" w:lineRule="exact"/>
        <w:rPr>
          <w:sz w:val="20"/>
          <w:szCs w:val="20"/>
          <w:color w:val="auto"/>
        </w:rPr>
      </w:pPr>
    </w:p>
    <w:p>
      <w:pPr>
        <w:ind w:left="3080"/>
        <w:spacing w:after="0"/>
        <w:tabs>
          <w:tab w:leader="none" w:pos="3500" w:val="left"/>
          <w:tab w:leader="dot" w:pos="11140" w:val="left"/>
        </w:tabs>
        <w:rPr>
          <w:sz w:val="20"/>
          <w:szCs w:val="20"/>
          <w:color w:val="auto"/>
        </w:rPr>
      </w:pPr>
      <w:r>
        <w:rPr>
          <w:rFonts w:ascii="Arial" w:cs="Arial" w:eastAsia="Arial" w:hAnsi="Arial"/>
          <w:sz w:val="16"/>
          <w:szCs w:val="16"/>
          <w:color w:val="auto"/>
        </w:rPr>
        <w:t>2.4.</w:t>
        <w:tab/>
        <w:t>Delivery by Mail</w:t>
      </w:r>
      <w:r>
        <w:rPr>
          <w:sz w:val="20"/>
          <w:szCs w:val="20"/>
          <w:color w:val="auto"/>
        </w:rPr>
        <w:tab/>
      </w:r>
      <w:r>
        <w:rPr>
          <w:rFonts w:ascii="Arial" w:cs="Arial" w:eastAsia="Arial" w:hAnsi="Arial"/>
          <w:sz w:val="14"/>
          <w:szCs w:val="14"/>
          <w:color w:val="auto"/>
        </w:rPr>
        <w:t>2</w:t>
      </w:r>
    </w:p>
    <w:p>
      <w:pPr>
        <w:spacing w:after="0" w:line="100" w:lineRule="exact"/>
        <w:rPr>
          <w:sz w:val="20"/>
          <w:szCs w:val="20"/>
          <w:color w:val="auto"/>
        </w:rPr>
      </w:pPr>
    </w:p>
    <w:p>
      <w:pPr>
        <w:ind w:left="3140"/>
        <w:spacing w:after="0"/>
        <w:tabs>
          <w:tab w:leader="none" w:pos="3580" w:val="left"/>
          <w:tab w:leader="dot" w:pos="11140" w:val="left"/>
        </w:tabs>
        <w:rPr>
          <w:sz w:val="20"/>
          <w:szCs w:val="20"/>
          <w:color w:val="auto"/>
        </w:rPr>
      </w:pPr>
      <w:r>
        <w:rPr>
          <w:rFonts w:ascii="Arial" w:cs="Arial" w:eastAsia="Arial" w:hAnsi="Arial"/>
          <w:sz w:val="16"/>
          <w:szCs w:val="16"/>
          <w:color w:val="auto"/>
        </w:rPr>
        <w:t>2.5.</w:t>
        <w:tab/>
        <w:t>Replacement of Worn Out or Defaced Certificate or Acknowledgement</w:t>
      </w:r>
      <w:r>
        <w:rPr>
          <w:sz w:val="20"/>
          <w:szCs w:val="20"/>
          <w:color w:val="auto"/>
        </w:rPr>
        <w:tab/>
      </w:r>
      <w:r>
        <w:rPr>
          <w:rFonts w:ascii="Arial" w:cs="Arial" w:eastAsia="Arial" w:hAnsi="Arial"/>
          <w:sz w:val="14"/>
          <w:szCs w:val="14"/>
          <w:color w:val="auto"/>
        </w:rPr>
        <w:t>2</w:t>
      </w:r>
    </w:p>
    <w:p>
      <w:pPr>
        <w:spacing w:after="0" w:line="113" w:lineRule="exact"/>
        <w:rPr>
          <w:sz w:val="20"/>
          <w:szCs w:val="20"/>
          <w:color w:val="auto"/>
        </w:rPr>
      </w:pPr>
    </w:p>
    <w:p>
      <w:pPr>
        <w:ind w:left="3100"/>
        <w:spacing w:after="0"/>
        <w:tabs>
          <w:tab w:leader="none" w:pos="3540" w:val="left"/>
          <w:tab w:leader="dot" w:pos="11140" w:val="left"/>
        </w:tabs>
        <w:rPr>
          <w:sz w:val="20"/>
          <w:szCs w:val="20"/>
          <w:color w:val="auto"/>
        </w:rPr>
      </w:pPr>
      <w:r>
        <w:rPr>
          <w:rFonts w:ascii="Arial" w:cs="Arial" w:eastAsia="Arial" w:hAnsi="Arial"/>
          <w:sz w:val="16"/>
          <w:szCs w:val="16"/>
          <w:color w:val="auto"/>
        </w:rPr>
        <w:t>2.6.</w:t>
        <w:tab/>
        <w:t>Replacement of Lost, Stolen or Destroyed Certificate or Acknowledgement</w:t>
      </w:r>
      <w:r>
        <w:rPr>
          <w:sz w:val="20"/>
          <w:szCs w:val="20"/>
          <w:color w:val="auto"/>
        </w:rPr>
        <w:tab/>
      </w:r>
      <w:r>
        <w:rPr>
          <w:rFonts w:ascii="Arial" w:cs="Arial" w:eastAsia="Arial" w:hAnsi="Arial"/>
          <w:sz w:val="14"/>
          <w:szCs w:val="14"/>
          <w:color w:val="auto"/>
        </w:rPr>
        <w:t>2</w:t>
      </w:r>
    </w:p>
    <w:p>
      <w:pPr>
        <w:spacing w:after="0" w:line="100" w:lineRule="exact"/>
        <w:rPr>
          <w:sz w:val="20"/>
          <w:szCs w:val="20"/>
          <w:color w:val="auto"/>
        </w:rPr>
      </w:pPr>
    </w:p>
    <w:p>
      <w:pPr>
        <w:ind w:left="3020"/>
        <w:spacing w:after="0"/>
        <w:tabs>
          <w:tab w:leader="none" w:pos="3460" w:val="left"/>
          <w:tab w:leader="dot" w:pos="11140" w:val="left"/>
        </w:tabs>
        <w:rPr>
          <w:sz w:val="20"/>
          <w:szCs w:val="20"/>
          <w:color w:val="auto"/>
        </w:rPr>
      </w:pPr>
      <w:r>
        <w:rPr>
          <w:rFonts w:ascii="Arial" w:cs="Arial" w:eastAsia="Arial" w:hAnsi="Arial"/>
          <w:sz w:val="16"/>
          <w:szCs w:val="16"/>
          <w:color w:val="auto"/>
        </w:rPr>
        <w:t>2.7.</w:t>
        <w:tab/>
        <w:t>Splitting Share Certificates</w:t>
      </w:r>
      <w:r>
        <w:rPr>
          <w:sz w:val="20"/>
          <w:szCs w:val="20"/>
          <w:color w:val="auto"/>
        </w:rPr>
        <w:tab/>
      </w:r>
      <w:r>
        <w:rPr>
          <w:rFonts w:ascii="Arial" w:cs="Arial" w:eastAsia="Arial" w:hAnsi="Arial"/>
          <w:sz w:val="14"/>
          <w:szCs w:val="14"/>
          <w:color w:val="auto"/>
        </w:rPr>
        <w:t>2</w:t>
      </w:r>
    </w:p>
    <w:p>
      <w:pPr>
        <w:spacing w:after="0" w:line="113" w:lineRule="exact"/>
        <w:rPr>
          <w:sz w:val="20"/>
          <w:szCs w:val="20"/>
          <w:color w:val="auto"/>
        </w:rPr>
      </w:pPr>
    </w:p>
    <w:p>
      <w:pPr>
        <w:jc w:val="right"/>
        <w:spacing w:after="0"/>
        <w:tabs>
          <w:tab w:leader="none" w:pos="7740" w:val="left"/>
          <w:tab w:leader="dot" w:pos="60" w:val="left"/>
        </w:tabs>
        <w:rPr>
          <w:sz w:val="20"/>
          <w:szCs w:val="20"/>
          <w:color w:val="auto"/>
        </w:rPr>
      </w:pPr>
      <w:r>
        <w:rPr>
          <w:rFonts w:ascii="Arial" w:cs="Arial" w:eastAsia="Arial" w:hAnsi="Arial"/>
          <w:sz w:val="16"/>
          <w:szCs w:val="16"/>
          <w:color w:val="auto"/>
        </w:rPr>
        <w:t>2.8.</w:t>
        <w:tab/>
        <w:t>Certificate Fee</w:t>
      </w:r>
      <w:r>
        <w:rPr>
          <w:sz w:val="20"/>
          <w:szCs w:val="20"/>
          <w:color w:val="auto"/>
        </w:rPr>
        <w:tab/>
      </w:r>
      <w:r>
        <w:rPr>
          <w:rFonts w:ascii="Arial" w:cs="Arial" w:eastAsia="Arial" w:hAnsi="Arial"/>
          <w:sz w:val="14"/>
          <w:szCs w:val="14"/>
          <w:color w:val="auto"/>
        </w:rPr>
        <w:t>2</w:t>
      </w:r>
    </w:p>
    <w:p>
      <w:pPr>
        <w:spacing w:after="0" w:line="100" w:lineRule="exact"/>
        <w:rPr>
          <w:sz w:val="20"/>
          <w:szCs w:val="20"/>
          <w:color w:val="auto"/>
        </w:rPr>
      </w:pPr>
    </w:p>
    <w:p>
      <w:pPr>
        <w:ind w:left="3060"/>
        <w:spacing w:after="0"/>
        <w:tabs>
          <w:tab w:leader="none" w:pos="3480" w:val="left"/>
          <w:tab w:leader="dot" w:pos="11140" w:val="left"/>
        </w:tabs>
        <w:rPr>
          <w:sz w:val="20"/>
          <w:szCs w:val="20"/>
          <w:color w:val="auto"/>
        </w:rPr>
      </w:pPr>
      <w:r>
        <w:rPr>
          <w:rFonts w:ascii="Arial" w:cs="Arial" w:eastAsia="Arial" w:hAnsi="Arial"/>
          <w:sz w:val="16"/>
          <w:szCs w:val="16"/>
          <w:color w:val="auto"/>
        </w:rPr>
        <w:t>2.9.</w:t>
        <w:tab/>
        <w:t>Recognition of Trusts</w:t>
      </w:r>
      <w:r>
        <w:rPr>
          <w:sz w:val="20"/>
          <w:szCs w:val="20"/>
          <w:color w:val="auto"/>
        </w:rPr>
        <w:tab/>
      </w:r>
      <w:r>
        <w:rPr>
          <w:rFonts w:ascii="Arial" w:cs="Arial" w:eastAsia="Arial" w:hAnsi="Arial"/>
          <w:sz w:val="14"/>
          <w:szCs w:val="14"/>
          <w:color w:val="auto"/>
        </w:rPr>
        <w:t>2</w:t>
      </w:r>
    </w:p>
    <w:p>
      <w:pPr>
        <w:spacing w:after="0" w:line="113"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PART 3 ISSUE OF SHARES....................................................................................................…...............2</w:t>
      </w:r>
    </w:p>
    <w:p>
      <w:pPr>
        <w:spacing w:after="0" w:line="100" w:lineRule="exact"/>
        <w:rPr>
          <w:sz w:val="20"/>
          <w:szCs w:val="20"/>
          <w:color w:val="auto"/>
        </w:rPr>
      </w:pPr>
    </w:p>
    <w:p>
      <w:pPr>
        <w:ind w:left="3060"/>
        <w:spacing w:after="0"/>
        <w:tabs>
          <w:tab w:leader="none" w:pos="3500" w:val="left"/>
          <w:tab w:leader="dot" w:pos="11140" w:val="left"/>
        </w:tabs>
        <w:rPr>
          <w:sz w:val="20"/>
          <w:szCs w:val="20"/>
          <w:color w:val="auto"/>
        </w:rPr>
      </w:pPr>
      <w:r>
        <w:rPr>
          <w:rFonts w:ascii="Arial" w:cs="Arial" w:eastAsia="Arial" w:hAnsi="Arial"/>
          <w:sz w:val="16"/>
          <w:szCs w:val="16"/>
          <w:color w:val="auto"/>
        </w:rPr>
        <w:t>3.1.</w:t>
        <w:tab/>
        <w:t>Directors Authorized</w:t>
      </w:r>
      <w:r>
        <w:rPr>
          <w:sz w:val="20"/>
          <w:szCs w:val="20"/>
          <w:color w:val="auto"/>
        </w:rPr>
        <w:tab/>
      </w:r>
      <w:r>
        <w:rPr>
          <w:rFonts w:ascii="Arial" w:cs="Arial" w:eastAsia="Arial" w:hAnsi="Arial"/>
          <w:sz w:val="14"/>
          <w:szCs w:val="14"/>
          <w:color w:val="auto"/>
        </w:rPr>
        <w:t>2</w:t>
      </w:r>
    </w:p>
    <w:p>
      <w:pPr>
        <w:spacing w:after="0" w:line="100" w:lineRule="exact"/>
        <w:rPr>
          <w:sz w:val="20"/>
          <w:szCs w:val="20"/>
          <w:color w:val="auto"/>
        </w:rPr>
      </w:pPr>
    </w:p>
    <w:p>
      <w:pPr>
        <w:ind w:left="3020"/>
        <w:spacing w:after="0"/>
        <w:tabs>
          <w:tab w:leader="none" w:pos="3460" w:val="left"/>
          <w:tab w:leader="dot" w:pos="11140" w:val="left"/>
        </w:tabs>
        <w:rPr>
          <w:sz w:val="20"/>
          <w:szCs w:val="20"/>
          <w:color w:val="auto"/>
        </w:rPr>
      </w:pPr>
      <w:r>
        <w:rPr>
          <w:rFonts w:ascii="Arial" w:cs="Arial" w:eastAsia="Arial" w:hAnsi="Arial"/>
          <w:sz w:val="16"/>
          <w:szCs w:val="16"/>
          <w:color w:val="auto"/>
        </w:rPr>
        <w:t>3.2.</w:t>
        <w:tab/>
        <w:t>Commissions and Discounts</w:t>
      </w:r>
      <w:r>
        <w:rPr>
          <w:sz w:val="20"/>
          <w:szCs w:val="20"/>
          <w:color w:val="auto"/>
        </w:rPr>
        <w:tab/>
      </w:r>
      <w:r>
        <w:rPr>
          <w:rFonts w:ascii="Arial" w:cs="Arial" w:eastAsia="Arial" w:hAnsi="Arial"/>
          <w:sz w:val="14"/>
          <w:szCs w:val="14"/>
          <w:color w:val="auto"/>
        </w:rPr>
        <w:t>3</w:t>
      </w:r>
    </w:p>
    <w:p>
      <w:pPr>
        <w:spacing w:after="0" w:line="113" w:lineRule="exact"/>
        <w:rPr>
          <w:sz w:val="20"/>
          <w:szCs w:val="20"/>
          <w:color w:val="auto"/>
        </w:rPr>
      </w:pPr>
    </w:p>
    <w:p>
      <w:pPr>
        <w:jc w:val="right"/>
        <w:spacing w:after="0"/>
        <w:tabs>
          <w:tab w:leader="none" w:pos="7700" w:val="left"/>
          <w:tab w:leader="dot" w:pos="60" w:val="left"/>
        </w:tabs>
        <w:rPr>
          <w:sz w:val="20"/>
          <w:szCs w:val="20"/>
          <w:color w:val="auto"/>
        </w:rPr>
      </w:pPr>
      <w:r>
        <w:rPr>
          <w:rFonts w:ascii="Arial" w:cs="Arial" w:eastAsia="Arial" w:hAnsi="Arial"/>
          <w:sz w:val="16"/>
          <w:szCs w:val="16"/>
          <w:color w:val="auto"/>
        </w:rPr>
        <w:t>3.3.</w:t>
        <w:tab/>
        <w:t>Brokerage</w:t>
      </w:r>
      <w:r>
        <w:rPr>
          <w:sz w:val="20"/>
          <w:szCs w:val="20"/>
          <w:color w:val="auto"/>
        </w:rPr>
        <w:tab/>
      </w:r>
      <w:r>
        <w:rPr>
          <w:rFonts w:ascii="Arial" w:cs="Arial" w:eastAsia="Arial" w:hAnsi="Arial"/>
          <w:sz w:val="14"/>
          <w:szCs w:val="14"/>
          <w:color w:val="auto"/>
        </w:rPr>
        <w:t>3</w:t>
      </w:r>
    </w:p>
    <w:p>
      <w:pPr>
        <w:spacing w:after="0" w:line="100" w:lineRule="exact"/>
        <w:rPr>
          <w:sz w:val="20"/>
          <w:szCs w:val="20"/>
          <w:color w:val="auto"/>
        </w:rPr>
      </w:pPr>
    </w:p>
    <w:p>
      <w:pPr>
        <w:ind w:left="3060"/>
        <w:spacing w:after="0"/>
        <w:tabs>
          <w:tab w:leader="none" w:pos="3500" w:val="left"/>
          <w:tab w:leader="dot" w:pos="11140" w:val="left"/>
        </w:tabs>
        <w:rPr>
          <w:sz w:val="20"/>
          <w:szCs w:val="20"/>
          <w:color w:val="auto"/>
        </w:rPr>
      </w:pPr>
      <w:r>
        <w:rPr>
          <w:rFonts w:ascii="Arial" w:cs="Arial" w:eastAsia="Arial" w:hAnsi="Arial"/>
          <w:sz w:val="16"/>
          <w:szCs w:val="16"/>
          <w:color w:val="auto"/>
        </w:rPr>
        <w:t>3.4.</w:t>
        <w:tab/>
        <w:t>Conditions of Issue</w:t>
      </w:r>
      <w:r>
        <w:rPr>
          <w:sz w:val="20"/>
          <w:szCs w:val="20"/>
          <w:color w:val="auto"/>
        </w:rPr>
        <w:tab/>
      </w:r>
      <w:r>
        <w:rPr>
          <w:rFonts w:ascii="Arial" w:cs="Arial" w:eastAsia="Arial" w:hAnsi="Arial"/>
          <w:sz w:val="14"/>
          <w:szCs w:val="14"/>
          <w:color w:val="auto"/>
        </w:rPr>
        <w:t>3</w:t>
      </w:r>
    </w:p>
    <w:p>
      <w:pPr>
        <w:spacing w:after="0" w:line="113" w:lineRule="exact"/>
        <w:rPr>
          <w:sz w:val="20"/>
          <w:szCs w:val="20"/>
          <w:color w:val="auto"/>
        </w:rPr>
      </w:pPr>
    </w:p>
    <w:p>
      <w:pPr>
        <w:ind w:left="2980"/>
        <w:spacing w:after="0"/>
        <w:tabs>
          <w:tab w:leader="none" w:pos="3420" w:val="left"/>
          <w:tab w:leader="dot" w:pos="11140" w:val="left"/>
        </w:tabs>
        <w:rPr>
          <w:sz w:val="20"/>
          <w:szCs w:val="20"/>
          <w:color w:val="auto"/>
        </w:rPr>
      </w:pPr>
      <w:r>
        <w:rPr>
          <w:rFonts w:ascii="Arial" w:cs="Arial" w:eastAsia="Arial" w:hAnsi="Arial"/>
          <w:sz w:val="16"/>
          <w:szCs w:val="16"/>
          <w:color w:val="auto"/>
        </w:rPr>
        <w:t>3.5.</w:t>
        <w:tab/>
        <w:t>Share Purchase Warrants and Rights</w:t>
      </w:r>
      <w:r>
        <w:rPr>
          <w:sz w:val="20"/>
          <w:szCs w:val="20"/>
          <w:color w:val="auto"/>
        </w:rPr>
        <w:tab/>
      </w:r>
      <w:r>
        <w:rPr>
          <w:rFonts w:ascii="Arial" w:cs="Arial" w:eastAsia="Arial" w:hAnsi="Arial"/>
          <w:sz w:val="14"/>
          <w:szCs w:val="14"/>
          <w:color w:val="auto"/>
        </w:rPr>
        <w:t>3</w:t>
      </w:r>
    </w:p>
    <w:p>
      <w:pPr>
        <w:spacing w:after="0" w:line="100" w:lineRule="exact"/>
        <w:rPr>
          <w:sz w:val="20"/>
          <w:szCs w:val="20"/>
          <w:color w:val="auto"/>
        </w:rPr>
      </w:pPr>
    </w:p>
    <w:p>
      <w:pPr>
        <w:ind w:left="3720"/>
        <w:spacing w:after="0"/>
        <w:tabs>
          <w:tab w:leader="dot" w:pos="11140" w:val="left"/>
        </w:tabs>
        <w:rPr>
          <w:sz w:val="20"/>
          <w:szCs w:val="20"/>
          <w:color w:val="auto"/>
        </w:rPr>
      </w:pPr>
      <w:r>
        <w:rPr>
          <w:rFonts w:ascii="Arial" w:cs="Arial" w:eastAsia="Arial" w:hAnsi="Arial"/>
          <w:sz w:val="16"/>
          <w:szCs w:val="16"/>
          <w:b w:val="1"/>
          <w:bCs w:val="1"/>
          <w:color w:val="auto"/>
        </w:rPr>
        <w:t>PART 4 SHARE REGISTERS</w:t>
      </w:r>
      <w:r>
        <w:rPr>
          <w:sz w:val="20"/>
          <w:szCs w:val="20"/>
          <w:color w:val="auto"/>
        </w:rPr>
        <w:tab/>
      </w:r>
      <w:r>
        <w:rPr>
          <w:rFonts w:ascii="Arial" w:cs="Arial" w:eastAsia="Arial" w:hAnsi="Arial"/>
          <w:sz w:val="14"/>
          <w:szCs w:val="14"/>
          <w:b w:val="1"/>
          <w:bCs w:val="1"/>
          <w:color w:val="auto"/>
        </w:rPr>
        <w:t>3</w:t>
      </w:r>
    </w:p>
    <w:p>
      <w:pPr>
        <w:spacing w:after="0" w:line="113" w:lineRule="exact"/>
        <w:rPr>
          <w:sz w:val="20"/>
          <w:szCs w:val="20"/>
          <w:color w:val="auto"/>
        </w:rPr>
      </w:pPr>
    </w:p>
    <w:p>
      <w:pPr>
        <w:ind w:left="3060"/>
        <w:spacing w:after="0"/>
        <w:tabs>
          <w:tab w:leader="none" w:pos="3540" w:val="left"/>
          <w:tab w:leader="dot" w:pos="11140" w:val="left"/>
        </w:tabs>
        <w:rPr>
          <w:sz w:val="20"/>
          <w:szCs w:val="20"/>
          <w:color w:val="auto"/>
        </w:rPr>
      </w:pPr>
      <w:r>
        <w:rPr>
          <w:rFonts w:ascii="Arial" w:cs="Arial" w:eastAsia="Arial" w:hAnsi="Arial"/>
          <w:sz w:val="16"/>
          <w:szCs w:val="16"/>
          <w:color w:val="auto"/>
        </w:rPr>
        <w:t>4.1.</w:t>
        <w:tab/>
        <w:t>Central Securities Register</w:t>
      </w:r>
      <w:r>
        <w:rPr>
          <w:sz w:val="20"/>
          <w:szCs w:val="20"/>
          <w:color w:val="auto"/>
        </w:rPr>
        <w:tab/>
      </w:r>
      <w:r>
        <w:rPr>
          <w:rFonts w:ascii="Arial" w:cs="Arial" w:eastAsia="Arial" w:hAnsi="Arial"/>
          <w:sz w:val="14"/>
          <w:szCs w:val="14"/>
          <w:color w:val="auto"/>
        </w:rPr>
        <w:t>3</w:t>
      </w:r>
    </w:p>
    <w:p>
      <w:pPr>
        <w:spacing w:after="0" w:line="100" w:lineRule="exact"/>
        <w:rPr>
          <w:sz w:val="20"/>
          <w:szCs w:val="20"/>
          <w:color w:val="auto"/>
        </w:rPr>
      </w:pPr>
    </w:p>
    <w:p>
      <w:pPr>
        <w:ind w:left="3080"/>
        <w:spacing w:after="0"/>
        <w:tabs>
          <w:tab w:leader="none" w:pos="3560" w:val="left"/>
          <w:tab w:leader="dot" w:pos="11140" w:val="left"/>
        </w:tabs>
        <w:rPr>
          <w:sz w:val="20"/>
          <w:szCs w:val="20"/>
          <w:color w:val="auto"/>
        </w:rPr>
      </w:pPr>
      <w:r>
        <w:rPr>
          <w:rFonts w:ascii="Arial" w:cs="Arial" w:eastAsia="Arial" w:hAnsi="Arial"/>
          <w:sz w:val="16"/>
          <w:szCs w:val="16"/>
          <w:color w:val="auto"/>
        </w:rPr>
        <w:t>4.2.</w:t>
        <w:tab/>
        <w:t>Closing Register</w:t>
      </w:r>
      <w:r>
        <w:rPr>
          <w:sz w:val="20"/>
          <w:szCs w:val="20"/>
          <w:color w:val="auto"/>
        </w:rPr>
        <w:tab/>
      </w:r>
      <w:r>
        <w:rPr>
          <w:rFonts w:ascii="Arial" w:cs="Arial" w:eastAsia="Arial" w:hAnsi="Arial"/>
          <w:sz w:val="14"/>
          <w:szCs w:val="14"/>
          <w:color w:val="auto"/>
        </w:rPr>
        <w:t>3</w:t>
      </w:r>
    </w:p>
    <w:p>
      <w:pPr>
        <w:spacing w:after="0" w:line="113" w:lineRule="exact"/>
        <w:rPr>
          <w:sz w:val="20"/>
          <w:szCs w:val="20"/>
          <w:color w:val="auto"/>
        </w:rPr>
      </w:pPr>
    </w:p>
    <w:p>
      <w:pPr>
        <w:ind w:left="3720"/>
        <w:spacing w:after="0"/>
        <w:tabs>
          <w:tab w:leader="dot" w:pos="11140" w:val="left"/>
        </w:tabs>
        <w:rPr>
          <w:sz w:val="20"/>
          <w:szCs w:val="20"/>
          <w:color w:val="auto"/>
        </w:rPr>
      </w:pPr>
      <w:r>
        <w:rPr>
          <w:rFonts w:ascii="Arial" w:cs="Arial" w:eastAsia="Arial" w:hAnsi="Arial"/>
          <w:sz w:val="16"/>
          <w:szCs w:val="16"/>
          <w:b w:val="1"/>
          <w:bCs w:val="1"/>
          <w:color w:val="auto"/>
        </w:rPr>
        <w:t>PART 5 SHARE TRANSFERS</w:t>
      </w:r>
      <w:r>
        <w:rPr>
          <w:sz w:val="20"/>
          <w:szCs w:val="20"/>
          <w:color w:val="auto"/>
        </w:rPr>
        <w:tab/>
      </w:r>
      <w:r>
        <w:rPr>
          <w:rFonts w:ascii="Arial" w:cs="Arial" w:eastAsia="Arial" w:hAnsi="Arial"/>
          <w:sz w:val="14"/>
          <w:szCs w:val="14"/>
          <w:b w:val="1"/>
          <w:bCs w:val="1"/>
          <w:color w:val="auto"/>
        </w:rPr>
        <w:t>4</w:t>
      </w:r>
    </w:p>
    <w:p>
      <w:pPr>
        <w:spacing w:after="0" w:line="100" w:lineRule="exact"/>
        <w:rPr>
          <w:sz w:val="20"/>
          <w:szCs w:val="20"/>
          <w:color w:val="auto"/>
        </w:rPr>
      </w:pPr>
    </w:p>
    <w:p>
      <w:pPr>
        <w:ind w:left="3000"/>
        <w:spacing w:after="0"/>
        <w:tabs>
          <w:tab w:leader="none" w:pos="3420" w:val="left"/>
          <w:tab w:leader="dot" w:pos="11140" w:val="left"/>
        </w:tabs>
        <w:rPr>
          <w:sz w:val="20"/>
          <w:szCs w:val="20"/>
          <w:color w:val="auto"/>
        </w:rPr>
      </w:pPr>
      <w:r>
        <w:rPr>
          <w:rFonts w:ascii="Arial" w:cs="Arial" w:eastAsia="Arial" w:hAnsi="Arial"/>
          <w:sz w:val="16"/>
          <w:szCs w:val="16"/>
          <w:color w:val="auto"/>
        </w:rPr>
        <w:t>5.1.</w:t>
        <w:tab/>
        <w:t>Registering Transfers</w:t>
      </w:r>
      <w:r>
        <w:rPr>
          <w:sz w:val="20"/>
          <w:szCs w:val="20"/>
          <w:color w:val="auto"/>
        </w:rPr>
        <w:tab/>
      </w:r>
      <w:r>
        <w:rPr>
          <w:rFonts w:ascii="Arial" w:cs="Arial" w:eastAsia="Arial" w:hAnsi="Arial"/>
          <w:sz w:val="14"/>
          <w:szCs w:val="14"/>
          <w:color w:val="auto"/>
        </w:rPr>
        <w:t>4</w:t>
      </w:r>
    </w:p>
    <w:p>
      <w:pPr>
        <w:spacing w:after="0" w:line="100" w:lineRule="exact"/>
        <w:rPr>
          <w:sz w:val="20"/>
          <w:szCs w:val="20"/>
          <w:color w:val="auto"/>
        </w:rPr>
      </w:pPr>
    </w:p>
    <w:p>
      <w:pPr>
        <w:ind w:left="3040"/>
        <w:spacing w:after="0"/>
        <w:tabs>
          <w:tab w:leader="none" w:pos="3480" w:val="left"/>
        </w:tabs>
        <w:rPr>
          <w:sz w:val="20"/>
          <w:szCs w:val="20"/>
          <w:color w:val="auto"/>
        </w:rPr>
      </w:pPr>
      <w:r>
        <w:rPr>
          <w:rFonts w:ascii="Arial" w:cs="Arial" w:eastAsia="Arial" w:hAnsi="Arial"/>
          <w:sz w:val="16"/>
          <w:szCs w:val="16"/>
          <w:color w:val="auto"/>
        </w:rPr>
        <w:t>5.2.</w:t>
        <w:tab/>
        <w:t>Form of Instrument of Transfer.....................................................................................................................… 4</w:t>
      </w:r>
    </w:p>
    <w:p>
      <w:pPr>
        <w:spacing w:after="0" w:line="113" w:lineRule="exact"/>
        <w:rPr>
          <w:sz w:val="20"/>
          <w:szCs w:val="20"/>
          <w:color w:val="auto"/>
        </w:rPr>
      </w:pPr>
    </w:p>
    <w:p>
      <w:pPr>
        <w:ind w:left="3000"/>
        <w:spacing w:after="0"/>
        <w:tabs>
          <w:tab w:leader="none" w:pos="3420" w:val="left"/>
          <w:tab w:leader="dot" w:pos="11140" w:val="left"/>
        </w:tabs>
        <w:rPr>
          <w:sz w:val="20"/>
          <w:szCs w:val="20"/>
          <w:color w:val="auto"/>
        </w:rPr>
      </w:pPr>
      <w:r>
        <w:rPr>
          <w:rFonts w:ascii="Arial" w:cs="Arial" w:eastAsia="Arial" w:hAnsi="Arial"/>
          <w:sz w:val="16"/>
          <w:szCs w:val="16"/>
          <w:color w:val="auto"/>
        </w:rPr>
        <w:t>5.3.</w:t>
        <w:tab/>
        <w:t>Transferor Remains Shareholder</w:t>
      </w:r>
      <w:r>
        <w:rPr>
          <w:sz w:val="20"/>
          <w:szCs w:val="20"/>
          <w:color w:val="auto"/>
        </w:rPr>
        <w:tab/>
      </w:r>
      <w:r>
        <w:rPr>
          <w:rFonts w:ascii="Arial" w:cs="Arial" w:eastAsia="Arial" w:hAnsi="Arial"/>
          <w:sz w:val="14"/>
          <w:szCs w:val="14"/>
          <w:color w:val="auto"/>
        </w:rPr>
        <w:t>4</w:t>
      </w:r>
    </w:p>
    <w:p>
      <w:pPr>
        <w:spacing w:after="0" w:line="100" w:lineRule="exact"/>
        <w:rPr>
          <w:sz w:val="20"/>
          <w:szCs w:val="20"/>
          <w:color w:val="auto"/>
        </w:rPr>
      </w:pPr>
    </w:p>
    <w:p>
      <w:pPr>
        <w:ind w:left="3040"/>
        <w:spacing w:after="0"/>
        <w:tabs>
          <w:tab w:leader="none" w:pos="3480" w:val="left"/>
          <w:tab w:leader="dot" w:pos="11140" w:val="left"/>
        </w:tabs>
        <w:rPr>
          <w:sz w:val="20"/>
          <w:szCs w:val="20"/>
          <w:color w:val="auto"/>
        </w:rPr>
      </w:pPr>
      <w:r>
        <w:rPr>
          <w:rFonts w:ascii="Arial" w:cs="Arial" w:eastAsia="Arial" w:hAnsi="Arial"/>
          <w:sz w:val="16"/>
          <w:szCs w:val="16"/>
          <w:color w:val="auto"/>
        </w:rPr>
        <w:t>5.4.</w:t>
        <w:tab/>
        <w:t>Signing of Instrument of Transfer</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Transfer Fee.....................................................................................................................................................</w:t>
            </w: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46"/>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b w:val="1"/>
                <w:bCs w:val="1"/>
                <w:color w:val="auto"/>
              </w:rPr>
              <w:t>PART 6 TRANSMISSION OF SHARES.....................................................................................................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4</w:t>
            </w:r>
          </w:p>
        </w:tc>
      </w:tr>
      <w:tr>
        <w:trPr>
          <w:trHeight w:val="329"/>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6.1.  Legal Personal Representative Recognized on Death......................................................................................</w:t>
            </w:r>
          </w:p>
        </w:tc>
        <w:tc>
          <w:tcPr>
            <w:tcW w:w="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51"/>
        </w:trPr>
        <w:tc>
          <w:tcPr>
            <w:tcW w:w="33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7700" w:type="dxa"/>
            <w:vAlign w:val="bottom"/>
            <w:gridSpan w:val="2"/>
          </w:tcPr>
          <w:p>
            <w:pPr>
              <w:jc w:val="right"/>
              <w:spacing w:after="0"/>
              <w:rPr>
                <w:sz w:val="20"/>
                <w:szCs w:val="20"/>
                <w:color w:val="auto"/>
              </w:rPr>
            </w:pPr>
            <w:r>
              <w:rPr>
                <w:rFonts w:ascii="Arial" w:cs="Arial" w:eastAsia="Arial" w:hAnsi="Arial"/>
                <w:sz w:val="16"/>
                <w:szCs w:val="16"/>
                <w:color w:val="auto"/>
              </w:rPr>
              <w:t>Rights of Legal Personal Representative...........................................................................................................</w:t>
            </w:r>
          </w:p>
        </w:tc>
        <w:tc>
          <w:tcPr>
            <w:tcW w:w="1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46"/>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b w:val="1"/>
                <w:bCs w:val="1"/>
                <w:color w:val="auto"/>
              </w:rPr>
              <w:t>PART 7 PURCHASE OF SHARES.............................................................................................................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343"/>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7.1.  Company Authorized to Purchase Shares.........................................................................................................</w:t>
            </w:r>
          </w:p>
        </w:tc>
        <w:tc>
          <w:tcPr>
            <w:tcW w:w="1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8"/>
        </w:trPr>
        <w:tc>
          <w:tcPr>
            <w:tcW w:w="336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Purchase When Insolvent..................................................................................................................................</w:t>
            </w:r>
          </w:p>
        </w:tc>
        <w:tc>
          <w:tcPr>
            <w:tcW w:w="1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51"/>
        </w:trPr>
        <w:tc>
          <w:tcPr>
            <w:tcW w:w="336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7700" w:type="dxa"/>
            <w:vAlign w:val="bottom"/>
            <w:gridSpan w:val="2"/>
          </w:tcPr>
          <w:p>
            <w:pPr>
              <w:jc w:val="right"/>
              <w:spacing w:after="0"/>
              <w:rPr>
                <w:sz w:val="20"/>
                <w:szCs w:val="20"/>
                <w:color w:val="auto"/>
              </w:rPr>
            </w:pPr>
            <w:r>
              <w:rPr>
                <w:rFonts w:ascii="Arial" w:cs="Arial" w:eastAsia="Arial" w:hAnsi="Arial"/>
                <w:sz w:val="16"/>
                <w:szCs w:val="16"/>
                <w:color w:val="auto"/>
              </w:rPr>
              <w:t>Sale and Voting of Purchased Shares................................................................................................................</w:t>
            </w:r>
          </w:p>
        </w:tc>
        <w:tc>
          <w:tcPr>
            <w:tcW w:w="1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46"/>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b w:val="1"/>
                <w:bCs w:val="1"/>
                <w:color w:val="auto"/>
              </w:rPr>
              <w:t>PART 8 BORROWING POWERS..............................................................................................................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329"/>
        </w:trPr>
        <w:tc>
          <w:tcPr>
            <w:tcW w:w="3360" w:type="dxa"/>
            <w:vAlign w:val="bottom"/>
          </w:tcPr>
          <w:p>
            <w:pPr>
              <w:jc w:val="center"/>
              <w:ind w:left="2899"/>
              <w:spacing w:after="0"/>
              <w:rPr>
                <w:sz w:val="20"/>
                <w:szCs w:val="20"/>
                <w:color w:val="auto"/>
              </w:rPr>
            </w:pPr>
            <w:r>
              <w:rPr>
                <w:rFonts w:ascii="Arial" w:cs="Arial" w:eastAsia="Arial" w:hAnsi="Arial"/>
                <w:sz w:val="16"/>
                <w:szCs w:val="16"/>
                <w:color w:val="auto"/>
                <w:w w:val="97"/>
              </w:rPr>
              <w:t>8.1.</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Borrowing Powers............................................................................................................................................</w:t>
            </w:r>
          </w:p>
        </w:tc>
        <w:tc>
          <w:tcPr>
            <w:tcW w:w="1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59"/>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b w:val="1"/>
                <w:bCs w:val="1"/>
                <w:color w:val="auto"/>
              </w:rPr>
              <w:t>PART 9 ALTERATIONS............................................................................................................................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329"/>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9.1.  Alteration of Authorized Share Structure..........................................................................................................</w:t>
            </w:r>
          </w:p>
        </w:tc>
        <w:tc>
          <w:tcPr>
            <w:tcW w:w="1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51"/>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9.2.  Special Rights and Restrictions of Issued Preferred Shares..............................................................................</w:t>
            </w:r>
          </w:p>
        </w:tc>
        <w:tc>
          <w:tcPr>
            <w:tcW w:w="1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9.3.  Special Rights and Restrictions.........................................................................................................................</w:t>
            </w:r>
          </w:p>
        </w:tc>
        <w:tc>
          <w:tcPr>
            <w:tcW w:w="1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51"/>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9.4.  Alterations by Directors' Resolutions................................................................................................................</w:t>
            </w: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8"/>
        </w:trPr>
        <w:tc>
          <w:tcPr>
            <w:tcW w:w="3360" w:type="dxa"/>
            <w:vAlign w:val="bottom"/>
          </w:tcPr>
          <w:p>
            <w:pPr>
              <w:jc w:val="center"/>
              <w:ind w:left="2899"/>
              <w:spacing w:after="0"/>
              <w:rPr>
                <w:sz w:val="20"/>
                <w:szCs w:val="20"/>
                <w:color w:val="auto"/>
              </w:rPr>
            </w:pPr>
            <w:r>
              <w:rPr>
                <w:rFonts w:ascii="Arial" w:cs="Arial" w:eastAsia="Arial" w:hAnsi="Arial"/>
                <w:sz w:val="16"/>
                <w:szCs w:val="16"/>
                <w:color w:val="auto"/>
                <w:w w:val="97"/>
              </w:rPr>
              <w:t>9.5.</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Change of Name...............................................................................................................................................</w:t>
            </w: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51"/>
        </w:trPr>
        <w:tc>
          <w:tcPr>
            <w:tcW w:w="3360" w:type="dxa"/>
            <w:vAlign w:val="bottom"/>
          </w:tcPr>
          <w:p>
            <w:pPr>
              <w:jc w:val="center"/>
              <w:ind w:left="2919"/>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Other Alterations...............................................................................................................................................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9.7.  Other Alterations after one or more Adjournments..........................................................................................</w:t>
            </w: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45"/>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b w:val="1"/>
                <w:bCs w:val="1"/>
                <w:color w:val="auto"/>
              </w:rPr>
              <w:t>PART 10 MEETINGS OF SHAREHOLDERS.................................................................................................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343"/>
        </w:trPr>
        <w:tc>
          <w:tcPr>
            <w:tcW w:w="3380" w:type="dxa"/>
            <w:vAlign w:val="bottom"/>
            <w:gridSpan w:val="2"/>
          </w:tcPr>
          <w:p>
            <w:pPr>
              <w:jc w:val="center"/>
              <w:ind w:left="2859"/>
              <w:spacing w:after="0"/>
              <w:rPr>
                <w:sz w:val="20"/>
                <w:szCs w:val="20"/>
                <w:color w:val="auto"/>
              </w:rPr>
            </w:pPr>
            <w:r>
              <w:rPr>
                <w:rFonts w:ascii="Arial" w:cs="Arial" w:eastAsia="Arial" w:hAnsi="Arial"/>
                <w:sz w:val="16"/>
                <w:szCs w:val="16"/>
                <w:color w:val="auto"/>
              </w:rPr>
              <w:t>10.1.</w:t>
            </w:r>
          </w:p>
        </w:tc>
        <w:tc>
          <w:tcPr>
            <w:tcW w:w="7680" w:type="dxa"/>
            <w:vAlign w:val="bottom"/>
          </w:tcPr>
          <w:p>
            <w:pPr>
              <w:jc w:val="right"/>
              <w:spacing w:after="0"/>
              <w:rPr>
                <w:sz w:val="20"/>
                <w:szCs w:val="20"/>
                <w:color w:val="auto"/>
              </w:rPr>
            </w:pPr>
            <w:r>
              <w:rPr>
                <w:rFonts w:ascii="Arial" w:cs="Arial" w:eastAsia="Arial" w:hAnsi="Arial"/>
                <w:sz w:val="16"/>
                <w:szCs w:val="16"/>
                <w:color w:val="auto"/>
              </w:rPr>
              <w:t>Annual General Meetings................................................ ................................................................................</w:t>
            </w:r>
          </w:p>
        </w:tc>
        <w:tc>
          <w:tcPr>
            <w:tcW w:w="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10.2.  Resolution Instead of Annual or Special Meeting Prohibited...........................................................................</w:t>
            </w:r>
          </w:p>
        </w:tc>
        <w:tc>
          <w:tcPr>
            <w:tcW w:w="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51"/>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10.3.  Calling of Meetings of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10.4.  Notice for Meetings of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51"/>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10.5.  Record Date for Notice....................................................................................................................................</w:t>
            </w:r>
          </w:p>
        </w:tc>
        <w:tc>
          <w:tcPr>
            <w:tcW w:w="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10.6.  Record Date for Voting....................................................................................................................................</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10.7.  Record Date for Other Purposes.......................................................................................................................</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51"/>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10.8.  Failure to Give Notice and Waiver of Notice....................................................................................................</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8"/>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10.9.  Notice of Special Business at Meetings of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51"/>
        </w:trPr>
        <w:tc>
          <w:tcPr>
            <w:tcW w:w="11060" w:type="dxa"/>
            <w:vAlign w:val="bottom"/>
            <w:gridSpan w:val="3"/>
          </w:tcPr>
          <w:p>
            <w:pPr>
              <w:jc w:val="right"/>
              <w:spacing w:after="0"/>
              <w:rPr>
                <w:sz w:val="20"/>
                <w:szCs w:val="20"/>
                <w:color w:val="auto"/>
              </w:rPr>
            </w:pPr>
            <w:r>
              <w:rPr>
                <w:rFonts w:ascii="Arial" w:cs="Arial" w:eastAsia="Arial" w:hAnsi="Arial"/>
                <w:sz w:val="16"/>
                <w:szCs w:val="16"/>
                <w:color w:val="auto"/>
              </w:rPr>
              <w:t>10.10.  Location of General Meetings...........................................................................................................................</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8"/>
        </w:trPr>
        <w:tc>
          <w:tcPr>
            <w:tcW w:w="3360" w:type="dxa"/>
            <w:vAlign w:val="bottom"/>
          </w:tcPr>
          <w:p>
            <w:pPr>
              <w:jc w:val="right"/>
              <w:spacing w:after="0"/>
              <w:rPr>
                <w:sz w:val="20"/>
                <w:szCs w:val="20"/>
                <w:color w:val="auto"/>
              </w:rPr>
            </w:pPr>
            <w:r>
              <w:rPr>
                <w:rFonts w:ascii="Arial" w:cs="Arial" w:eastAsia="Arial" w:hAnsi="Arial"/>
                <w:sz w:val="16"/>
                <w:szCs w:val="16"/>
                <w:color w:val="auto"/>
              </w:rPr>
              <w:t>10.11.</w:t>
            </w:r>
          </w:p>
        </w:tc>
        <w:tc>
          <w:tcPr>
            <w:tcW w:w="7700" w:type="dxa"/>
            <w:vAlign w:val="bottom"/>
            <w:gridSpan w:val="2"/>
          </w:tcPr>
          <w:p>
            <w:pPr>
              <w:jc w:val="right"/>
              <w:spacing w:after="0"/>
              <w:rPr>
                <w:sz w:val="20"/>
                <w:szCs w:val="20"/>
                <w:color w:val="auto"/>
              </w:rPr>
            </w:pPr>
            <w:r>
              <w:rPr>
                <w:rFonts w:ascii="Arial" w:cs="Arial" w:eastAsia="Arial" w:hAnsi="Arial"/>
                <w:sz w:val="16"/>
                <w:szCs w:val="16"/>
                <w:color w:val="auto"/>
              </w:rPr>
              <w:t>Notice of Shareholder Business and Nominations...........................................................................................</w:t>
            </w:r>
          </w:p>
        </w:tc>
        <w:tc>
          <w:tcPr>
            <w:tcW w:w="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59"/>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b w:val="1"/>
                <w:bCs w:val="1"/>
                <w:color w:val="auto"/>
              </w:rPr>
              <w:t>PART 11 PROCEEDINGS AT MEETINGS OF SHAREHOLDERS................................................................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14</w:t>
            </w:r>
          </w:p>
        </w:tc>
      </w:tr>
      <w:tr>
        <w:trPr>
          <w:trHeight w:val="330"/>
        </w:trPr>
        <w:tc>
          <w:tcPr>
            <w:tcW w:w="336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Special Business..............................................................................................................................................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14</w:t>
            </w:r>
          </w:p>
        </w:tc>
      </w:tr>
      <w:tr>
        <w:trPr>
          <w:trHeight w:val="351"/>
        </w:trPr>
        <w:tc>
          <w:tcPr>
            <w:tcW w:w="3360" w:type="dxa"/>
            <w:vAlign w:val="bottom"/>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Business Approval...........................................................................................................................................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14</w:t>
            </w:r>
          </w:p>
        </w:tc>
      </w:tr>
      <w:tr>
        <w:trPr>
          <w:trHeight w:val="338"/>
        </w:trPr>
        <w:tc>
          <w:tcPr>
            <w:tcW w:w="3360" w:type="dxa"/>
            <w:vAlign w:val="bottom"/>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24"/>
                <w:szCs w:val="24"/>
                <w:color w:val="auto"/>
              </w:rPr>
            </w:pPr>
          </w:p>
        </w:tc>
        <w:tc>
          <w:tcPr>
            <w:tcW w:w="7680" w:type="dxa"/>
            <w:vAlign w:val="bottom"/>
          </w:tcPr>
          <w:p>
            <w:pPr>
              <w:jc w:val="right"/>
              <w:spacing w:after="0"/>
              <w:rPr>
                <w:sz w:val="20"/>
                <w:szCs w:val="20"/>
                <w:color w:val="auto"/>
              </w:rPr>
            </w:pPr>
            <w:r>
              <w:rPr>
                <w:rFonts w:ascii="Arial" w:cs="Arial" w:eastAsia="Arial" w:hAnsi="Arial"/>
                <w:sz w:val="16"/>
                <w:szCs w:val="16"/>
                <w:color w:val="auto"/>
              </w:rPr>
              <w:t>Actions Requiring a Special Resolution...........................................................................................................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15</w:t>
            </w:r>
          </w:p>
        </w:tc>
      </w:tr>
      <w:tr>
        <w:trPr>
          <w:trHeight w:val="1399"/>
        </w:trPr>
        <w:tc>
          <w:tcPr>
            <w:tcW w:w="3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87" w:lineRule="exact"/>
        <w:rPr>
          <w:sz w:val="20"/>
          <w:szCs w:val="20"/>
          <w:color w:val="auto"/>
        </w:rPr>
      </w:pPr>
    </w:p>
    <w:p>
      <w:pPr>
        <w:ind w:left="1860"/>
        <w:spacing w:after="0"/>
        <w:tabs>
          <w:tab w:leader="none" w:pos="2360" w:val="left"/>
          <w:tab w:leader="dot" w:pos="9920" w:val="left"/>
        </w:tabs>
        <w:rPr>
          <w:sz w:val="20"/>
          <w:szCs w:val="20"/>
          <w:color w:val="auto"/>
        </w:rPr>
      </w:pPr>
      <w:r>
        <w:rPr>
          <w:rFonts w:ascii="Arial" w:cs="Arial" w:eastAsia="Arial" w:hAnsi="Arial"/>
          <w:sz w:val="16"/>
          <w:szCs w:val="16"/>
          <w:color w:val="auto"/>
        </w:rPr>
        <w:t>11.4.</w:t>
        <w:tab/>
        <w:t>Quorum</w:t>
      </w:r>
      <w:r>
        <w:rPr>
          <w:sz w:val="20"/>
          <w:szCs w:val="20"/>
          <w:color w:val="auto"/>
        </w:rPr>
        <w:tab/>
      </w:r>
      <w:r>
        <w:rPr>
          <w:rFonts w:ascii="Arial" w:cs="Arial" w:eastAsia="Arial" w:hAnsi="Arial"/>
          <w:sz w:val="16"/>
          <w:szCs w:val="16"/>
          <w:color w:val="auto"/>
        </w:rPr>
        <w:t>15</w:t>
      </w:r>
    </w:p>
    <w:p>
      <w:pPr>
        <w:spacing w:after="0" w:line="154" w:lineRule="exact"/>
        <w:rPr>
          <w:sz w:val="20"/>
          <w:szCs w:val="20"/>
          <w:color w:val="auto"/>
        </w:rPr>
      </w:pPr>
    </w:p>
    <w:p>
      <w:pPr>
        <w:ind w:left="1880"/>
        <w:spacing w:after="0"/>
        <w:tabs>
          <w:tab w:leader="none" w:pos="2380" w:val="left"/>
          <w:tab w:leader="dot" w:pos="9920" w:val="left"/>
        </w:tabs>
        <w:rPr>
          <w:sz w:val="20"/>
          <w:szCs w:val="20"/>
          <w:color w:val="auto"/>
        </w:rPr>
      </w:pPr>
      <w:r>
        <w:rPr>
          <w:rFonts w:ascii="Arial" w:cs="Arial" w:eastAsia="Arial" w:hAnsi="Arial"/>
          <w:sz w:val="16"/>
          <w:szCs w:val="16"/>
          <w:color w:val="auto"/>
        </w:rPr>
        <w:t>11.5.</w:t>
        <w:tab/>
        <w:t>One Shareholder May Constitute Quorum</w:t>
      </w:r>
      <w:r>
        <w:rPr>
          <w:sz w:val="20"/>
          <w:szCs w:val="20"/>
          <w:color w:val="auto"/>
        </w:rPr>
        <w:tab/>
      </w:r>
      <w:r>
        <w:rPr>
          <w:rFonts w:ascii="Arial" w:cs="Arial" w:eastAsia="Arial" w:hAnsi="Arial"/>
          <w:sz w:val="16"/>
          <w:szCs w:val="16"/>
          <w:color w:val="auto"/>
        </w:rPr>
        <w:t>15</w:t>
      </w:r>
    </w:p>
    <w:p>
      <w:pPr>
        <w:spacing w:after="0" w:line="154" w:lineRule="exact"/>
        <w:rPr>
          <w:sz w:val="20"/>
          <w:szCs w:val="20"/>
          <w:color w:val="auto"/>
        </w:rPr>
      </w:pPr>
    </w:p>
    <w:p>
      <w:pPr>
        <w:ind w:left="1880"/>
        <w:spacing w:after="0"/>
        <w:tabs>
          <w:tab w:leader="none" w:pos="2380" w:val="left"/>
          <w:tab w:leader="dot" w:pos="9920" w:val="left"/>
        </w:tabs>
        <w:rPr>
          <w:sz w:val="20"/>
          <w:szCs w:val="20"/>
          <w:color w:val="auto"/>
        </w:rPr>
      </w:pPr>
      <w:r>
        <w:rPr>
          <w:rFonts w:ascii="Arial" w:cs="Arial" w:eastAsia="Arial" w:hAnsi="Arial"/>
          <w:sz w:val="16"/>
          <w:szCs w:val="16"/>
          <w:color w:val="auto"/>
        </w:rPr>
        <w:t>11.6.</w:t>
        <w:tab/>
        <w:t>Other Persons May Attend</w:t>
      </w:r>
      <w:r>
        <w:rPr>
          <w:sz w:val="20"/>
          <w:szCs w:val="20"/>
          <w:color w:val="auto"/>
        </w:rPr>
        <w:tab/>
      </w:r>
      <w:r>
        <w:rPr>
          <w:rFonts w:ascii="Arial" w:cs="Arial" w:eastAsia="Arial" w:hAnsi="Arial"/>
          <w:sz w:val="16"/>
          <w:szCs w:val="16"/>
          <w:color w:val="auto"/>
        </w:rPr>
        <w:t>15</w:t>
      </w:r>
    </w:p>
    <w:p>
      <w:pPr>
        <w:spacing w:after="0" w:line="167"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11.7.</w:t>
        <w:tab/>
        <w:t>Requirement of Quorum</w:t>
      </w:r>
      <w:r>
        <w:rPr>
          <w:sz w:val="20"/>
          <w:szCs w:val="20"/>
          <w:color w:val="auto"/>
        </w:rPr>
        <w:tab/>
      </w:r>
      <w:r>
        <w:rPr>
          <w:rFonts w:ascii="Arial" w:cs="Arial" w:eastAsia="Arial" w:hAnsi="Arial"/>
          <w:sz w:val="16"/>
          <w:szCs w:val="16"/>
          <w:color w:val="auto"/>
        </w:rPr>
        <w:t>15</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11.8.</w:t>
        <w:tab/>
        <w:t>Lack of Quorum</w:t>
      </w:r>
      <w:r>
        <w:rPr>
          <w:sz w:val="20"/>
          <w:szCs w:val="20"/>
          <w:color w:val="auto"/>
        </w:rPr>
        <w:tab/>
      </w:r>
      <w:r>
        <w:rPr>
          <w:rFonts w:ascii="Arial" w:cs="Arial" w:eastAsia="Arial" w:hAnsi="Arial"/>
          <w:sz w:val="16"/>
          <w:szCs w:val="16"/>
          <w:color w:val="auto"/>
        </w:rPr>
        <w:t>15</w:t>
      </w:r>
    </w:p>
    <w:p>
      <w:pPr>
        <w:spacing w:after="0" w:line="167" w:lineRule="exact"/>
        <w:rPr>
          <w:sz w:val="20"/>
          <w:szCs w:val="20"/>
          <w:color w:val="auto"/>
        </w:rPr>
      </w:pPr>
    </w:p>
    <w:p>
      <w:pPr>
        <w:ind w:left="1940"/>
        <w:spacing w:after="0"/>
        <w:tabs>
          <w:tab w:leader="none" w:pos="2440" w:val="left"/>
          <w:tab w:leader="dot" w:pos="9920" w:val="left"/>
        </w:tabs>
        <w:rPr>
          <w:sz w:val="20"/>
          <w:szCs w:val="20"/>
          <w:color w:val="auto"/>
        </w:rPr>
      </w:pPr>
      <w:r>
        <w:rPr>
          <w:rFonts w:ascii="Arial" w:cs="Arial" w:eastAsia="Arial" w:hAnsi="Arial"/>
          <w:sz w:val="16"/>
          <w:szCs w:val="16"/>
          <w:color w:val="auto"/>
        </w:rPr>
        <w:t>11.9.</w:t>
        <w:tab/>
        <w:t>Quorum Required at Succeeding Meeting</w:t>
      </w:r>
      <w:r>
        <w:rPr>
          <w:sz w:val="20"/>
          <w:szCs w:val="20"/>
          <w:color w:val="auto"/>
        </w:rPr>
        <w:tab/>
      </w:r>
      <w:r>
        <w:rPr>
          <w:rFonts w:ascii="Arial" w:cs="Arial" w:eastAsia="Arial" w:hAnsi="Arial"/>
          <w:sz w:val="16"/>
          <w:szCs w:val="16"/>
          <w:color w:val="auto"/>
        </w:rPr>
        <w:t>15</w:t>
      </w:r>
    </w:p>
    <w:p>
      <w:pPr>
        <w:spacing w:after="0" w:line="154" w:lineRule="exact"/>
        <w:rPr>
          <w:sz w:val="20"/>
          <w:szCs w:val="20"/>
          <w:color w:val="auto"/>
        </w:rPr>
      </w:pPr>
    </w:p>
    <w:p>
      <w:pPr>
        <w:ind w:left="1780"/>
        <w:spacing w:after="0"/>
        <w:tabs>
          <w:tab w:leader="none" w:pos="2380" w:val="left"/>
          <w:tab w:leader="dot" w:pos="9920" w:val="left"/>
        </w:tabs>
        <w:rPr>
          <w:sz w:val="20"/>
          <w:szCs w:val="20"/>
          <w:color w:val="auto"/>
        </w:rPr>
      </w:pPr>
      <w:r>
        <w:rPr>
          <w:rFonts w:ascii="Arial" w:cs="Arial" w:eastAsia="Arial" w:hAnsi="Arial"/>
          <w:sz w:val="16"/>
          <w:szCs w:val="16"/>
          <w:color w:val="auto"/>
        </w:rPr>
        <w:t>11.10.</w:t>
        <w:tab/>
        <w:t>Chair</w:t>
      </w:r>
      <w:r>
        <w:rPr>
          <w:sz w:val="20"/>
          <w:szCs w:val="20"/>
          <w:color w:val="auto"/>
        </w:rPr>
        <w:tab/>
      </w:r>
      <w:r>
        <w:rPr>
          <w:rFonts w:ascii="Arial" w:cs="Arial" w:eastAsia="Arial" w:hAnsi="Arial"/>
          <w:sz w:val="16"/>
          <w:szCs w:val="16"/>
          <w:color w:val="auto"/>
        </w:rPr>
        <w:t>15</w:t>
      </w:r>
    </w:p>
    <w:p>
      <w:pPr>
        <w:spacing w:after="0" w:line="167" w:lineRule="exact"/>
        <w:rPr>
          <w:sz w:val="20"/>
          <w:szCs w:val="20"/>
          <w:color w:val="auto"/>
        </w:rPr>
      </w:pPr>
    </w:p>
    <w:p>
      <w:pPr>
        <w:ind w:left="1840"/>
        <w:spacing w:after="0"/>
        <w:tabs>
          <w:tab w:leader="none" w:pos="2420" w:val="left"/>
          <w:tab w:leader="dot" w:pos="9920" w:val="left"/>
        </w:tabs>
        <w:rPr>
          <w:sz w:val="20"/>
          <w:szCs w:val="20"/>
          <w:color w:val="auto"/>
        </w:rPr>
      </w:pPr>
      <w:r>
        <w:rPr>
          <w:rFonts w:ascii="Arial" w:cs="Arial" w:eastAsia="Arial" w:hAnsi="Arial"/>
          <w:sz w:val="16"/>
          <w:szCs w:val="16"/>
          <w:color w:val="auto"/>
        </w:rPr>
        <w:t>11.11.</w:t>
        <w:tab/>
        <w:t>Inspectors of Elections; Opening and Closing the Polls</w:t>
      </w:r>
      <w:r>
        <w:rPr>
          <w:sz w:val="20"/>
          <w:szCs w:val="20"/>
          <w:color w:val="auto"/>
        </w:rPr>
        <w:tab/>
      </w:r>
      <w:r>
        <w:rPr>
          <w:rFonts w:ascii="Arial" w:cs="Arial" w:eastAsia="Arial" w:hAnsi="Arial"/>
          <w:sz w:val="16"/>
          <w:szCs w:val="16"/>
          <w:color w:val="auto"/>
        </w:rPr>
        <w:t>15</w:t>
      </w:r>
    </w:p>
    <w:p>
      <w:pPr>
        <w:spacing w:after="0" w:line="154" w:lineRule="exact"/>
        <w:rPr>
          <w:sz w:val="20"/>
          <w:szCs w:val="20"/>
          <w:color w:val="auto"/>
        </w:rPr>
      </w:pPr>
    </w:p>
    <w:p>
      <w:pPr>
        <w:ind w:left="1800"/>
        <w:spacing w:after="0"/>
        <w:tabs>
          <w:tab w:leader="none" w:pos="2400" w:val="left"/>
          <w:tab w:leader="dot" w:pos="9920" w:val="left"/>
        </w:tabs>
        <w:rPr>
          <w:sz w:val="20"/>
          <w:szCs w:val="20"/>
          <w:color w:val="auto"/>
        </w:rPr>
      </w:pPr>
      <w:r>
        <w:rPr>
          <w:rFonts w:ascii="Arial" w:cs="Arial" w:eastAsia="Arial" w:hAnsi="Arial"/>
          <w:sz w:val="16"/>
          <w:szCs w:val="16"/>
          <w:color w:val="auto"/>
        </w:rPr>
        <w:t>11.12.</w:t>
        <w:tab/>
        <w:t>Conduct of Meetings</w:t>
      </w:r>
      <w:r>
        <w:rPr>
          <w:sz w:val="20"/>
          <w:szCs w:val="20"/>
          <w:color w:val="auto"/>
        </w:rPr>
        <w:tab/>
      </w:r>
      <w:r>
        <w:rPr>
          <w:rFonts w:ascii="Arial" w:cs="Arial" w:eastAsia="Arial" w:hAnsi="Arial"/>
          <w:sz w:val="16"/>
          <w:szCs w:val="16"/>
          <w:color w:val="auto"/>
        </w:rPr>
        <w:t>16</w:t>
      </w:r>
    </w:p>
    <w:p>
      <w:pPr>
        <w:spacing w:after="0" w:line="154" w:lineRule="exact"/>
        <w:rPr>
          <w:sz w:val="20"/>
          <w:szCs w:val="20"/>
          <w:color w:val="auto"/>
        </w:rPr>
      </w:pPr>
    </w:p>
    <w:p>
      <w:pPr>
        <w:ind w:left="1800"/>
        <w:spacing w:after="0"/>
        <w:tabs>
          <w:tab w:leader="none" w:pos="2400" w:val="left"/>
          <w:tab w:leader="dot" w:pos="9920" w:val="left"/>
        </w:tabs>
        <w:rPr>
          <w:sz w:val="20"/>
          <w:szCs w:val="20"/>
          <w:color w:val="auto"/>
        </w:rPr>
      </w:pPr>
      <w:r>
        <w:rPr>
          <w:rFonts w:ascii="Arial" w:cs="Arial" w:eastAsia="Arial" w:hAnsi="Arial"/>
          <w:sz w:val="16"/>
          <w:szCs w:val="16"/>
          <w:color w:val="auto"/>
        </w:rPr>
        <w:t>11.13.</w:t>
        <w:tab/>
        <w:t>Adjournments</w:t>
      </w:r>
      <w:r>
        <w:rPr>
          <w:sz w:val="20"/>
          <w:szCs w:val="20"/>
          <w:color w:val="auto"/>
        </w:rPr>
        <w:tab/>
      </w:r>
      <w:r>
        <w:rPr>
          <w:rFonts w:ascii="Arial" w:cs="Arial" w:eastAsia="Arial" w:hAnsi="Arial"/>
          <w:sz w:val="16"/>
          <w:szCs w:val="16"/>
          <w:color w:val="auto"/>
        </w:rPr>
        <w:t>16</w:t>
      </w:r>
    </w:p>
    <w:p>
      <w:pPr>
        <w:spacing w:after="0" w:line="167" w:lineRule="exact"/>
        <w:rPr>
          <w:sz w:val="20"/>
          <w:szCs w:val="20"/>
          <w:color w:val="auto"/>
        </w:rPr>
      </w:pPr>
    </w:p>
    <w:p>
      <w:pPr>
        <w:ind w:left="1880"/>
        <w:spacing w:after="0"/>
        <w:tabs>
          <w:tab w:leader="none" w:pos="2480" w:val="left"/>
          <w:tab w:leader="dot" w:pos="9920" w:val="left"/>
        </w:tabs>
        <w:rPr>
          <w:sz w:val="20"/>
          <w:szCs w:val="20"/>
          <w:color w:val="auto"/>
        </w:rPr>
      </w:pPr>
      <w:r>
        <w:rPr>
          <w:rFonts w:ascii="Arial" w:cs="Arial" w:eastAsia="Arial" w:hAnsi="Arial"/>
          <w:sz w:val="16"/>
          <w:szCs w:val="16"/>
          <w:color w:val="auto"/>
        </w:rPr>
        <w:t>11.14.</w:t>
        <w:tab/>
        <w:t>Notice of Adjourned Meeting</w:t>
      </w:r>
      <w:r>
        <w:rPr>
          <w:sz w:val="20"/>
          <w:szCs w:val="20"/>
          <w:color w:val="auto"/>
        </w:rPr>
        <w:tab/>
      </w:r>
      <w:r>
        <w:rPr>
          <w:rFonts w:ascii="Arial" w:cs="Arial" w:eastAsia="Arial" w:hAnsi="Arial"/>
          <w:sz w:val="16"/>
          <w:szCs w:val="16"/>
          <w:color w:val="auto"/>
        </w:rPr>
        <w:t>16</w:t>
      </w:r>
    </w:p>
    <w:p>
      <w:pPr>
        <w:spacing w:after="0" w:line="154" w:lineRule="exact"/>
        <w:rPr>
          <w:sz w:val="20"/>
          <w:szCs w:val="20"/>
          <w:color w:val="auto"/>
        </w:rPr>
      </w:pPr>
    </w:p>
    <w:p>
      <w:pPr>
        <w:ind w:left="1760"/>
        <w:spacing w:after="0"/>
        <w:tabs>
          <w:tab w:leader="none" w:pos="2340" w:val="left"/>
          <w:tab w:leader="dot" w:pos="9920" w:val="left"/>
        </w:tabs>
        <w:rPr>
          <w:sz w:val="20"/>
          <w:szCs w:val="20"/>
          <w:color w:val="auto"/>
        </w:rPr>
      </w:pPr>
      <w:r>
        <w:rPr>
          <w:rFonts w:ascii="Arial" w:cs="Arial" w:eastAsia="Arial" w:hAnsi="Arial"/>
          <w:sz w:val="16"/>
          <w:szCs w:val="16"/>
          <w:color w:val="auto"/>
        </w:rPr>
        <w:t>11.15.</w:t>
        <w:tab/>
        <w:t>Decision by Show of Hands or Poll</w:t>
      </w:r>
      <w:r>
        <w:rPr>
          <w:sz w:val="20"/>
          <w:szCs w:val="20"/>
          <w:color w:val="auto"/>
        </w:rPr>
        <w:tab/>
      </w:r>
      <w:r>
        <w:rPr>
          <w:rFonts w:ascii="Arial" w:cs="Arial" w:eastAsia="Arial" w:hAnsi="Arial"/>
          <w:sz w:val="16"/>
          <w:szCs w:val="16"/>
          <w:color w:val="auto"/>
        </w:rPr>
        <w:t>16</w:t>
      </w:r>
    </w:p>
    <w:p>
      <w:pPr>
        <w:spacing w:after="0" w:line="167" w:lineRule="exact"/>
        <w:rPr>
          <w:sz w:val="20"/>
          <w:szCs w:val="20"/>
          <w:color w:val="auto"/>
        </w:rPr>
      </w:pPr>
    </w:p>
    <w:p>
      <w:pPr>
        <w:ind w:left="1780"/>
        <w:spacing w:after="0"/>
        <w:tabs>
          <w:tab w:leader="none" w:pos="2380" w:val="left"/>
          <w:tab w:leader="dot" w:pos="9920" w:val="left"/>
        </w:tabs>
        <w:rPr>
          <w:sz w:val="20"/>
          <w:szCs w:val="20"/>
          <w:color w:val="auto"/>
        </w:rPr>
      </w:pPr>
      <w:r>
        <w:rPr>
          <w:rFonts w:ascii="Arial" w:cs="Arial" w:eastAsia="Arial" w:hAnsi="Arial"/>
          <w:sz w:val="16"/>
          <w:szCs w:val="16"/>
          <w:color w:val="auto"/>
        </w:rPr>
        <w:t>11.16.</w:t>
        <w:tab/>
        <w:t>Declaration of Result</w:t>
      </w:r>
      <w:r>
        <w:rPr>
          <w:sz w:val="20"/>
          <w:szCs w:val="20"/>
          <w:color w:val="auto"/>
        </w:rPr>
        <w:tab/>
      </w:r>
      <w:r>
        <w:rPr>
          <w:rFonts w:ascii="Arial" w:cs="Arial" w:eastAsia="Arial" w:hAnsi="Arial"/>
          <w:sz w:val="16"/>
          <w:szCs w:val="16"/>
          <w:color w:val="auto"/>
        </w:rPr>
        <w:t>16</w:t>
      </w:r>
    </w:p>
    <w:p>
      <w:pPr>
        <w:spacing w:after="0" w:line="154" w:lineRule="exact"/>
        <w:rPr>
          <w:sz w:val="20"/>
          <w:szCs w:val="20"/>
          <w:color w:val="auto"/>
        </w:rPr>
      </w:pPr>
    </w:p>
    <w:p>
      <w:pPr>
        <w:ind w:left="1840"/>
        <w:spacing w:after="0"/>
        <w:tabs>
          <w:tab w:leader="none" w:pos="2440" w:val="left"/>
          <w:tab w:leader="dot" w:pos="9920" w:val="left"/>
        </w:tabs>
        <w:rPr>
          <w:sz w:val="20"/>
          <w:szCs w:val="20"/>
          <w:color w:val="auto"/>
        </w:rPr>
      </w:pPr>
      <w:r>
        <w:rPr>
          <w:rFonts w:ascii="Arial" w:cs="Arial" w:eastAsia="Arial" w:hAnsi="Arial"/>
          <w:sz w:val="16"/>
          <w:szCs w:val="16"/>
          <w:color w:val="auto"/>
        </w:rPr>
        <w:t>11.17.</w:t>
        <w:tab/>
        <w:t>Motion Need Not be Seconded</w:t>
      </w:r>
      <w:r>
        <w:rPr>
          <w:sz w:val="20"/>
          <w:szCs w:val="20"/>
          <w:color w:val="auto"/>
        </w:rPr>
        <w:tab/>
      </w:r>
      <w:r>
        <w:rPr>
          <w:rFonts w:ascii="Arial" w:cs="Arial" w:eastAsia="Arial" w:hAnsi="Arial"/>
          <w:sz w:val="16"/>
          <w:szCs w:val="16"/>
          <w:color w:val="auto"/>
        </w:rPr>
        <w:t>16</w:t>
      </w:r>
    </w:p>
    <w:p>
      <w:pPr>
        <w:spacing w:after="0" w:line="167" w:lineRule="exact"/>
        <w:rPr>
          <w:sz w:val="20"/>
          <w:szCs w:val="20"/>
          <w:color w:val="auto"/>
        </w:rPr>
      </w:pPr>
    </w:p>
    <w:p>
      <w:pPr>
        <w:ind w:left="1780"/>
        <w:spacing w:after="0"/>
        <w:tabs>
          <w:tab w:leader="none" w:pos="2380" w:val="left"/>
          <w:tab w:leader="dot" w:pos="9920" w:val="left"/>
        </w:tabs>
        <w:rPr>
          <w:sz w:val="20"/>
          <w:szCs w:val="20"/>
          <w:color w:val="auto"/>
        </w:rPr>
      </w:pPr>
      <w:r>
        <w:rPr>
          <w:rFonts w:ascii="Arial" w:cs="Arial" w:eastAsia="Arial" w:hAnsi="Arial"/>
          <w:sz w:val="16"/>
          <w:szCs w:val="16"/>
          <w:color w:val="auto"/>
        </w:rPr>
        <w:t>11.18.</w:t>
        <w:tab/>
        <w:t>Casting Vote</w:t>
      </w:r>
      <w:r>
        <w:rPr>
          <w:sz w:val="20"/>
          <w:szCs w:val="20"/>
          <w:color w:val="auto"/>
        </w:rPr>
        <w:tab/>
      </w:r>
      <w:r>
        <w:rPr>
          <w:rFonts w:ascii="Arial" w:cs="Arial" w:eastAsia="Arial" w:hAnsi="Arial"/>
          <w:sz w:val="16"/>
          <w:szCs w:val="16"/>
          <w:color w:val="auto"/>
        </w:rPr>
        <w:t>16</w:t>
      </w:r>
    </w:p>
    <w:p>
      <w:pPr>
        <w:spacing w:after="0" w:line="154" w:lineRule="exact"/>
        <w:rPr>
          <w:sz w:val="20"/>
          <w:szCs w:val="20"/>
          <w:color w:val="auto"/>
        </w:rPr>
      </w:pPr>
    </w:p>
    <w:p>
      <w:pPr>
        <w:ind w:left="1800"/>
        <w:spacing w:after="0"/>
        <w:tabs>
          <w:tab w:leader="none" w:pos="2400" w:val="left"/>
          <w:tab w:leader="dot" w:pos="9920" w:val="left"/>
        </w:tabs>
        <w:rPr>
          <w:sz w:val="20"/>
          <w:szCs w:val="20"/>
          <w:color w:val="auto"/>
        </w:rPr>
      </w:pPr>
      <w:r>
        <w:rPr>
          <w:rFonts w:ascii="Arial" w:cs="Arial" w:eastAsia="Arial" w:hAnsi="Arial"/>
          <w:sz w:val="16"/>
          <w:szCs w:val="16"/>
          <w:color w:val="auto"/>
        </w:rPr>
        <w:t>11.19.</w:t>
        <w:tab/>
        <w:t>Meetings by Remote Communication</w:t>
      </w:r>
      <w:r>
        <w:rPr>
          <w:sz w:val="20"/>
          <w:szCs w:val="20"/>
          <w:color w:val="auto"/>
        </w:rPr>
        <w:tab/>
      </w:r>
      <w:r>
        <w:rPr>
          <w:rFonts w:ascii="Arial" w:cs="Arial" w:eastAsia="Arial" w:hAnsi="Arial"/>
          <w:sz w:val="16"/>
          <w:szCs w:val="16"/>
          <w:color w:val="auto"/>
        </w:rPr>
        <w:t>16</w:t>
      </w:r>
    </w:p>
    <w:p>
      <w:pPr>
        <w:spacing w:after="0" w:line="167" w:lineRule="exact"/>
        <w:rPr>
          <w:sz w:val="20"/>
          <w:szCs w:val="20"/>
          <w:color w:val="auto"/>
        </w:rPr>
      </w:pPr>
    </w:p>
    <w:p>
      <w:pPr>
        <w:ind w:left="2420"/>
        <w:spacing w:after="0"/>
        <w:tabs>
          <w:tab w:leader="dot" w:pos="9920" w:val="left"/>
        </w:tabs>
        <w:rPr>
          <w:sz w:val="20"/>
          <w:szCs w:val="20"/>
          <w:color w:val="auto"/>
        </w:rPr>
      </w:pPr>
      <w:r>
        <w:rPr>
          <w:rFonts w:ascii="Arial" w:cs="Arial" w:eastAsia="Arial" w:hAnsi="Arial"/>
          <w:sz w:val="16"/>
          <w:szCs w:val="16"/>
          <w:b w:val="1"/>
          <w:bCs w:val="1"/>
          <w:color w:val="auto"/>
        </w:rPr>
        <w:t>PART 12 VOTES OF SHAREHOLDERS</w:t>
      </w:r>
      <w:r>
        <w:rPr>
          <w:sz w:val="20"/>
          <w:szCs w:val="20"/>
          <w:color w:val="auto"/>
        </w:rPr>
        <w:tab/>
      </w:r>
      <w:r>
        <w:rPr>
          <w:rFonts w:ascii="Arial" w:cs="Arial" w:eastAsia="Arial" w:hAnsi="Arial"/>
          <w:sz w:val="16"/>
          <w:szCs w:val="16"/>
          <w:b w:val="1"/>
          <w:bCs w:val="1"/>
          <w:color w:val="auto"/>
        </w:rPr>
        <w:t>17</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12.1.</w:t>
        <w:tab/>
        <w:t>Number of Votes by Shareholder or by Shares</w:t>
      </w:r>
      <w:r>
        <w:rPr>
          <w:sz w:val="20"/>
          <w:szCs w:val="20"/>
          <w:color w:val="auto"/>
        </w:rPr>
        <w:tab/>
      </w:r>
      <w:r>
        <w:rPr>
          <w:rFonts w:ascii="Arial" w:cs="Arial" w:eastAsia="Arial" w:hAnsi="Arial"/>
          <w:sz w:val="16"/>
          <w:szCs w:val="16"/>
          <w:color w:val="auto"/>
        </w:rPr>
        <w:t>17</w:t>
      </w:r>
    </w:p>
    <w:p>
      <w:pPr>
        <w:spacing w:after="0" w:line="154" w:lineRule="exact"/>
        <w:rPr>
          <w:sz w:val="20"/>
          <w:szCs w:val="20"/>
          <w:color w:val="auto"/>
        </w:rPr>
      </w:pPr>
    </w:p>
    <w:p>
      <w:pPr>
        <w:ind w:left="1820"/>
        <w:spacing w:after="0"/>
        <w:tabs>
          <w:tab w:leader="none" w:pos="2340" w:val="left"/>
        </w:tabs>
        <w:rPr>
          <w:sz w:val="20"/>
          <w:szCs w:val="20"/>
          <w:color w:val="auto"/>
        </w:rPr>
      </w:pPr>
      <w:r>
        <w:rPr>
          <w:rFonts w:ascii="Arial" w:cs="Arial" w:eastAsia="Arial" w:hAnsi="Arial"/>
          <w:sz w:val="16"/>
          <w:szCs w:val="16"/>
          <w:color w:val="auto"/>
        </w:rPr>
        <w:t>12.2.</w:t>
        <w:tab/>
        <w:t>Votes of Persons in Representative Capacity..............................................................................................…17</w:t>
      </w:r>
    </w:p>
    <w:p>
      <w:pPr>
        <w:spacing w:after="0" w:line="167"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12.3.</w:t>
        <w:tab/>
        <w:t>Votes by Joint Holders</w:t>
      </w:r>
      <w:r>
        <w:rPr>
          <w:sz w:val="20"/>
          <w:szCs w:val="20"/>
          <w:color w:val="auto"/>
        </w:rPr>
        <w:tab/>
      </w:r>
      <w:r>
        <w:rPr>
          <w:rFonts w:ascii="Arial" w:cs="Arial" w:eastAsia="Arial" w:hAnsi="Arial"/>
          <w:sz w:val="16"/>
          <w:szCs w:val="16"/>
          <w:color w:val="auto"/>
        </w:rPr>
        <w:t>17</w:t>
      </w:r>
    </w:p>
    <w:p>
      <w:pPr>
        <w:spacing w:after="0" w:line="154" w:lineRule="exact"/>
        <w:rPr>
          <w:sz w:val="20"/>
          <w:szCs w:val="20"/>
          <w:color w:val="auto"/>
        </w:rPr>
      </w:pPr>
    </w:p>
    <w:p>
      <w:pPr>
        <w:ind w:left="1760"/>
        <w:spacing w:after="0"/>
        <w:tabs>
          <w:tab w:leader="none" w:pos="2280" w:val="left"/>
          <w:tab w:leader="dot" w:pos="9920" w:val="left"/>
        </w:tabs>
        <w:rPr>
          <w:sz w:val="20"/>
          <w:szCs w:val="20"/>
          <w:color w:val="auto"/>
        </w:rPr>
      </w:pPr>
      <w:r>
        <w:rPr>
          <w:rFonts w:ascii="Arial" w:cs="Arial" w:eastAsia="Arial" w:hAnsi="Arial"/>
          <w:sz w:val="16"/>
          <w:szCs w:val="16"/>
          <w:color w:val="auto"/>
        </w:rPr>
        <w:t>12.4.</w:t>
        <w:tab/>
        <w:t>Legal Personal Representatives as Joint Shareholders</w:t>
      </w:r>
      <w:r>
        <w:rPr>
          <w:sz w:val="20"/>
          <w:szCs w:val="20"/>
          <w:color w:val="auto"/>
        </w:rPr>
        <w:tab/>
      </w:r>
      <w:r>
        <w:rPr>
          <w:rFonts w:ascii="Arial" w:cs="Arial" w:eastAsia="Arial" w:hAnsi="Arial"/>
          <w:sz w:val="16"/>
          <w:szCs w:val="16"/>
          <w:color w:val="auto"/>
        </w:rPr>
        <w:t>17</w:t>
      </w:r>
    </w:p>
    <w:p>
      <w:pPr>
        <w:spacing w:after="0" w:line="167"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12.5.</w:t>
        <w:tab/>
        <w:t>Representative of a Corporate Shareholder</w:t>
      </w:r>
      <w:r>
        <w:rPr>
          <w:sz w:val="20"/>
          <w:szCs w:val="20"/>
          <w:color w:val="auto"/>
        </w:rPr>
        <w:tab/>
      </w:r>
      <w:r>
        <w:rPr>
          <w:rFonts w:ascii="Arial" w:cs="Arial" w:eastAsia="Arial" w:hAnsi="Arial"/>
          <w:sz w:val="16"/>
          <w:szCs w:val="16"/>
          <w:color w:val="auto"/>
        </w:rPr>
        <w:t>17</w:t>
      </w:r>
    </w:p>
    <w:p>
      <w:pPr>
        <w:spacing w:after="0" w:line="154"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12.6.</w:t>
        <w:tab/>
        <w:t>Proxy Provisions Do Not Apply to All Companies</w:t>
      </w:r>
      <w:r>
        <w:rPr>
          <w:sz w:val="20"/>
          <w:szCs w:val="20"/>
          <w:color w:val="auto"/>
        </w:rPr>
        <w:tab/>
      </w:r>
      <w:r>
        <w:rPr>
          <w:rFonts w:ascii="Arial" w:cs="Arial" w:eastAsia="Arial" w:hAnsi="Arial"/>
          <w:sz w:val="16"/>
          <w:szCs w:val="16"/>
          <w:color w:val="auto"/>
        </w:rPr>
        <w:t>17</w:t>
      </w:r>
    </w:p>
    <w:p>
      <w:pPr>
        <w:spacing w:after="0" w:line="167" w:lineRule="exact"/>
        <w:rPr>
          <w:sz w:val="20"/>
          <w:szCs w:val="20"/>
          <w:color w:val="auto"/>
        </w:rPr>
      </w:pPr>
    </w:p>
    <w:p>
      <w:pPr>
        <w:ind w:left="1900"/>
        <w:spacing w:after="0"/>
        <w:tabs>
          <w:tab w:leader="none" w:pos="2420" w:val="left"/>
          <w:tab w:leader="dot" w:pos="9920" w:val="left"/>
        </w:tabs>
        <w:rPr>
          <w:sz w:val="20"/>
          <w:szCs w:val="20"/>
          <w:color w:val="auto"/>
        </w:rPr>
      </w:pPr>
      <w:r>
        <w:rPr>
          <w:rFonts w:ascii="Arial" w:cs="Arial" w:eastAsia="Arial" w:hAnsi="Arial"/>
          <w:sz w:val="16"/>
          <w:szCs w:val="16"/>
          <w:color w:val="auto"/>
        </w:rPr>
        <w:t>12.7.</w:t>
        <w:tab/>
        <w:t>Appointment of Proxy Holders</w:t>
      </w:r>
      <w:r>
        <w:rPr>
          <w:sz w:val="20"/>
          <w:szCs w:val="20"/>
          <w:color w:val="auto"/>
        </w:rPr>
        <w:tab/>
      </w:r>
      <w:r>
        <w:rPr>
          <w:rFonts w:ascii="Arial" w:cs="Arial" w:eastAsia="Arial" w:hAnsi="Arial"/>
          <w:sz w:val="16"/>
          <w:szCs w:val="16"/>
          <w:color w:val="auto"/>
        </w:rPr>
        <w:t>18</w:t>
      </w:r>
    </w:p>
    <w:p>
      <w:pPr>
        <w:spacing w:after="0" w:line="154"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12.8.</w:t>
        <w:tab/>
        <w:t>Alternate Proxy Holders</w:t>
      </w:r>
      <w:r>
        <w:rPr>
          <w:sz w:val="20"/>
          <w:szCs w:val="20"/>
          <w:color w:val="auto"/>
        </w:rPr>
        <w:tab/>
      </w:r>
      <w:r>
        <w:rPr>
          <w:rFonts w:ascii="Arial" w:cs="Arial" w:eastAsia="Arial" w:hAnsi="Arial"/>
          <w:sz w:val="16"/>
          <w:szCs w:val="16"/>
          <w:color w:val="auto"/>
        </w:rPr>
        <w:t>18</w:t>
      </w:r>
    </w:p>
    <w:p>
      <w:pPr>
        <w:spacing w:after="0" w:line="154"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12.9.</w:t>
        <w:tab/>
        <w:t>When Proxy Holder Need Not Be Shareholder</w:t>
      </w:r>
      <w:r>
        <w:rPr>
          <w:sz w:val="20"/>
          <w:szCs w:val="20"/>
          <w:color w:val="auto"/>
        </w:rPr>
        <w:tab/>
      </w:r>
      <w:r>
        <w:rPr>
          <w:rFonts w:ascii="Arial" w:cs="Arial" w:eastAsia="Arial" w:hAnsi="Arial"/>
          <w:sz w:val="16"/>
          <w:szCs w:val="16"/>
          <w:color w:val="auto"/>
        </w:rPr>
        <w:t>18</w:t>
      </w:r>
    </w:p>
    <w:p>
      <w:pPr>
        <w:spacing w:after="0" w:line="167" w:lineRule="exact"/>
        <w:rPr>
          <w:sz w:val="20"/>
          <w:szCs w:val="20"/>
          <w:color w:val="auto"/>
        </w:rPr>
      </w:pPr>
    </w:p>
    <w:p>
      <w:pPr>
        <w:ind w:left="1780"/>
        <w:spacing w:after="0"/>
        <w:tabs>
          <w:tab w:leader="none" w:pos="2400" w:val="left"/>
          <w:tab w:leader="dot" w:pos="9920" w:val="left"/>
        </w:tabs>
        <w:rPr>
          <w:sz w:val="20"/>
          <w:szCs w:val="20"/>
          <w:color w:val="auto"/>
        </w:rPr>
      </w:pPr>
      <w:r>
        <w:rPr>
          <w:rFonts w:ascii="Arial" w:cs="Arial" w:eastAsia="Arial" w:hAnsi="Arial"/>
          <w:sz w:val="16"/>
          <w:szCs w:val="16"/>
          <w:color w:val="auto"/>
        </w:rPr>
        <w:t>12.10.</w:t>
        <w:tab/>
        <w:t>Deposit of Proxy</w:t>
      </w:r>
      <w:r>
        <w:rPr>
          <w:sz w:val="20"/>
          <w:szCs w:val="20"/>
          <w:color w:val="auto"/>
        </w:rPr>
        <w:tab/>
      </w:r>
      <w:r>
        <w:rPr>
          <w:rFonts w:ascii="Arial" w:cs="Arial" w:eastAsia="Arial" w:hAnsi="Arial"/>
          <w:sz w:val="16"/>
          <w:szCs w:val="16"/>
          <w:color w:val="auto"/>
        </w:rPr>
        <w:t>18</w:t>
      </w:r>
    </w:p>
    <w:p>
      <w:pPr>
        <w:spacing w:after="0" w:line="154" w:lineRule="exact"/>
        <w:rPr>
          <w:sz w:val="20"/>
          <w:szCs w:val="20"/>
          <w:color w:val="auto"/>
        </w:rPr>
      </w:pPr>
    </w:p>
    <w:p>
      <w:pPr>
        <w:ind w:left="1820"/>
        <w:spacing w:after="0"/>
        <w:tabs>
          <w:tab w:leader="none" w:pos="2420" w:val="left"/>
          <w:tab w:leader="dot" w:pos="9920" w:val="left"/>
        </w:tabs>
        <w:rPr>
          <w:sz w:val="20"/>
          <w:szCs w:val="20"/>
          <w:color w:val="auto"/>
        </w:rPr>
      </w:pPr>
      <w:r>
        <w:rPr>
          <w:rFonts w:ascii="Arial" w:cs="Arial" w:eastAsia="Arial" w:hAnsi="Arial"/>
          <w:sz w:val="16"/>
          <w:szCs w:val="16"/>
          <w:color w:val="auto"/>
        </w:rPr>
        <w:t>12.11.</w:t>
        <w:tab/>
        <w:t>Validity of Proxy Vote</w:t>
      </w:r>
      <w:r>
        <w:rPr>
          <w:sz w:val="20"/>
          <w:szCs w:val="20"/>
          <w:color w:val="auto"/>
        </w:rPr>
        <w:tab/>
      </w:r>
      <w:r>
        <w:rPr>
          <w:rFonts w:ascii="Arial" w:cs="Arial" w:eastAsia="Arial" w:hAnsi="Arial"/>
          <w:sz w:val="16"/>
          <w:szCs w:val="16"/>
          <w:color w:val="auto"/>
        </w:rPr>
        <w:t>19</w:t>
      </w:r>
    </w:p>
    <w:p>
      <w:pPr>
        <w:spacing w:after="0" w:line="167" w:lineRule="exact"/>
        <w:rPr>
          <w:sz w:val="20"/>
          <w:szCs w:val="20"/>
          <w:color w:val="auto"/>
        </w:rPr>
      </w:pPr>
    </w:p>
    <w:p>
      <w:pPr>
        <w:ind w:left="1780"/>
        <w:spacing w:after="0"/>
        <w:tabs>
          <w:tab w:leader="none" w:pos="2380" w:val="left"/>
          <w:tab w:leader="dot" w:pos="9920" w:val="left"/>
        </w:tabs>
        <w:rPr>
          <w:sz w:val="20"/>
          <w:szCs w:val="20"/>
          <w:color w:val="auto"/>
        </w:rPr>
      </w:pPr>
      <w:r>
        <w:rPr>
          <w:rFonts w:ascii="Arial" w:cs="Arial" w:eastAsia="Arial" w:hAnsi="Arial"/>
          <w:sz w:val="16"/>
          <w:szCs w:val="16"/>
          <w:color w:val="auto"/>
        </w:rPr>
        <w:t>12.12.</w:t>
        <w:tab/>
        <w:t>Form of Proxy</w:t>
      </w:r>
      <w:r>
        <w:rPr>
          <w:sz w:val="20"/>
          <w:szCs w:val="20"/>
          <w:color w:val="auto"/>
        </w:rPr>
        <w:tab/>
      </w:r>
      <w:r>
        <w:rPr>
          <w:rFonts w:ascii="Arial" w:cs="Arial" w:eastAsia="Arial" w:hAnsi="Arial"/>
          <w:sz w:val="16"/>
          <w:szCs w:val="16"/>
          <w:color w:val="auto"/>
        </w:rPr>
        <w:t>19</w:t>
      </w:r>
    </w:p>
    <w:p>
      <w:pPr>
        <w:spacing w:after="0" w:line="154" w:lineRule="exact"/>
        <w:rPr>
          <w:sz w:val="20"/>
          <w:szCs w:val="20"/>
          <w:color w:val="auto"/>
        </w:rPr>
      </w:pPr>
    </w:p>
    <w:p>
      <w:pPr>
        <w:ind w:left="1760"/>
        <w:spacing w:after="0"/>
        <w:tabs>
          <w:tab w:leader="none" w:pos="2360" w:val="left"/>
          <w:tab w:leader="dot" w:pos="9920" w:val="left"/>
        </w:tabs>
        <w:rPr>
          <w:sz w:val="20"/>
          <w:szCs w:val="20"/>
          <w:color w:val="auto"/>
        </w:rPr>
      </w:pPr>
      <w:r>
        <w:rPr>
          <w:rFonts w:ascii="Arial" w:cs="Arial" w:eastAsia="Arial" w:hAnsi="Arial"/>
          <w:sz w:val="16"/>
          <w:szCs w:val="16"/>
          <w:color w:val="auto"/>
        </w:rPr>
        <w:t>12.13.</w:t>
        <w:tab/>
        <w:t>Revocation of Proxy</w:t>
      </w:r>
      <w:r>
        <w:rPr>
          <w:sz w:val="20"/>
          <w:szCs w:val="20"/>
          <w:color w:val="auto"/>
        </w:rPr>
        <w:tab/>
      </w:r>
      <w:r>
        <w:rPr>
          <w:rFonts w:ascii="Arial" w:cs="Arial" w:eastAsia="Arial" w:hAnsi="Arial"/>
          <w:sz w:val="16"/>
          <w:szCs w:val="16"/>
          <w:color w:val="auto"/>
        </w:rPr>
        <w:t>19</w:t>
      </w:r>
    </w:p>
    <w:p>
      <w:pPr>
        <w:spacing w:after="0" w:line="167" w:lineRule="exact"/>
        <w:rPr>
          <w:sz w:val="20"/>
          <w:szCs w:val="20"/>
          <w:color w:val="auto"/>
        </w:rPr>
      </w:pPr>
    </w:p>
    <w:p>
      <w:pPr>
        <w:ind w:left="1720"/>
        <w:spacing w:after="0"/>
        <w:tabs>
          <w:tab w:leader="none" w:pos="2340" w:val="left"/>
          <w:tab w:leader="dot" w:pos="9920" w:val="left"/>
        </w:tabs>
        <w:rPr>
          <w:sz w:val="20"/>
          <w:szCs w:val="20"/>
          <w:color w:val="auto"/>
        </w:rPr>
      </w:pPr>
      <w:r>
        <w:rPr>
          <w:rFonts w:ascii="Arial" w:cs="Arial" w:eastAsia="Arial" w:hAnsi="Arial"/>
          <w:sz w:val="16"/>
          <w:szCs w:val="16"/>
          <w:color w:val="auto"/>
        </w:rPr>
        <w:t>12.14.</w:t>
        <w:tab/>
        <w:t>Revocation of Proxy Must Be Signed</w:t>
      </w:r>
      <w:r>
        <w:rPr>
          <w:sz w:val="20"/>
          <w:szCs w:val="20"/>
          <w:color w:val="auto"/>
        </w:rPr>
        <w:tab/>
      </w:r>
      <w:r>
        <w:rPr>
          <w:rFonts w:ascii="Arial" w:cs="Arial" w:eastAsia="Arial" w:hAnsi="Arial"/>
          <w:sz w:val="16"/>
          <w:szCs w:val="16"/>
          <w:color w:val="auto"/>
        </w:rPr>
        <w:t>19</w:t>
      </w:r>
    </w:p>
    <w:p>
      <w:pPr>
        <w:spacing w:after="0" w:line="154" w:lineRule="exact"/>
        <w:rPr>
          <w:sz w:val="20"/>
          <w:szCs w:val="20"/>
          <w:color w:val="auto"/>
        </w:rPr>
      </w:pPr>
    </w:p>
    <w:p>
      <w:pPr>
        <w:ind w:left="1820"/>
        <w:spacing w:after="0"/>
        <w:tabs>
          <w:tab w:leader="none" w:pos="2420" w:val="left"/>
          <w:tab w:leader="dot" w:pos="9920" w:val="left"/>
        </w:tabs>
        <w:rPr>
          <w:sz w:val="20"/>
          <w:szCs w:val="20"/>
          <w:color w:val="auto"/>
        </w:rPr>
      </w:pPr>
      <w:r>
        <w:rPr>
          <w:rFonts w:ascii="Arial" w:cs="Arial" w:eastAsia="Arial" w:hAnsi="Arial"/>
          <w:sz w:val="16"/>
          <w:szCs w:val="16"/>
          <w:color w:val="auto"/>
        </w:rPr>
        <w:t>12.15.</w:t>
        <w:tab/>
        <w:t>Production of Evidence of Authority to Vote</w:t>
      </w:r>
      <w:r>
        <w:rPr>
          <w:sz w:val="20"/>
          <w:szCs w:val="20"/>
          <w:color w:val="auto"/>
        </w:rPr>
        <w:tab/>
      </w:r>
      <w:r>
        <w:rPr>
          <w:rFonts w:ascii="Arial" w:cs="Arial" w:eastAsia="Arial" w:hAnsi="Arial"/>
          <w:sz w:val="16"/>
          <w:szCs w:val="16"/>
          <w:color w:val="auto"/>
        </w:rPr>
        <w:t>20</w:t>
      </w:r>
    </w:p>
    <w:p>
      <w:pPr>
        <w:spacing w:after="0" w:line="167" w:lineRule="exact"/>
        <w:rPr>
          <w:sz w:val="20"/>
          <w:szCs w:val="20"/>
          <w:color w:val="auto"/>
        </w:rPr>
      </w:pPr>
    </w:p>
    <w:p>
      <w:pPr>
        <w:ind w:left="1920"/>
        <w:spacing w:after="0"/>
        <w:tabs>
          <w:tab w:leader="none" w:pos="2520" w:val="left"/>
          <w:tab w:leader="dot" w:pos="9920" w:val="left"/>
        </w:tabs>
        <w:rPr>
          <w:sz w:val="20"/>
          <w:szCs w:val="20"/>
          <w:color w:val="auto"/>
        </w:rPr>
      </w:pPr>
      <w:r>
        <w:rPr>
          <w:rFonts w:ascii="Arial" w:cs="Arial" w:eastAsia="Arial" w:hAnsi="Arial"/>
          <w:sz w:val="16"/>
          <w:szCs w:val="16"/>
          <w:color w:val="auto"/>
        </w:rPr>
        <w:t>12.16.</w:t>
        <w:tab/>
        <w:t>Appointment of Attorney or Agent to Cast Vote in any other Corporation</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1148080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79" w:name="page80"/>
    <w:bookmarkEnd w:id="79"/>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20" w:type="dxa"/>
            <w:vAlign w:val="bottom"/>
          </w:tcPr>
          <w:p>
            <w:pPr>
              <w:jc w:val="right"/>
              <w:spacing w:after="0"/>
              <w:rPr>
                <w:sz w:val="20"/>
                <w:szCs w:val="20"/>
                <w:color w:val="auto"/>
              </w:rPr>
            </w:pPr>
            <w:r>
              <w:rPr>
                <w:rFonts w:ascii="Arial" w:cs="Arial" w:eastAsia="Arial" w:hAnsi="Arial"/>
                <w:sz w:val="16"/>
                <w:szCs w:val="16"/>
                <w:b w:val="1"/>
                <w:bCs w:val="1"/>
                <w:color w:val="auto"/>
              </w:rPr>
              <w:t>PART 13 DIRECTORS................................................................................................................................</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329"/>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13.1.  First Directors; Number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8"/>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13.2.  Change in Number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13.3.  Directors' Acts Valid Despite Vacancy............................................................................................................</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8"/>
        </w:trPr>
        <w:tc>
          <w:tcPr>
            <w:tcW w:w="3380" w:type="dxa"/>
            <w:vAlign w:val="bottom"/>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Remuneration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13.5.  Reimbursement of Expenses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8"/>
        </w:trPr>
        <w:tc>
          <w:tcPr>
            <w:tcW w:w="338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Special Remuneration for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51"/>
        </w:trPr>
        <w:tc>
          <w:tcPr>
            <w:tcW w:w="3460" w:type="dxa"/>
            <w:vAlign w:val="bottom"/>
            <w:gridSpan w:val="2"/>
          </w:tcPr>
          <w:p>
            <w:pPr>
              <w:ind w:left="3000"/>
              <w:spacing w:after="0"/>
              <w:rPr>
                <w:sz w:val="20"/>
                <w:szCs w:val="20"/>
                <w:color w:val="auto"/>
              </w:rPr>
            </w:pPr>
            <w:r>
              <w:rPr>
                <w:rFonts w:ascii="Arial" w:cs="Arial" w:eastAsia="Arial" w:hAnsi="Arial"/>
                <w:sz w:val="16"/>
                <w:szCs w:val="16"/>
                <w:color w:val="auto"/>
              </w:rPr>
              <w:t>13.7.</w:t>
            </w: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Gratuity, Pension or Allowance on Retirement of Director............................................................................</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46"/>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b w:val="1"/>
                <w:bCs w:val="1"/>
                <w:color w:val="auto"/>
                <w:w w:val="99"/>
              </w:rPr>
              <w:t>PART 14 ELECTION AND REMOVAL OF DIRECTORS.............................................................................</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329"/>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14.1.  Procedure for Election of Directors; Required Vote........................................................................................</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14.2.  Election and Rotation at Annual General Meeting.........................................................................................</w:t>
            </w:r>
          </w:p>
        </w:tc>
        <w:tc>
          <w:tcPr>
            <w:tcW w:w="3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8"/>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14.3.  Consent to be a Director................................................................................................................................</w:t>
            </w: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14.4.  Failure to Elect or Appoint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8"/>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14.5.  Places of Retiring Directors Not Filled............................................................................................................</w:t>
            </w: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14.6.  Directors May Fill Vacancies...........................................................................................................................</w:t>
            </w: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8"/>
        </w:trPr>
        <w:tc>
          <w:tcPr>
            <w:tcW w:w="338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rPr>
              <w:t>Remaining Directors Power to Act..............................................................................................................</w:t>
            </w:r>
          </w:p>
        </w:tc>
        <w:tc>
          <w:tcPr>
            <w:tcW w:w="360" w:type="dxa"/>
            <w:vAlign w:val="bottom"/>
          </w:tcPr>
          <w:p>
            <w:pPr>
              <w:jc w:val="right"/>
              <w:spacing w:after="0"/>
              <w:rPr>
                <w:sz w:val="20"/>
                <w:szCs w:val="20"/>
                <w:color w:val="auto"/>
              </w:rPr>
            </w:pPr>
            <w:r>
              <w:rPr>
                <w:rFonts w:ascii="Arial" w:cs="Arial" w:eastAsia="Arial" w:hAnsi="Arial"/>
                <w:sz w:val="16"/>
                <w:szCs w:val="16"/>
                <w:color w:val="FF0000"/>
                <w:w w:val="95"/>
              </w:rPr>
              <w:t>24</w:t>
            </w:r>
            <w:r>
              <w:rPr>
                <w:rFonts w:ascii="Arial" w:cs="Arial" w:eastAsia="Arial" w:hAnsi="Arial"/>
                <w:sz w:val="16"/>
                <w:szCs w:val="16"/>
                <w:color w:val="0000FF"/>
                <w:w w:val="95"/>
              </w:rPr>
              <w:t>23</w:t>
            </w:r>
          </w:p>
        </w:tc>
      </w:tr>
      <w:tr>
        <w:trPr>
          <w:trHeight w:val="351"/>
        </w:trPr>
        <w:tc>
          <w:tcPr>
            <w:tcW w:w="3460" w:type="dxa"/>
            <w:vAlign w:val="bottom"/>
            <w:gridSpan w:val="2"/>
          </w:tcPr>
          <w:p>
            <w:pPr>
              <w:ind w:left="3000"/>
              <w:spacing w:after="0"/>
              <w:rPr>
                <w:sz w:val="20"/>
                <w:szCs w:val="20"/>
                <w:color w:val="auto"/>
              </w:rPr>
            </w:pPr>
            <w:r>
              <w:rPr>
                <w:rFonts w:ascii="Arial" w:cs="Arial" w:eastAsia="Arial" w:hAnsi="Arial"/>
                <w:sz w:val="16"/>
                <w:szCs w:val="16"/>
                <w:color w:val="auto"/>
              </w:rPr>
              <w:t>14.8.</w:t>
            </w: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Additional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8"/>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14.9.  Ceasing to be a Director.................................................................................................................................</w:t>
            </w: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8"/>
        </w:trPr>
        <w:tc>
          <w:tcPr>
            <w:tcW w:w="3380" w:type="dxa"/>
            <w:vAlign w:val="bottom"/>
          </w:tcPr>
          <w:p>
            <w:pPr>
              <w:jc w:val="right"/>
              <w:spacing w:after="0"/>
              <w:rPr>
                <w:sz w:val="20"/>
                <w:szCs w:val="20"/>
                <w:color w:val="auto"/>
              </w:rPr>
            </w:pPr>
            <w:r>
              <w:rPr>
                <w:rFonts w:ascii="Arial" w:cs="Arial" w:eastAsia="Arial" w:hAnsi="Arial"/>
                <w:sz w:val="16"/>
                <w:szCs w:val="16"/>
                <w:color w:val="auto"/>
              </w:rPr>
              <w:t>14.10.</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Removal of Director by Shareholders.............................................................................................................</w:t>
            </w: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51"/>
        </w:trPr>
        <w:tc>
          <w:tcPr>
            <w:tcW w:w="3380" w:type="dxa"/>
            <w:vAlign w:val="bottom"/>
          </w:tcPr>
          <w:p>
            <w:pPr>
              <w:jc w:val="right"/>
              <w:spacing w:after="0"/>
              <w:rPr>
                <w:sz w:val="20"/>
                <w:szCs w:val="20"/>
                <w:color w:val="auto"/>
              </w:rPr>
            </w:pPr>
            <w:r>
              <w:rPr>
                <w:rFonts w:ascii="Arial" w:cs="Arial" w:eastAsia="Arial" w:hAnsi="Arial"/>
                <w:sz w:val="16"/>
                <w:szCs w:val="16"/>
                <w:color w:val="auto"/>
              </w:rPr>
              <w:t>14.11.</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Removal of Director by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45"/>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b w:val="1"/>
                <w:bCs w:val="1"/>
                <w:color w:val="auto"/>
                <w:w w:val="99"/>
              </w:rPr>
              <w:t>PART 15 POWERS AND DUTIES OF DIRECTORS.....................................................................................</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343"/>
        </w:trPr>
        <w:tc>
          <w:tcPr>
            <w:tcW w:w="3380" w:type="dxa"/>
            <w:vAlign w:val="bottom"/>
          </w:tcPr>
          <w:p>
            <w:pPr>
              <w:jc w:val="right"/>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Powers of Management..................................................................................................................................</w:t>
            </w: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8"/>
        </w:trPr>
        <w:tc>
          <w:tcPr>
            <w:tcW w:w="3460" w:type="dxa"/>
            <w:vAlign w:val="bottom"/>
            <w:gridSpan w:val="2"/>
          </w:tcPr>
          <w:p>
            <w:pPr>
              <w:ind w:left="3060"/>
              <w:spacing w:after="0"/>
              <w:rPr>
                <w:sz w:val="20"/>
                <w:szCs w:val="20"/>
                <w:color w:val="auto"/>
              </w:rPr>
            </w:pPr>
            <w:r>
              <w:rPr>
                <w:rFonts w:ascii="Arial" w:cs="Arial" w:eastAsia="Arial" w:hAnsi="Arial"/>
                <w:sz w:val="16"/>
                <w:szCs w:val="16"/>
                <w:color w:val="auto"/>
              </w:rPr>
              <w:t>15.2.</w:t>
            </w:r>
          </w:p>
        </w:tc>
        <w:tc>
          <w:tcPr>
            <w:tcW w:w="7420" w:type="dxa"/>
            <w:vAlign w:val="bottom"/>
          </w:tcPr>
          <w:p>
            <w:pPr>
              <w:jc w:val="right"/>
              <w:spacing w:after="0"/>
              <w:rPr>
                <w:sz w:val="20"/>
                <w:szCs w:val="20"/>
                <w:color w:val="auto"/>
              </w:rPr>
            </w:pPr>
            <w:r>
              <w:rPr>
                <w:rFonts w:ascii="Arial" w:cs="Arial" w:eastAsia="Arial" w:hAnsi="Arial"/>
                <w:sz w:val="16"/>
                <w:szCs w:val="16"/>
                <w:color w:val="auto"/>
              </w:rPr>
              <w:t>Appointment of Attorney of Company...........................................................................................................</w:t>
            </w:r>
          </w:p>
        </w:tc>
        <w:tc>
          <w:tcPr>
            <w:tcW w:w="3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59"/>
        </w:trPr>
        <w:tc>
          <w:tcPr>
            <w:tcW w:w="3380" w:type="dxa"/>
            <w:vAlign w:val="bottom"/>
          </w:tcPr>
          <w:p>
            <w:pPr>
              <w:spacing w:after="0"/>
              <w:rPr>
                <w:sz w:val="24"/>
                <w:szCs w:val="24"/>
                <w:color w:val="auto"/>
              </w:rPr>
            </w:pPr>
          </w:p>
        </w:tc>
        <w:tc>
          <w:tcPr>
            <w:tcW w:w="7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PART 16 DISCLOSURE OF INTEREST OF DIRECTORS..............................................................................</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330"/>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16.1.  Obligation to Account for Profits....................................................................................................................</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8"/>
        </w:trPr>
        <w:tc>
          <w:tcPr>
            <w:tcW w:w="338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8"/>
              </w:rPr>
              <w:t>Restrictions on Voting by Reason of Interest..................................................................................................</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16.3.  Interested Director Counted in Quorum.........................................................................................................</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8"/>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16.4.  Disclosure of Conflict of Interest or Property..................................................................................................</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16.5.  Director Holding Other Office in the Company..............................................................................................</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8"/>
        </w:trPr>
        <w:tc>
          <w:tcPr>
            <w:tcW w:w="3460" w:type="dxa"/>
            <w:vAlign w:val="bottom"/>
            <w:gridSpan w:val="2"/>
          </w:tcPr>
          <w:p>
            <w:pPr>
              <w:ind w:left="3020"/>
              <w:spacing w:after="0"/>
              <w:rPr>
                <w:sz w:val="20"/>
                <w:szCs w:val="20"/>
                <w:color w:val="auto"/>
              </w:rPr>
            </w:pPr>
            <w:r>
              <w:rPr>
                <w:rFonts w:ascii="Arial" w:cs="Arial" w:eastAsia="Arial" w:hAnsi="Arial"/>
                <w:sz w:val="16"/>
                <w:szCs w:val="16"/>
                <w:color w:val="auto"/>
              </w:rPr>
              <w:t>16.6.</w:t>
            </w: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No Disqualification.........................................................................................................................................</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51"/>
        </w:trPr>
        <w:tc>
          <w:tcPr>
            <w:tcW w:w="10880" w:type="dxa"/>
            <w:vAlign w:val="bottom"/>
            <w:gridSpan w:val="3"/>
          </w:tcPr>
          <w:p>
            <w:pPr>
              <w:jc w:val="right"/>
              <w:spacing w:after="0"/>
              <w:rPr>
                <w:sz w:val="20"/>
                <w:szCs w:val="20"/>
                <w:color w:val="auto"/>
              </w:rPr>
            </w:pPr>
            <w:r>
              <w:rPr>
                <w:rFonts w:ascii="Arial" w:cs="Arial" w:eastAsia="Arial" w:hAnsi="Arial"/>
                <w:sz w:val="16"/>
                <w:szCs w:val="16"/>
                <w:color w:val="auto"/>
              </w:rPr>
              <w:t>16.7.  Professional Services by Director or Officer................................................................................................</w:t>
            </w:r>
          </w:p>
        </w:tc>
        <w:tc>
          <w:tcPr>
            <w:tcW w:w="360" w:type="dxa"/>
            <w:vAlign w:val="bottom"/>
          </w:tcPr>
          <w:p>
            <w:pPr>
              <w:jc w:val="right"/>
              <w:spacing w:after="0"/>
              <w:rPr>
                <w:sz w:val="20"/>
                <w:szCs w:val="20"/>
                <w:color w:val="auto"/>
              </w:rPr>
            </w:pPr>
            <w:r>
              <w:rPr>
                <w:rFonts w:ascii="Arial" w:cs="Arial" w:eastAsia="Arial" w:hAnsi="Arial"/>
                <w:sz w:val="16"/>
                <w:szCs w:val="16"/>
                <w:color w:val="FF0000"/>
                <w:w w:val="95"/>
              </w:rPr>
              <w:t>25</w:t>
            </w:r>
            <w:r>
              <w:rPr>
                <w:rFonts w:ascii="Arial" w:cs="Arial" w:eastAsia="Arial" w:hAnsi="Arial"/>
                <w:sz w:val="16"/>
                <w:szCs w:val="16"/>
                <w:color w:val="0000FF"/>
                <w:w w:val="95"/>
              </w:rPr>
              <w:t>24</w:t>
            </w:r>
          </w:p>
        </w:tc>
      </w:tr>
      <w:tr>
        <w:trPr>
          <w:trHeight w:val="337"/>
        </w:trPr>
        <w:tc>
          <w:tcPr>
            <w:tcW w:w="3460" w:type="dxa"/>
            <w:vAlign w:val="bottom"/>
            <w:gridSpan w:val="2"/>
          </w:tcPr>
          <w:p>
            <w:pPr>
              <w:ind w:left="3020"/>
              <w:spacing w:after="0"/>
              <w:rPr>
                <w:sz w:val="20"/>
                <w:szCs w:val="20"/>
                <w:color w:val="auto"/>
              </w:rPr>
            </w:pPr>
            <w:r>
              <w:rPr>
                <w:rFonts w:ascii="Arial" w:cs="Arial" w:eastAsia="Arial" w:hAnsi="Arial"/>
                <w:sz w:val="16"/>
                <w:szCs w:val="16"/>
                <w:color w:val="auto"/>
              </w:rPr>
              <w:t>16.8.</w:t>
            </w: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Director or Officer in Other Corporations.......................................................................................................</w:t>
            </w:r>
          </w:p>
        </w:tc>
        <w:tc>
          <w:tcPr>
            <w:tcW w:w="3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59"/>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b w:val="1"/>
                <w:bCs w:val="1"/>
                <w:color w:val="auto"/>
                <w:w w:val="99"/>
              </w:rPr>
              <w:t>PART 17 PROCEEDINGS OF DIRECTORS.................................................................................................</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330"/>
        </w:trPr>
        <w:tc>
          <w:tcPr>
            <w:tcW w:w="3380" w:type="dxa"/>
            <w:vAlign w:val="bottom"/>
          </w:tcPr>
          <w:p>
            <w:pPr>
              <w:jc w:val="right"/>
              <w:spacing w:after="0"/>
              <w:rPr>
                <w:sz w:val="20"/>
                <w:szCs w:val="20"/>
                <w:color w:val="auto"/>
              </w:rPr>
            </w:pPr>
            <w:r>
              <w:rPr>
                <w:rFonts w:ascii="Arial" w:cs="Arial" w:eastAsia="Arial" w:hAnsi="Arial"/>
                <w:sz w:val="16"/>
                <w:szCs w:val="16"/>
                <w:color w:val="auto"/>
              </w:rPr>
              <w:t>17.1.</w:t>
            </w:r>
          </w:p>
        </w:tc>
        <w:tc>
          <w:tcPr>
            <w:tcW w:w="80" w:type="dxa"/>
            <w:vAlign w:val="bottom"/>
          </w:tcPr>
          <w:p>
            <w:pPr>
              <w:spacing w:after="0"/>
              <w:rPr>
                <w:sz w:val="24"/>
                <w:szCs w:val="24"/>
                <w:color w:val="auto"/>
              </w:rPr>
            </w:pPr>
          </w:p>
        </w:tc>
        <w:tc>
          <w:tcPr>
            <w:tcW w:w="7420" w:type="dxa"/>
            <w:vAlign w:val="bottom"/>
          </w:tcPr>
          <w:p>
            <w:pPr>
              <w:jc w:val="right"/>
              <w:spacing w:after="0"/>
              <w:rPr>
                <w:sz w:val="20"/>
                <w:szCs w:val="20"/>
                <w:color w:val="auto"/>
              </w:rPr>
            </w:pPr>
            <w:r>
              <w:rPr>
                <w:rFonts w:ascii="Arial" w:cs="Arial" w:eastAsia="Arial" w:hAnsi="Arial"/>
                <w:sz w:val="16"/>
                <w:szCs w:val="16"/>
                <w:color w:val="auto"/>
                <w:w w:val="99"/>
              </w:rPr>
              <w:t>Regular Meetings of Directors........................................................................................................................</w:t>
            </w:r>
          </w:p>
        </w:tc>
        <w:tc>
          <w:tcPr>
            <w:tcW w:w="3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399"/>
        </w:trPr>
        <w:tc>
          <w:tcPr>
            <w:tcW w:w="3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387"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17.2.</w:t>
        <w:tab/>
        <w:t>Special Meetings of Directors</w:t>
      </w:r>
      <w:r>
        <w:rPr>
          <w:sz w:val="20"/>
          <w:szCs w:val="20"/>
          <w:color w:val="auto"/>
        </w:rPr>
        <w:tab/>
      </w:r>
      <w:r>
        <w:rPr>
          <w:rFonts w:ascii="Arial" w:cs="Arial" w:eastAsia="Arial" w:hAnsi="Arial"/>
          <w:sz w:val="16"/>
          <w:szCs w:val="16"/>
          <w:color w:val="auto"/>
        </w:rPr>
        <w:t>25</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17.3.</w:t>
        <w:tab/>
        <w:t>Voting at Meetings</w:t>
      </w:r>
      <w:r>
        <w:rPr>
          <w:sz w:val="20"/>
          <w:szCs w:val="20"/>
          <w:color w:val="auto"/>
        </w:rPr>
        <w:tab/>
      </w:r>
      <w:r>
        <w:rPr>
          <w:rFonts w:ascii="Arial" w:cs="Arial" w:eastAsia="Arial" w:hAnsi="Arial"/>
          <w:sz w:val="16"/>
          <w:szCs w:val="16"/>
          <w:color w:val="auto"/>
        </w:rPr>
        <w:t>25</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17.4.</w:t>
        <w:tab/>
        <w:t>Chair of Meetings</w:t>
      </w:r>
      <w:r>
        <w:rPr>
          <w:sz w:val="20"/>
          <w:szCs w:val="20"/>
          <w:color w:val="auto"/>
        </w:rPr>
        <w:tab/>
      </w:r>
      <w:r>
        <w:rPr>
          <w:rFonts w:ascii="Arial" w:cs="Arial" w:eastAsia="Arial" w:hAnsi="Arial"/>
          <w:sz w:val="16"/>
          <w:szCs w:val="16"/>
          <w:color w:val="auto"/>
        </w:rPr>
        <w:t>25</w:t>
      </w:r>
    </w:p>
    <w:p>
      <w:pPr>
        <w:spacing w:after="0" w:line="167" w:lineRule="exact"/>
        <w:rPr>
          <w:sz w:val="20"/>
          <w:szCs w:val="20"/>
          <w:color w:val="auto"/>
        </w:rPr>
      </w:pPr>
    </w:p>
    <w:p>
      <w:pPr>
        <w:ind w:left="1940"/>
        <w:spacing w:after="0"/>
        <w:tabs>
          <w:tab w:leader="none" w:pos="2460" w:val="left"/>
          <w:tab w:leader="dot" w:pos="9920" w:val="left"/>
        </w:tabs>
        <w:rPr>
          <w:sz w:val="20"/>
          <w:szCs w:val="20"/>
          <w:color w:val="auto"/>
        </w:rPr>
      </w:pPr>
      <w:r>
        <w:rPr>
          <w:rFonts w:ascii="Arial" w:cs="Arial" w:eastAsia="Arial" w:hAnsi="Arial"/>
          <w:sz w:val="16"/>
          <w:szCs w:val="16"/>
          <w:color w:val="auto"/>
        </w:rPr>
        <w:t>17.5.</w:t>
        <w:tab/>
        <w:t>Meetings by Telephone or Other Communications Medium</w:t>
      </w:r>
      <w:r>
        <w:rPr>
          <w:sz w:val="20"/>
          <w:szCs w:val="20"/>
          <w:color w:val="auto"/>
        </w:rPr>
        <w:tab/>
      </w:r>
      <w:r>
        <w:rPr>
          <w:rFonts w:ascii="Arial" w:cs="Arial" w:eastAsia="Arial" w:hAnsi="Arial"/>
          <w:sz w:val="16"/>
          <w:szCs w:val="16"/>
          <w:color w:val="auto"/>
        </w:rPr>
        <w:t>26</w:t>
      </w:r>
    </w:p>
    <w:p>
      <w:pPr>
        <w:spacing w:after="0" w:line="154" w:lineRule="exact"/>
        <w:rPr>
          <w:sz w:val="20"/>
          <w:szCs w:val="20"/>
          <w:color w:val="auto"/>
        </w:rPr>
      </w:pPr>
    </w:p>
    <w:p>
      <w:pPr>
        <w:ind w:left="1900"/>
        <w:spacing w:after="0"/>
        <w:tabs>
          <w:tab w:leader="none" w:pos="2420" w:val="left"/>
          <w:tab w:leader="dot" w:pos="9920" w:val="left"/>
        </w:tabs>
        <w:rPr>
          <w:sz w:val="20"/>
          <w:szCs w:val="20"/>
          <w:color w:val="auto"/>
        </w:rPr>
      </w:pPr>
      <w:r>
        <w:rPr>
          <w:rFonts w:ascii="Arial" w:cs="Arial" w:eastAsia="Arial" w:hAnsi="Arial"/>
          <w:sz w:val="16"/>
          <w:szCs w:val="16"/>
          <w:color w:val="auto"/>
        </w:rPr>
        <w:t>17.6.</w:t>
        <w:tab/>
        <w:t>Notice of Meetings</w:t>
      </w:r>
      <w:r>
        <w:rPr>
          <w:sz w:val="20"/>
          <w:szCs w:val="20"/>
          <w:color w:val="auto"/>
        </w:rPr>
        <w:tab/>
      </w:r>
      <w:r>
        <w:rPr>
          <w:rFonts w:ascii="Arial" w:cs="Arial" w:eastAsia="Arial" w:hAnsi="Arial"/>
          <w:sz w:val="16"/>
          <w:szCs w:val="16"/>
          <w:color w:val="auto"/>
        </w:rPr>
        <w:t>26</w:t>
      </w:r>
    </w:p>
    <w:p>
      <w:pPr>
        <w:spacing w:after="0" w:line="167" w:lineRule="exact"/>
        <w:rPr>
          <w:sz w:val="20"/>
          <w:szCs w:val="20"/>
          <w:color w:val="auto"/>
        </w:rPr>
      </w:pPr>
    </w:p>
    <w:p>
      <w:pPr>
        <w:ind w:left="1900"/>
        <w:spacing w:after="0"/>
        <w:tabs>
          <w:tab w:leader="none" w:pos="2420" w:val="left"/>
          <w:tab w:leader="dot" w:pos="9920" w:val="left"/>
        </w:tabs>
        <w:rPr>
          <w:sz w:val="20"/>
          <w:szCs w:val="20"/>
          <w:color w:val="auto"/>
        </w:rPr>
      </w:pPr>
      <w:r>
        <w:rPr>
          <w:rFonts w:ascii="Arial" w:cs="Arial" w:eastAsia="Arial" w:hAnsi="Arial"/>
          <w:sz w:val="16"/>
          <w:szCs w:val="16"/>
          <w:color w:val="auto"/>
        </w:rPr>
        <w:t>17.7.</w:t>
        <w:tab/>
        <w:t>When Notice Not Required</w:t>
      </w:r>
      <w:r>
        <w:rPr>
          <w:sz w:val="20"/>
          <w:szCs w:val="20"/>
          <w:color w:val="auto"/>
        </w:rPr>
        <w:tab/>
      </w:r>
      <w:r>
        <w:rPr>
          <w:rFonts w:ascii="Arial" w:cs="Arial" w:eastAsia="Arial" w:hAnsi="Arial"/>
          <w:sz w:val="16"/>
          <w:szCs w:val="16"/>
          <w:color w:val="auto"/>
        </w:rPr>
        <w:t>26</w:t>
      </w:r>
    </w:p>
    <w:p>
      <w:pPr>
        <w:spacing w:after="0" w:line="154" w:lineRule="exact"/>
        <w:rPr>
          <w:sz w:val="20"/>
          <w:szCs w:val="20"/>
          <w:color w:val="auto"/>
        </w:rPr>
      </w:pPr>
    </w:p>
    <w:p>
      <w:pPr>
        <w:ind w:left="1920"/>
        <w:spacing w:after="0"/>
        <w:tabs>
          <w:tab w:leader="none" w:pos="2440" w:val="left"/>
          <w:tab w:leader="dot" w:pos="9920" w:val="left"/>
        </w:tabs>
        <w:rPr>
          <w:sz w:val="20"/>
          <w:szCs w:val="20"/>
          <w:color w:val="auto"/>
        </w:rPr>
      </w:pPr>
      <w:r>
        <w:rPr>
          <w:rFonts w:ascii="Arial" w:cs="Arial" w:eastAsia="Arial" w:hAnsi="Arial"/>
          <w:sz w:val="16"/>
          <w:szCs w:val="16"/>
          <w:color w:val="auto"/>
        </w:rPr>
        <w:t>17.8.</w:t>
        <w:tab/>
        <w:t>Meeting Valid Despite Failure to Give Notice</w:t>
      </w:r>
      <w:r>
        <w:rPr>
          <w:sz w:val="20"/>
          <w:szCs w:val="20"/>
          <w:color w:val="auto"/>
        </w:rPr>
        <w:tab/>
      </w:r>
      <w:r>
        <w:rPr>
          <w:rFonts w:ascii="Arial" w:cs="Arial" w:eastAsia="Arial" w:hAnsi="Arial"/>
          <w:sz w:val="16"/>
          <w:szCs w:val="16"/>
          <w:color w:val="auto"/>
        </w:rPr>
        <w:t>26</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17.9.</w:t>
        <w:tab/>
        <w:t>Waiver of Notice of Meetings</w:t>
      </w:r>
      <w:r>
        <w:rPr>
          <w:sz w:val="20"/>
          <w:szCs w:val="20"/>
          <w:color w:val="auto"/>
        </w:rPr>
        <w:tab/>
      </w:r>
      <w:r>
        <w:rPr>
          <w:rFonts w:ascii="Arial" w:cs="Arial" w:eastAsia="Arial" w:hAnsi="Arial"/>
          <w:sz w:val="16"/>
          <w:szCs w:val="16"/>
          <w:color w:val="auto"/>
        </w:rPr>
        <w:t>26</w:t>
      </w:r>
    </w:p>
    <w:p>
      <w:pPr>
        <w:spacing w:after="0" w:line="154" w:lineRule="exact"/>
        <w:rPr>
          <w:sz w:val="20"/>
          <w:szCs w:val="20"/>
          <w:color w:val="auto"/>
        </w:rPr>
      </w:pPr>
    </w:p>
    <w:p>
      <w:pPr>
        <w:ind w:left="1740"/>
        <w:spacing w:after="0"/>
        <w:tabs>
          <w:tab w:leader="none" w:pos="2360" w:val="left"/>
          <w:tab w:leader="dot" w:pos="9920" w:val="left"/>
        </w:tabs>
        <w:rPr>
          <w:sz w:val="20"/>
          <w:szCs w:val="20"/>
          <w:color w:val="auto"/>
        </w:rPr>
      </w:pPr>
      <w:r>
        <w:rPr>
          <w:rFonts w:ascii="Arial" w:cs="Arial" w:eastAsia="Arial" w:hAnsi="Arial"/>
          <w:sz w:val="16"/>
          <w:szCs w:val="16"/>
          <w:color w:val="auto"/>
        </w:rPr>
        <w:t>17.10.</w:t>
        <w:tab/>
        <w:t>Quorum</w:t>
      </w:r>
      <w:r>
        <w:rPr>
          <w:sz w:val="20"/>
          <w:szCs w:val="20"/>
          <w:color w:val="auto"/>
        </w:rPr>
        <w:tab/>
      </w:r>
      <w:r>
        <w:rPr>
          <w:rFonts w:ascii="Arial" w:cs="Arial" w:eastAsia="Arial" w:hAnsi="Arial"/>
          <w:sz w:val="16"/>
          <w:szCs w:val="16"/>
          <w:color w:val="auto"/>
        </w:rPr>
        <w:t>26</w:t>
      </w:r>
    </w:p>
    <w:p>
      <w:pPr>
        <w:spacing w:after="0" w:line="154" w:lineRule="exact"/>
        <w:rPr>
          <w:sz w:val="20"/>
          <w:szCs w:val="20"/>
          <w:color w:val="auto"/>
        </w:rPr>
      </w:pPr>
    </w:p>
    <w:p>
      <w:pPr>
        <w:ind w:left="1840"/>
        <w:spacing w:after="0"/>
        <w:tabs>
          <w:tab w:leader="none" w:pos="2440" w:val="left"/>
          <w:tab w:leader="dot" w:pos="9920" w:val="left"/>
        </w:tabs>
        <w:rPr>
          <w:sz w:val="20"/>
          <w:szCs w:val="20"/>
          <w:color w:val="auto"/>
        </w:rPr>
      </w:pPr>
      <w:r>
        <w:rPr>
          <w:rFonts w:ascii="Arial" w:cs="Arial" w:eastAsia="Arial" w:hAnsi="Arial"/>
          <w:sz w:val="16"/>
          <w:szCs w:val="16"/>
          <w:color w:val="auto"/>
        </w:rPr>
        <w:t>17.11.</w:t>
        <w:tab/>
        <w:t>Validity of Acts Where Appointment Defective</w:t>
      </w:r>
      <w:r>
        <w:rPr>
          <w:sz w:val="20"/>
          <w:szCs w:val="20"/>
          <w:color w:val="auto"/>
        </w:rPr>
        <w:tab/>
      </w:r>
      <w:r>
        <w:rPr>
          <w:rFonts w:ascii="Arial" w:cs="Arial" w:eastAsia="Arial" w:hAnsi="Arial"/>
          <w:sz w:val="16"/>
          <w:szCs w:val="16"/>
          <w:color w:val="auto"/>
        </w:rPr>
        <w:t>26</w:t>
      </w:r>
    </w:p>
    <w:p>
      <w:pPr>
        <w:spacing w:after="0" w:line="167" w:lineRule="exact"/>
        <w:rPr>
          <w:sz w:val="20"/>
          <w:szCs w:val="20"/>
          <w:color w:val="auto"/>
        </w:rPr>
      </w:pPr>
    </w:p>
    <w:p>
      <w:pPr>
        <w:ind w:left="1760"/>
        <w:spacing w:after="0"/>
        <w:tabs>
          <w:tab w:leader="none" w:pos="2360" w:val="left"/>
          <w:tab w:leader="dot" w:pos="9920" w:val="left"/>
        </w:tabs>
        <w:rPr>
          <w:sz w:val="20"/>
          <w:szCs w:val="20"/>
          <w:color w:val="auto"/>
        </w:rPr>
      </w:pPr>
      <w:r>
        <w:rPr>
          <w:rFonts w:ascii="Arial" w:cs="Arial" w:eastAsia="Arial" w:hAnsi="Arial"/>
          <w:sz w:val="16"/>
          <w:szCs w:val="16"/>
          <w:color w:val="auto"/>
        </w:rPr>
        <w:t>17.12.</w:t>
        <w:tab/>
        <w:t>Action by Consent of Board</w:t>
      </w:r>
      <w:r>
        <w:rPr>
          <w:sz w:val="20"/>
          <w:szCs w:val="20"/>
          <w:color w:val="auto"/>
        </w:rPr>
        <w:tab/>
      </w:r>
      <w:r>
        <w:rPr>
          <w:rFonts w:ascii="Arial" w:cs="Arial" w:eastAsia="Arial" w:hAnsi="Arial"/>
          <w:sz w:val="16"/>
          <w:szCs w:val="16"/>
          <w:color w:val="auto"/>
        </w:rPr>
        <w:t>26</w:t>
      </w:r>
    </w:p>
    <w:p>
      <w:pPr>
        <w:spacing w:after="0" w:line="154" w:lineRule="exact"/>
        <w:rPr>
          <w:sz w:val="20"/>
          <w:szCs w:val="20"/>
          <w:color w:val="auto"/>
        </w:rPr>
      </w:pPr>
    </w:p>
    <w:p>
      <w:pPr>
        <w:ind w:left="2400"/>
        <w:spacing w:after="0"/>
        <w:tabs>
          <w:tab w:leader="dot" w:pos="9920" w:val="left"/>
        </w:tabs>
        <w:rPr>
          <w:sz w:val="20"/>
          <w:szCs w:val="20"/>
          <w:color w:val="auto"/>
        </w:rPr>
      </w:pPr>
      <w:r>
        <w:rPr>
          <w:rFonts w:ascii="Arial" w:cs="Arial" w:eastAsia="Arial" w:hAnsi="Arial"/>
          <w:sz w:val="16"/>
          <w:szCs w:val="16"/>
          <w:b w:val="1"/>
          <w:bCs w:val="1"/>
          <w:color w:val="auto"/>
        </w:rPr>
        <w:t>PART 18 EXECUTIVE AND OTHER COMMITTEES</w:t>
      </w:r>
      <w:r>
        <w:rPr>
          <w:sz w:val="20"/>
          <w:szCs w:val="20"/>
          <w:color w:val="auto"/>
        </w:rPr>
        <w:tab/>
      </w:r>
      <w:r>
        <w:rPr>
          <w:rFonts w:ascii="Arial" w:cs="Arial" w:eastAsia="Arial" w:hAnsi="Arial"/>
          <w:sz w:val="16"/>
          <w:szCs w:val="16"/>
          <w:b w:val="1"/>
          <w:bCs w:val="1"/>
          <w:color w:val="auto"/>
        </w:rPr>
        <w:t>26</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18.1.</w:t>
        <w:tab/>
        <w:t>Appointment and Powers of Executive Committee</w:t>
      </w:r>
      <w:r>
        <w:rPr>
          <w:sz w:val="20"/>
          <w:szCs w:val="20"/>
          <w:color w:val="auto"/>
        </w:rPr>
        <w:tab/>
      </w:r>
      <w:r>
        <w:rPr>
          <w:rFonts w:ascii="Arial" w:cs="Arial" w:eastAsia="Arial" w:hAnsi="Arial"/>
          <w:sz w:val="16"/>
          <w:szCs w:val="16"/>
          <w:color w:val="auto"/>
        </w:rPr>
        <w:t>26</w:t>
      </w:r>
    </w:p>
    <w:p>
      <w:pPr>
        <w:spacing w:after="0" w:line="154" w:lineRule="exact"/>
        <w:rPr>
          <w:sz w:val="20"/>
          <w:szCs w:val="20"/>
          <w:color w:val="auto"/>
        </w:rPr>
      </w:pPr>
    </w:p>
    <w:p>
      <w:pPr>
        <w:ind w:left="1920"/>
        <w:spacing w:after="0"/>
        <w:tabs>
          <w:tab w:leader="none" w:pos="2420" w:val="left"/>
          <w:tab w:leader="dot" w:pos="9920" w:val="left"/>
        </w:tabs>
        <w:rPr>
          <w:sz w:val="20"/>
          <w:szCs w:val="20"/>
          <w:color w:val="auto"/>
        </w:rPr>
      </w:pPr>
      <w:r>
        <w:rPr>
          <w:rFonts w:ascii="Arial" w:cs="Arial" w:eastAsia="Arial" w:hAnsi="Arial"/>
          <w:sz w:val="16"/>
          <w:szCs w:val="16"/>
          <w:color w:val="auto"/>
        </w:rPr>
        <w:t>18.2.</w:t>
        <w:tab/>
        <w:t>Appointment and Powers of Other Committees</w:t>
      </w:r>
      <w:r>
        <w:rPr>
          <w:sz w:val="20"/>
          <w:szCs w:val="20"/>
          <w:color w:val="auto"/>
        </w:rPr>
        <w:tab/>
      </w:r>
      <w:r>
        <w:rPr>
          <w:rFonts w:ascii="Arial" w:cs="Arial" w:eastAsia="Arial" w:hAnsi="Arial"/>
          <w:sz w:val="16"/>
          <w:szCs w:val="16"/>
          <w:color w:val="auto"/>
        </w:rPr>
        <w:t>26</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18.3.</w:t>
        <w:tab/>
        <w:t>Obligations of Committees</w:t>
      </w:r>
      <w:r>
        <w:rPr>
          <w:sz w:val="20"/>
          <w:szCs w:val="20"/>
          <w:color w:val="auto"/>
        </w:rPr>
        <w:tab/>
      </w:r>
      <w:r>
        <w:rPr>
          <w:rFonts w:ascii="Arial" w:cs="Arial" w:eastAsia="Arial" w:hAnsi="Arial"/>
          <w:sz w:val="16"/>
          <w:szCs w:val="16"/>
          <w:color w:val="auto"/>
        </w:rPr>
        <w:t>27</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18.4.</w:t>
        <w:tab/>
        <w:t>Powers of Board</w:t>
      </w:r>
      <w:r>
        <w:rPr>
          <w:sz w:val="20"/>
          <w:szCs w:val="20"/>
          <w:color w:val="auto"/>
        </w:rPr>
        <w:tab/>
      </w:r>
      <w:r>
        <w:rPr>
          <w:rFonts w:ascii="Arial" w:cs="Arial" w:eastAsia="Arial" w:hAnsi="Arial"/>
          <w:sz w:val="16"/>
          <w:szCs w:val="16"/>
          <w:color w:val="auto"/>
        </w:rPr>
        <w:t>27</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18.5.</w:t>
        <w:tab/>
        <w:t>Committee Meetings</w:t>
      </w:r>
      <w:r>
        <w:rPr>
          <w:sz w:val="20"/>
          <w:szCs w:val="20"/>
          <w:color w:val="auto"/>
        </w:rPr>
        <w:tab/>
      </w:r>
      <w:r>
        <w:rPr>
          <w:rFonts w:ascii="Arial" w:cs="Arial" w:eastAsia="Arial" w:hAnsi="Arial"/>
          <w:sz w:val="16"/>
          <w:szCs w:val="16"/>
          <w:color w:val="auto"/>
        </w:rPr>
        <w:t>27</w:t>
      </w:r>
    </w:p>
    <w:p>
      <w:pPr>
        <w:spacing w:after="0" w:line="154" w:lineRule="exact"/>
        <w:rPr>
          <w:sz w:val="20"/>
          <w:szCs w:val="20"/>
          <w:color w:val="auto"/>
        </w:rPr>
      </w:pPr>
    </w:p>
    <w:p>
      <w:pPr>
        <w:ind w:left="2520"/>
        <w:spacing w:after="0"/>
        <w:tabs>
          <w:tab w:leader="dot" w:pos="9920" w:val="left"/>
        </w:tabs>
        <w:rPr>
          <w:sz w:val="20"/>
          <w:szCs w:val="20"/>
          <w:color w:val="auto"/>
        </w:rPr>
      </w:pPr>
      <w:r>
        <w:rPr>
          <w:rFonts w:ascii="Arial" w:cs="Arial" w:eastAsia="Arial" w:hAnsi="Arial"/>
          <w:sz w:val="16"/>
          <w:szCs w:val="16"/>
          <w:b w:val="1"/>
          <w:bCs w:val="1"/>
          <w:color w:val="auto"/>
        </w:rPr>
        <w:t>PART 19 OFFICERS</w:t>
      </w:r>
      <w:r>
        <w:rPr>
          <w:sz w:val="20"/>
          <w:szCs w:val="20"/>
          <w:color w:val="auto"/>
        </w:rPr>
        <w:tab/>
      </w:r>
      <w:r>
        <w:rPr>
          <w:rFonts w:ascii="Arial" w:cs="Arial" w:eastAsia="Arial" w:hAnsi="Arial"/>
          <w:sz w:val="16"/>
          <w:szCs w:val="16"/>
          <w:b w:val="1"/>
          <w:bCs w:val="1"/>
          <w:color w:val="auto"/>
        </w:rPr>
        <w:t>27</w:t>
      </w:r>
    </w:p>
    <w:p>
      <w:pPr>
        <w:spacing w:after="0" w:line="154" w:lineRule="exact"/>
        <w:rPr>
          <w:sz w:val="20"/>
          <w:szCs w:val="20"/>
          <w:color w:val="auto"/>
        </w:rPr>
      </w:pPr>
    </w:p>
    <w:p>
      <w:pPr>
        <w:ind w:left="1900"/>
        <w:spacing w:after="0"/>
        <w:tabs>
          <w:tab w:leader="none" w:pos="2420" w:val="left"/>
          <w:tab w:leader="dot" w:pos="9920" w:val="left"/>
        </w:tabs>
        <w:rPr>
          <w:sz w:val="20"/>
          <w:szCs w:val="20"/>
          <w:color w:val="auto"/>
        </w:rPr>
      </w:pPr>
      <w:r>
        <w:rPr>
          <w:rFonts w:ascii="Arial" w:cs="Arial" w:eastAsia="Arial" w:hAnsi="Arial"/>
          <w:sz w:val="16"/>
          <w:szCs w:val="16"/>
          <w:color w:val="auto"/>
        </w:rPr>
        <w:t>19.1.</w:t>
        <w:tab/>
        <w:t>Directors May Appoint Officers</w:t>
      </w:r>
      <w:r>
        <w:rPr>
          <w:sz w:val="20"/>
          <w:szCs w:val="20"/>
          <w:color w:val="auto"/>
        </w:rPr>
        <w:tab/>
      </w:r>
      <w:r>
        <w:rPr>
          <w:rFonts w:ascii="Arial" w:cs="Arial" w:eastAsia="Arial" w:hAnsi="Arial"/>
          <w:sz w:val="16"/>
          <w:szCs w:val="16"/>
          <w:color w:val="auto"/>
        </w:rPr>
        <w:t>27</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19.2.</w:t>
        <w:tab/>
        <w:t>Election and Term of Office</w:t>
      </w:r>
      <w:r>
        <w:rPr>
          <w:sz w:val="20"/>
          <w:szCs w:val="20"/>
          <w:color w:val="auto"/>
        </w:rPr>
        <w:tab/>
      </w:r>
      <w:r>
        <w:rPr>
          <w:rFonts w:ascii="Arial" w:cs="Arial" w:eastAsia="Arial" w:hAnsi="Arial"/>
          <w:sz w:val="16"/>
          <w:szCs w:val="16"/>
          <w:color w:val="auto"/>
        </w:rPr>
        <w:t>28</w:t>
      </w:r>
    </w:p>
    <w:p>
      <w:pPr>
        <w:spacing w:after="0" w:line="154"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19.3.</w:t>
        <w:tab/>
        <w:t>Chairman of the Board</w:t>
      </w:r>
      <w:r>
        <w:rPr>
          <w:sz w:val="20"/>
          <w:szCs w:val="20"/>
          <w:color w:val="auto"/>
        </w:rPr>
        <w:tab/>
      </w:r>
      <w:r>
        <w:rPr>
          <w:rFonts w:ascii="Arial" w:cs="Arial" w:eastAsia="Arial" w:hAnsi="Arial"/>
          <w:sz w:val="16"/>
          <w:szCs w:val="16"/>
          <w:color w:val="auto"/>
        </w:rPr>
        <w:t>28</w:t>
      </w:r>
    </w:p>
    <w:p>
      <w:pPr>
        <w:spacing w:after="0" w:line="167"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19.4.</w:t>
        <w:tab/>
        <w:t>Chief Executive Officer</w:t>
      </w:r>
      <w:r>
        <w:rPr>
          <w:sz w:val="20"/>
          <w:szCs w:val="20"/>
          <w:color w:val="auto"/>
        </w:rPr>
        <w:tab/>
      </w:r>
      <w:r>
        <w:rPr>
          <w:rFonts w:ascii="Arial" w:cs="Arial" w:eastAsia="Arial" w:hAnsi="Arial"/>
          <w:sz w:val="16"/>
          <w:szCs w:val="16"/>
          <w:color w:val="auto"/>
        </w:rPr>
        <w:t>28</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19.5.</w:t>
        <w:tab/>
        <w:t>President</w:t>
      </w:r>
      <w:r>
        <w:rPr>
          <w:sz w:val="20"/>
          <w:szCs w:val="20"/>
          <w:color w:val="auto"/>
        </w:rPr>
        <w:tab/>
      </w:r>
      <w:r>
        <w:rPr>
          <w:rFonts w:ascii="Arial" w:cs="Arial" w:eastAsia="Arial" w:hAnsi="Arial"/>
          <w:sz w:val="16"/>
          <w:szCs w:val="16"/>
          <w:color w:val="auto"/>
        </w:rPr>
        <w:t>28</w:t>
      </w:r>
    </w:p>
    <w:p>
      <w:pPr>
        <w:spacing w:after="0" w:line="167"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19.6.</w:t>
        <w:tab/>
        <w:t>Vice Presidents</w:t>
      </w:r>
      <w:r>
        <w:rPr>
          <w:sz w:val="20"/>
          <w:szCs w:val="20"/>
          <w:color w:val="auto"/>
        </w:rPr>
        <w:tab/>
      </w:r>
      <w:r>
        <w:rPr>
          <w:rFonts w:ascii="Arial" w:cs="Arial" w:eastAsia="Arial" w:hAnsi="Arial"/>
          <w:sz w:val="16"/>
          <w:szCs w:val="16"/>
          <w:color w:val="auto"/>
        </w:rPr>
        <w:t>28</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19.7.</w:t>
        <w:tab/>
        <w:t>Treasurer</w:t>
      </w:r>
      <w:r>
        <w:rPr>
          <w:sz w:val="20"/>
          <w:szCs w:val="20"/>
          <w:color w:val="auto"/>
        </w:rPr>
        <w:tab/>
      </w:r>
      <w:r>
        <w:rPr>
          <w:rFonts w:ascii="Arial" w:cs="Arial" w:eastAsia="Arial" w:hAnsi="Arial"/>
          <w:sz w:val="16"/>
          <w:szCs w:val="16"/>
          <w:color w:val="auto"/>
        </w:rPr>
        <w:t>28</w:t>
      </w:r>
    </w:p>
    <w:p>
      <w:pPr>
        <w:spacing w:after="0" w:line="154"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19.8.</w:t>
        <w:tab/>
        <w:t>Secretary</w:t>
      </w:r>
      <w:r>
        <w:rPr>
          <w:sz w:val="20"/>
          <w:szCs w:val="20"/>
          <w:color w:val="auto"/>
        </w:rPr>
        <w:tab/>
      </w:r>
      <w:r>
        <w:rPr>
          <w:rFonts w:ascii="Arial" w:cs="Arial" w:eastAsia="Arial" w:hAnsi="Arial"/>
          <w:sz w:val="16"/>
          <w:szCs w:val="16"/>
          <w:color w:val="auto"/>
        </w:rPr>
        <w:t>28</w:t>
      </w:r>
    </w:p>
    <w:p>
      <w:pPr>
        <w:spacing w:after="0" w:line="167" w:lineRule="exact"/>
        <w:rPr>
          <w:sz w:val="20"/>
          <w:szCs w:val="20"/>
          <w:color w:val="auto"/>
        </w:rPr>
      </w:pPr>
    </w:p>
    <w:p>
      <w:pPr>
        <w:ind w:left="1820"/>
        <w:spacing w:after="0"/>
        <w:tabs>
          <w:tab w:leader="none" w:pos="2320" w:val="left"/>
          <w:tab w:leader="dot" w:pos="9920" w:val="left"/>
        </w:tabs>
        <w:rPr>
          <w:sz w:val="20"/>
          <w:szCs w:val="20"/>
          <w:color w:val="auto"/>
        </w:rPr>
      </w:pPr>
      <w:r>
        <w:rPr>
          <w:rFonts w:ascii="Arial" w:cs="Arial" w:eastAsia="Arial" w:hAnsi="Arial"/>
          <w:sz w:val="16"/>
          <w:szCs w:val="16"/>
          <w:color w:val="auto"/>
        </w:rPr>
        <w:t>19.9.</w:t>
        <w:tab/>
        <w:t>Assistant Secretaries</w:t>
      </w:r>
      <w:r>
        <w:rPr>
          <w:sz w:val="20"/>
          <w:szCs w:val="20"/>
          <w:color w:val="auto"/>
        </w:rPr>
        <w:tab/>
      </w:r>
      <w:r>
        <w:rPr>
          <w:rFonts w:ascii="Arial" w:cs="Arial" w:eastAsia="Arial" w:hAnsi="Arial"/>
          <w:sz w:val="16"/>
          <w:szCs w:val="16"/>
          <w:color w:val="auto"/>
        </w:rPr>
        <w:t>28</w:t>
      </w:r>
    </w:p>
    <w:p>
      <w:pPr>
        <w:spacing w:after="0" w:line="154" w:lineRule="exact"/>
        <w:rPr>
          <w:sz w:val="20"/>
          <w:szCs w:val="20"/>
          <w:color w:val="auto"/>
        </w:rPr>
      </w:pPr>
    </w:p>
    <w:p>
      <w:pPr>
        <w:ind w:left="1740"/>
        <w:spacing w:after="0"/>
        <w:tabs>
          <w:tab w:leader="none" w:pos="2340" w:val="left"/>
          <w:tab w:leader="dot" w:pos="9920" w:val="left"/>
        </w:tabs>
        <w:rPr>
          <w:sz w:val="20"/>
          <w:szCs w:val="20"/>
          <w:color w:val="auto"/>
        </w:rPr>
      </w:pPr>
      <w:r>
        <w:rPr>
          <w:rFonts w:ascii="Arial" w:cs="Arial" w:eastAsia="Arial" w:hAnsi="Arial"/>
          <w:sz w:val="16"/>
          <w:szCs w:val="16"/>
          <w:color w:val="auto"/>
        </w:rPr>
        <w:t>19.10.</w:t>
        <w:tab/>
        <w:t>Removal</w:t>
      </w:r>
      <w:r>
        <w:rPr>
          <w:sz w:val="20"/>
          <w:szCs w:val="20"/>
          <w:color w:val="auto"/>
        </w:rPr>
        <w:tab/>
      </w:r>
      <w:r>
        <w:rPr>
          <w:rFonts w:ascii="Arial" w:cs="Arial" w:eastAsia="Arial" w:hAnsi="Arial"/>
          <w:sz w:val="16"/>
          <w:szCs w:val="16"/>
          <w:color w:val="auto"/>
        </w:rPr>
        <w:t>29</w:t>
      </w:r>
    </w:p>
    <w:p>
      <w:pPr>
        <w:spacing w:after="0" w:line="167" w:lineRule="exact"/>
        <w:rPr>
          <w:sz w:val="20"/>
          <w:szCs w:val="20"/>
          <w:color w:val="auto"/>
        </w:rPr>
      </w:pPr>
    </w:p>
    <w:p>
      <w:pPr>
        <w:ind w:left="1740"/>
        <w:spacing w:after="0"/>
        <w:tabs>
          <w:tab w:leader="none" w:pos="2340" w:val="left"/>
          <w:tab w:leader="dot" w:pos="9920" w:val="left"/>
        </w:tabs>
        <w:rPr>
          <w:sz w:val="20"/>
          <w:szCs w:val="20"/>
          <w:color w:val="auto"/>
        </w:rPr>
      </w:pPr>
      <w:r>
        <w:rPr>
          <w:rFonts w:ascii="Arial" w:cs="Arial" w:eastAsia="Arial" w:hAnsi="Arial"/>
          <w:sz w:val="16"/>
          <w:szCs w:val="16"/>
          <w:color w:val="auto"/>
        </w:rPr>
        <w:t>19.11.</w:t>
        <w:tab/>
        <w:t>Vacancies</w:t>
      </w:r>
      <w:r>
        <w:rPr>
          <w:sz w:val="20"/>
          <w:szCs w:val="20"/>
          <w:color w:val="auto"/>
        </w:rPr>
        <w:tab/>
      </w:r>
      <w:r>
        <w:rPr>
          <w:rFonts w:ascii="Arial" w:cs="Arial" w:eastAsia="Arial" w:hAnsi="Arial"/>
          <w:sz w:val="16"/>
          <w:szCs w:val="16"/>
          <w:color w:val="auto"/>
        </w:rPr>
        <w:t>29</w:t>
      </w:r>
    </w:p>
    <w:p>
      <w:pPr>
        <w:spacing w:after="0" w:line="154" w:lineRule="exact"/>
        <w:rPr>
          <w:sz w:val="20"/>
          <w:szCs w:val="20"/>
          <w:color w:val="auto"/>
        </w:rPr>
      </w:pPr>
    </w:p>
    <w:p>
      <w:pPr>
        <w:ind w:left="1740"/>
        <w:spacing w:after="0"/>
        <w:tabs>
          <w:tab w:leader="none" w:pos="2360" w:val="left"/>
          <w:tab w:leader="dot" w:pos="9920" w:val="left"/>
        </w:tabs>
        <w:rPr>
          <w:sz w:val="20"/>
          <w:szCs w:val="20"/>
          <w:color w:val="auto"/>
        </w:rPr>
      </w:pPr>
      <w:r>
        <w:rPr>
          <w:rFonts w:ascii="Arial" w:cs="Arial" w:eastAsia="Arial" w:hAnsi="Arial"/>
          <w:sz w:val="16"/>
          <w:szCs w:val="16"/>
          <w:color w:val="auto"/>
        </w:rPr>
        <w:t>19.12.</w:t>
        <w:tab/>
        <w:t>Functions, Duties and Powers of Officers</w:t>
      </w:r>
      <w:r>
        <w:rPr>
          <w:sz w:val="20"/>
          <w:szCs w:val="20"/>
          <w:color w:val="auto"/>
        </w:rPr>
        <w:tab/>
      </w:r>
      <w:r>
        <w:rPr>
          <w:rFonts w:ascii="Arial" w:cs="Arial" w:eastAsia="Arial" w:hAnsi="Arial"/>
          <w:sz w:val="16"/>
          <w:szCs w:val="16"/>
          <w:color w:val="auto"/>
        </w:rPr>
        <w:t>29</w:t>
      </w:r>
    </w:p>
    <w:p>
      <w:pPr>
        <w:spacing w:after="0" w:line="167" w:lineRule="exact"/>
        <w:rPr>
          <w:sz w:val="20"/>
          <w:szCs w:val="20"/>
          <w:color w:val="auto"/>
        </w:rPr>
      </w:pPr>
    </w:p>
    <w:p>
      <w:pPr>
        <w:ind w:left="1760"/>
        <w:spacing w:after="0"/>
        <w:tabs>
          <w:tab w:leader="none" w:pos="2380" w:val="left"/>
          <w:tab w:leader="dot" w:pos="9920" w:val="left"/>
        </w:tabs>
        <w:rPr>
          <w:sz w:val="20"/>
          <w:szCs w:val="20"/>
          <w:color w:val="auto"/>
        </w:rPr>
      </w:pPr>
      <w:r>
        <w:rPr>
          <w:rFonts w:ascii="Arial" w:cs="Arial" w:eastAsia="Arial" w:hAnsi="Arial"/>
          <w:sz w:val="16"/>
          <w:szCs w:val="16"/>
          <w:color w:val="auto"/>
        </w:rPr>
        <w:t>19.13.</w:t>
        <w:tab/>
        <w:t>Qualifications</w:t>
      </w:r>
      <w:r>
        <w:rPr>
          <w:sz w:val="20"/>
          <w:szCs w:val="20"/>
          <w:color w:val="auto"/>
        </w:rPr>
        <w:tab/>
      </w:r>
      <w:r>
        <w:rPr>
          <w:rFonts w:ascii="Arial" w:cs="Arial" w:eastAsia="Arial" w:hAnsi="Arial"/>
          <w:sz w:val="16"/>
          <w:szCs w:val="16"/>
          <w:color w:val="auto"/>
        </w:rPr>
        <w:t>29</w:t>
      </w:r>
    </w:p>
    <w:p>
      <w:pPr>
        <w:spacing w:after="0" w:line="154" w:lineRule="exact"/>
        <w:rPr>
          <w:sz w:val="20"/>
          <w:szCs w:val="20"/>
          <w:color w:val="auto"/>
        </w:rPr>
      </w:pPr>
    </w:p>
    <w:p>
      <w:pPr>
        <w:ind w:left="2580"/>
        <w:spacing w:after="0"/>
        <w:tabs>
          <w:tab w:leader="dot" w:pos="9920" w:val="left"/>
        </w:tabs>
        <w:rPr>
          <w:sz w:val="20"/>
          <w:szCs w:val="20"/>
          <w:color w:val="auto"/>
        </w:rPr>
      </w:pPr>
      <w:r>
        <w:rPr>
          <w:rFonts w:ascii="Arial" w:cs="Arial" w:eastAsia="Arial" w:hAnsi="Arial"/>
          <w:sz w:val="16"/>
          <w:szCs w:val="16"/>
          <w:b w:val="1"/>
          <w:bCs w:val="1"/>
          <w:color w:val="auto"/>
        </w:rPr>
        <w:t>PART 20 INDEMNIFICATION</w:t>
      </w:r>
      <w:r>
        <w:rPr>
          <w:sz w:val="20"/>
          <w:szCs w:val="20"/>
          <w:color w:val="auto"/>
        </w:rPr>
        <w:tab/>
      </w:r>
      <w:r>
        <w:rPr>
          <w:rFonts w:ascii="Arial" w:cs="Arial" w:eastAsia="Arial" w:hAnsi="Arial"/>
          <w:sz w:val="16"/>
          <w:szCs w:val="16"/>
          <w:b w:val="1"/>
          <w:bCs w:val="1"/>
          <w:color w:val="auto"/>
        </w:rPr>
        <w:t>29</w:t>
      </w:r>
    </w:p>
    <w:p>
      <w:pPr>
        <w:spacing w:after="0" w:line="167" w:lineRule="exact"/>
        <w:rPr>
          <w:sz w:val="20"/>
          <w:szCs w:val="20"/>
          <w:color w:val="auto"/>
        </w:rPr>
      </w:pPr>
    </w:p>
    <w:p>
      <w:pPr>
        <w:ind w:left="1940"/>
        <w:spacing w:after="0"/>
        <w:tabs>
          <w:tab w:leader="none" w:pos="2460" w:val="left"/>
          <w:tab w:leader="dot" w:pos="9920" w:val="left"/>
        </w:tabs>
        <w:rPr>
          <w:sz w:val="20"/>
          <w:szCs w:val="20"/>
          <w:color w:val="auto"/>
        </w:rPr>
      </w:pPr>
      <w:r>
        <w:rPr>
          <w:rFonts w:ascii="Arial" w:cs="Arial" w:eastAsia="Arial" w:hAnsi="Arial"/>
          <w:sz w:val="16"/>
          <w:szCs w:val="16"/>
          <w:color w:val="auto"/>
        </w:rPr>
        <w:t>20.1.</w:t>
        <w:tab/>
        <w:t>Right to Indemnification</w:t>
      </w:r>
      <w:r>
        <w:rPr>
          <w:sz w:val="20"/>
          <w:szCs w:val="20"/>
          <w:color w:val="auto"/>
        </w:rPr>
        <w:tab/>
      </w:r>
      <w:r>
        <w:rPr>
          <w:rFonts w:ascii="Arial" w:cs="Arial" w:eastAsia="Arial" w:hAnsi="Arial"/>
          <w:sz w:val="16"/>
          <w:szCs w:val="16"/>
          <w:color w:val="auto"/>
        </w:rPr>
        <w:t>29</w:t>
      </w:r>
    </w:p>
    <w:p>
      <w:pPr>
        <w:spacing w:after="0" w:line="154" w:lineRule="exact"/>
        <w:rPr>
          <w:sz w:val="20"/>
          <w:szCs w:val="20"/>
          <w:color w:val="auto"/>
        </w:rPr>
      </w:pPr>
    </w:p>
    <w:p>
      <w:pPr>
        <w:ind w:left="1920"/>
        <w:spacing w:after="0"/>
        <w:tabs>
          <w:tab w:leader="none" w:pos="2440" w:val="left"/>
          <w:tab w:leader="dot" w:pos="9920" w:val="left"/>
        </w:tabs>
        <w:rPr>
          <w:sz w:val="20"/>
          <w:szCs w:val="20"/>
          <w:color w:val="auto"/>
        </w:rPr>
      </w:pPr>
      <w:r>
        <w:rPr>
          <w:rFonts w:ascii="Arial" w:cs="Arial" w:eastAsia="Arial" w:hAnsi="Arial"/>
          <w:sz w:val="16"/>
          <w:szCs w:val="16"/>
          <w:color w:val="auto"/>
        </w:rPr>
        <w:t>20.2.</w:t>
        <w:tab/>
        <w:t>Right of Claimant to Bring Suit</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890905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1" w:name="page82"/>
    <w:bookmarkEnd w:id="81"/>
    <w:p>
      <w:pPr>
        <w:spacing w:after="0" w:line="387" w:lineRule="exact"/>
        <w:rPr>
          <w:sz w:val="20"/>
          <w:szCs w:val="20"/>
          <w:color w:val="auto"/>
        </w:rPr>
      </w:pPr>
    </w:p>
    <w:p>
      <w:pPr>
        <w:ind w:left="1800"/>
        <w:spacing w:after="0"/>
        <w:tabs>
          <w:tab w:leader="none" w:pos="2320" w:val="left"/>
          <w:tab w:leader="dot" w:pos="9920" w:val="left"/>
        </w:tabs>
        <w:rPr>
          <w:sz w:val="20"/>
          <w:szCs w:val="20"/>
          <w:color w:val="auto"/>
        </w:rPr>
      </w:pPr>
      <w:r>
        <w:rPr>
          <w:rFonts w:ascii="Arial" w:cs="Arial" w:eastAsia="Arial" w:hAnsi="Arial"/>
          <w:sz w:val="16"/>
          <w:szCs w:val="16"/>
          <w:color w:val="auto"/>
        </w:rPr>
        <w:t>20.3.</w:t>
        <w:tab/>
        <w:t>Non-Exclusivity of Rights</w:t>
      </w:r>
      <w:r>
        <w:rPr>
          <w:sz w:val="20"/>
          <w:szCs w:val="20"/>
          <w:color w:val="auto"/>
        </w:rPr>
        <w:tab/>
      </w:r>
      <w:r>
        <w:rPr>
          <w:rFonts w:ascii="Arial" w:cs="Arial" w:eastAsia="Arial" w:hAnsi="Arial"/>
          <w:sz w:val="16"/>
          <w:szCs w:val="16"/>
          <w:color w:val="auto"/>
        </w:rPr>
        <w:t>30</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20.4.</w:t>
        <w:tab/>
        <w:t>Indemnification of Other Persons</w:t>
      </w:r>
      <w:r>
        <w:rPr>
          <w:sz w:val="20"/>
          <w:szCs w:val="20"/>
          <w:color w:val="auto"/>
        </w:rPr>
        <w:tab/>
      </w:r>
      <w:r>
        <w:rPr>
          <w:rFonts w:ascii="Arial" w:cs="Arial" w:eastAsia="Arial" w:hAnsi="Arial"/>
          <w:sz w:val="16"/>
          <w:szCs w:val="16"/>
          <w:color w:val="auto"/>
        </w:rPr>
        <w:t>30</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20.5.</w:t>
        <w:tab/>
        <w:t>Non-Compliance with Business Corporations Act</w:t>
      </w:r>
      <w:r>
        <w:rPr>
          <w:sz w:val="20"/>
          <w:szCs w:val="20"/>
          <w:color w:val="auto"/>
        </w:rPr>
        <w:tab/>
      </w:r>
      <w:r>
        <w:rPr>
          <w:rFonts w:ascii="Arial" w:cs="Arial" w:eastAsia="Arial" w:hAnsi="Arial"/>
          <w:sz w:val="16"/>
          <w:szCs w:val="16"/>
          <w:color w:val="auto"/>
        </w:rPr>
        <w:t>30</w:t>
      </w:r>
    </w:p>
    <w:p>
      <w:pPr>
        <w:spacing w:after="0" w:line="167" w:lineRule="exact"/>
        <w:rPr>
          <w:sz w:val="20"/>
          <w:szCs w:val="20"/>
          <w:color w:val="auto"/>
        </w:rPr>
      </w:pPr>
    </w:p>
    <w:p>
      <w:pPr>
        <w:ind w:left="1780"/>
        <w:spacing w:after="0"/>
        <w:tabs>
          <w:tab w:leader="none" w:pos="2300" w:val="left"/>
          <w:tab w:leader="dot" w:pos="9920" w:val="left"/>
        </w:tabs>
        <w:rPr>
          <w:sz w:val="20"/>
          <w:szCs w:val="20"/>
          <w:color w:val="auto"/>
        </w:rPr>
      </w:pPr>
      <w:r>
        <w:rPr>
          <w:rFonts w:ascii="Arial" w:cs="Arial" w:eastAsia="Arial" w:hAnsi="Arial"/>
          <w:sz w:val="16"/>
          <w:szCs w:val="16"/>
          <w:color w:val="auto"/>
        </w:rPr>
        <w:t>20.6.</w:t>
        <w:tab/>
        <w:t>Company May Purchase Insurance</w:t>
      </w:r>
      <w:r>
        <w:rPr>
          <w:sz w:val="20"/>
          <w:szCs w:val="20"/>
          <w:color w:val="auto"/>
        </w:rPr>
        <w:tab/>
      </w:r>
      <w:r>
        <w:rPr>
          <w:rFonts w:ascii="Arial" w:cs="Arial" w:eastAsia="Arial" w:hAnsi="Arial"/>
          <w:sz w:val="16"/>
          <w:szCs w:val="16"/>
          <w:color w:val="auto"/>
        </w:rPr>
        <w:t>30</w:t>
      </w:r>
    </w:p>
    <w:p>
      <w:pPr>
        <w:spacing w:after="0" w:line="154"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20.7.</w:t>
        <w:tab/>
        <w:t>Amendment, Repeal or Modification</w:t>
      </w:r>
      <w:r>
        <w:rPr>
          <w:sz w:val="20"/>
          <w:szCs w:val="20"/>
          <w:color w:val="auto"/>
        </w:rPr>
        <w:tab/>
      </w:r>
      <w:r>
        <w:rPr>
          <w:rFonts w:ascii="Arial" w:cs="Arial" w:eastAsia="Arial" w:hAnsi="Arial"/>
          <w:sz w:val="16"/>
          <w:szCs w:val="16"/>
          <w:color w:val="auto"/>
        </w:rPr>
        <w:t>31</w:t>
      </w:r>
    </w:p>
    <w:p>
      <w:pPr>
        <w:spacing w:after="0" w:line="167" w:lineRule="exact"/>
        <w:rPr>
          <w:sz w:val="20"/>
          <w:szCs w:val="20"/>
          <w:color w:val="auto"/>
        </w:rPr>
      </w:pPr>
    </w:p>
    <w:p>
      <w:pPr>
        <w:ind w:left="2600"/>
        <w:spacing w:after="0"/>
        <w:tabs>
          <w:tab w:leader="dot" w:pos="9920" w:val="left"/>
        </w:tabs>
        <w:rPr>
          <w:sz w:val="20"/>
          <w:szCs w:val="20"/>
          <w:color w:val="auto"/>
        </w:rPr>
      </w:pPr>
      <w:r>
        <w:rPr>
          <w:rFonts w:ascii="Arial" w:cs="Arial" w:eastAsia="Arial" w:hAnsi="Arial"/>
          <w:sz w:val="16"/>
          <w:szCs w:val="16"/>
          <w:b w:val="1"/>
          <w:bCs w:val="1"/>
          <w:color w:val="auto"/>
        </w:rPr>
        <w:t>PART 21 DIVIDENDS</w:t>
      </w:r>
      <w:r>
        <w:rPr>
          <w:sz w:val="20"/>
          <w:szCs w:val="20"/>
          <w:color w:val="auto"/>
        </w:rPr>
        <w:tab/>
      </w:r>
      <w:r>
        <w:rPr>
          <w:rFonts w:ascii="Arial" w:cs="Arial" w:eastAsia="Arial" w:hAnsi="Arial"/>
          <w:sz w:val="16"/>
          <w:szCs w:val="16"/>
          <w:b w:val="1"/>
          <w:bCs w:val="1"/>
          <w:color w:val="auto"/>
        </w:rPr>
        <w:t>31</w:t>
      </w:r>
    </w:p>
    <w:p>
      <w:pPr>
        <w:spacing w:after="0" w:line="154"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21.1.</w:t>
        <w:tab/>
        <w:t>Payment of Dividends Subject to Special Rights</w:t>
      </w:r>
      <w:r>
        <w:rPr>
          <w:sz w:val="20"/>
          <w:szCs w:val="20"/>
          <w:color w:val="auto"/>
        </w:rPr>
        <w:tab/>
      </w:r>
      <w:r>
        <w:rPr>
          <w:rFonts w:ascii="Arial" w:cs="Arial" w:eastAsia="Arial" w:hAnsi="Arial"/>
          <w:sz w:val="16"/>
          <w:szCs w:val="16"/>
          <w:color w:val="auto"/>
        </w:rPr>
        <w:t>31</w:t>
      </w:r>
    </w:p>
    <w:p>
      <w:pPr>
        <w:spacing w:after="0" w:line="167"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21.2.</w:t>
        <w:tab/>
        <w:t>Declaration of Dividends</w:t>
      </w:r>
      <w:r>
        <w:rPr>
          <w:sz w:val="20"/>
          <w:szCs w:val="20"/>
          <w:color w:val="auto"/>
        </w:rPr>
        <w:tab/>
      </w:r>
      <w:r>
        <w:rPr>
          <w:rFonts w:ascii="Arial" w:cs="Arial" w:eastAsia="Arial" w:hAnsi="Arial"/>
          <w:sz w:val="16"/>
          <w:szCs w:val="16"/>
          <w:color w:val="auto"/>
        </w:rPr>
        <w:t>31</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21.3.</w:t>
        <w:tab/>
        <w:t>No Notice Required</w:t>
      </w:r>
      <w:r>
        <w:rPr>
          <w:sz w:val="20"/>
          <w:szCs w:val="20"/>
          <w:color w:val="auto"/>
        </w:rPr>
        <w:tab/>
      </w:r>
      <w:r>
        <w:rPr>
          <w:rFonts w:ascii="Arial" w:cs="Arial" w:eastAsia="Arial" w:hAnsi="Arial"/>
          <w:sz w:val="16"/>
          <w:szCs w:val="16"/>
          <w:color w:val="auto"/>
        </w:rPr>
        <w:t>31</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21.4.</w:t>
        <w:tab/>
        <w:t>Record Date</w:t>
      </w:r>
      <w:r>
        <w:rPr>
          <w:sz w:val="20"/>
          <w:szCs w:val="20"/>
          <w:color w:val="auto"/>
        </w:rPr>
        <w:tab/>
      </w:r>
      <w:r>
        <w:rPr>
          <w:rFonts w:ascii="Arial" w:cs="Arial" w:eastAsia="Arial" w:hAnsi="Arial"/>
          <w:sz w:val="16"/>
          <w:szCs w:val="16"/>
          <w:color w:val="auto"/>
        </w:rPr>
        <w:t>31</w:t>
      </w:r>
    </w:p>
    <w:p>
      <w:pPr>
        <w:spacing w:after="0" w:line="167"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21.5.</w:t>
        <w:tab/>
        <w:t>Manner of Paying Dividend</w:t>
      </w:r>
      <w:r>
        <w:rPr>
          <w:sz w:val="20"/>
          <w:szCs w:val="20"/>
          <w:color w:val="auto"/>
        </w:rPr>
        <w:tab/>
      </w:r>
      <w:r>
        <w:rPr>
          <w:rFonts w:ascii="Arial" w:cs="Arial" w:eastAsia="Arial" w:hAnsi="Arial"/>
          <w:sz w:val="16"/>
          <w:szCs w:val="16"/>
          <w:color w:val="auto"/>
        </w:rPr>
        <w:t>31</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21.6.</w:t>
        <w:tab/>
        <w:t>Settlement of Difficulties</w:t>
      </w:r>
      <w:r>
        <w:rPr>
          <w:sz w:val="20"/>
          <w:szCs w:val="20"/>
          <w:color w:val="auto"/>
        </w:rPr>
        <w:tab/>
      </w:r>
      <w:r>
        <w:rPr>
          <w:rFonts w:ascii="Arial" w:cs="Arial" w:eastAsia="Arial" w:hAnsi="Arial"/>
          <w:sz w:val="16"/>
          <w:szCs w:val="16"/>
          <w:color w:val="auto"/>
        </w:rPr>
        <w:t>31</w:t>
      </w:r>
    </w:p>
    <w:p>
      <w:pPr>
        <w:spacing w:after="0" w:line="167"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21.7.</w:t>
        <w:tab/>
        <w:t>When Dividend Payable</w:t>
      </w:r>
      <w:r>
        <w:rPr>
          <w:sz w:val="20"/>
          <w:szCs w:val="20"/>
          <w:color w:val="auto"/>
        </w:rPr>
        <w:tab/>
      </w:r>
      <w:r>
        <w:rPr>
          <w:rFonts w:ascii="Arial" w:cs="Arial" w:eastAsia="Arial" w:hAnsi="Arial"/>
          <w:sz w:val="16"/>
          <w:szCs w:val="16"/>
          <w:color w:val="auto"/>
        </w:rPr>
        <w:t>31</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21.8.</w:t>
        <w:tab/>
        <w:t>Dividends to be Paid in Accordance with Number of Shares</w:t>
      </w:r>
      <w:r>
        <w:rPr>
          <w:sz w:val="20"/>
          <w:szCs w:val="20"/>
          <w:color w:val="auto"/>
        </w:rPr>
        <w:tab/>
      </w:r>
      <w:r>
        <w:rPr>
          <w:rFonts w:ascii="Arial" w:cs="Arial" w:eastAsia="Arial" w:hAnsi="Arial"/>
          <w:sz w:val="16"/>
          <w:szCs w:val="16"/>
          <w:color w:val="auto"/>
        </w:rPr>
        <w:t>31</w:t>
      </w:r>
    </w:p>
    <w:p>
      <w:pPr>
        <w:spacing w:after="0" w:line="167"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21.9.</w:t>
        <w:tab/>
        <w:t>Receipt by Joint Shareholders</w:t>
      </w:r>
      <w:r>
        <w:rPr>
          <w:sz w:val="20"/>
          <w:szCs w:val="20"/>
          <w:color w:val="auto"/>
        </w:rPr>
        <w:tab/>
      </w:r>
      <w:r>
        <w:rPr>
          <w:rFonts w:ascii="Arial" w:cs="Arial" w:eastAsia="Arial" w:hAnsi="Arial"/>
          <w:sz w:val="16"/>
          <w:szCs w:val="16"/>
          <w:color w:val="auto"/>
        </w:rPr>
        <w:t>31</w:t>
      </w:r>
    </w:p>
    <w:p>
      <w:pPr>
        <w:spacing w:after="0" w:line="154" w:lineRule="exact"/>
        <w:rPr>
          <w:sz w:val="20"/>
          <w:szCs w:val="20"/>
          <w:color w:val="auto"/>
        </w:rPr>
      </w:pPr>
    </w:p>
    <w:p>
      <w:pPr>
        <w:ind w:left="1740"/>
        <w:spacing w:after="0"/>
        <w:tabs>
          <w:tab w:leader="none" w:pos="2360" w:val="left"/>
          <w:tab w:leader="dot" w:pos="9920" w:val="left"/>
        </w:tabs>
        <w:rPr>
          <w:sz w:val="20"/>
          <w:szCs w:val="20"/>
          <w:color w:val="auto"/>
        </w:rPr>
      </w:pPr>
      <w:r>
        <w:rPr>
          <w:rFonts w:ascii="Arial" w:cs="Arial" w:eastAsia="Arial" w:hAnsi="Arial"/>
          <w:sz w:val="16"/>
          <w:szCs w:val="16"/>
          <w:color w:val="auto"/>
        </w:rPr>
        <w:t>21.10.</w:t>
        <w:tab/>
        <w:t>Dividend Bears No Interest</w:t>
      </w:r>
      <w:r>
        <w:rPr>
          <w:sz w:val="20"/>
          <w:szCs w:val="20"/>
          <w:color w:val="auto"/>
        </w:rPr>
        <w:tab/>
      </w:r>
      <w:r>
        <w:rPr>
          <w:rFonts w:ascii="Arial" w:cs="Arial" w:eastAsia="Arial" w:hAnsi="Arial"/>
          <w:sz w:val="16"/>
          <w:szCs w:val="16"/>
          <w:color w:val="auto"/>
        </w:rPr>
        <w:t>31</w:t>
      </w:r>
    </w:p>
    <w:p>
      <w:pPr>
        <w:spacing w:after="0" w:line="167" w:lineRule="exact"/>
        <w:rPr>
          <w:sz w:val="20"/>
          <w:szCs w:val="20"/>
          <w:color w:val="auto"/>
        </w:rPr>
      </w:pPr>
    </w:p>
    <w:p>
      <w:pPr>
        <w:ind w:left="1780"/>
        <w:spacing w:after="0"/>
        <w:tabs>
          <w:tab w:leader="none" w:pos="2380" w:val="left"/>
          <w:tab w:leader="dot" w:pos="9920" w:val="left"/>
        </w:tabs>
        <w:rPr>
          <w:sz w:val="20"/>
          <w:szCs w:val="20"/>
          <w:color w:val="auto"/>
        </w:rPr>
      </w:pPr>
      <w:r>
        <w:rPr>
          <w:rFonts w:ascii="Arial" w:cs="Arial" w:eastAsia="Arial" w:hAnsi="Arial"/>
          <w:sz w:val="16"/>
          <w:szCs w:val="16"/>
          <w:color w:val="auto"/>
        </w:rPr>
        <w:t>21.11.</w:t>
        <w:tab/>
        <w:t>Fractional Dividends</w:t>
      </w:r>
      <w:r>
        <w:rPr>
          <w:sz w:val="20"/>
          <w:szCs w:val="20"/>
          <w:color w:val="auto"/>
        </w:rPr>
        <w:tab/>
      </w:r>
      <w:r>
        <w:rPr>
          <w:rFonts w:ascii="Arial" w:cs="Arial" w:eastAsia="Arial" w:hAnsi="Arial"/>
          <w:sz w:val="16"/>
          <w:szCs w:val="16"/>
          <w:color w:val="auto"/>
        </w:rPr>
        <w:t>31</w:t>
      </w:r>
    </w:p>
    <w:p>
      <w:pPr>
        <w:spacing w:after="0" w:line="154" w:lineRule="exact"/>
        <w:rPr>
          <w:sz w:val="20"/>
          <w:szCs w:val="20"/>
          <w:color w:val="auto"/>
        </w:rPr>
      </w:pPr>
    </w:p>
    <w:p>
      <w:pPr>
        <w:ind w:left="1740"/>
        <w:spacing w:after="0"/>
        <w:tabs>
          <w:tab w:leader="none" w:pos="2360" w:val="left"/>
          <w:tab w:leader="dot" w:pos="9920" w:val="left"/>
        </w:tabs>
        <w:rPr>
          <w:sz w:val="20"/>
          <w:szCs w:val="20"/>
          <w:color w:val="auto"/>
        </w:rPr>
      </w:pPr>
      <w:r>
        <w:rPr>
          <w:rFonts w:ascii="Arial" w:cs="Arial" w:eastAsia="Arial" w:hAnsi="Arial"/>
          <w:sz w:val="16"/>
          <w:szCs w:val="16"/>
          <w:color w:val="auto"/>
        </w:rPr>
        <w:t>21.12.</w:t>
        <w:tab/>
        <w:t>Payment of Dividends</w:t>
      </w:r>
      <w:r>
        <w:rPr>
          <w:sz w:val="20"/>
          <w:szCs w:val="20"/>
          <w:color w:val="auto"/>
        </w:rPr>
        <w:tab/>
      </w:r>
      <w:r>
        <w:rPr>
          <w:rFonts w:ascii="Arial" w:cs="Arial" w:eastAsia="Arial" w:hAnsi="Arial"/>
          <w:sz w:val="16"/>
          <w:szCs w:val="16"/>
          <w:color w:val="auto"/>
        </w:rPr>
        <w:t>32</w:t>
      </w:r>
    </w:p>
    <w:p>
      <w:pPr>
        <w:spacing w:after="0" w:line="154" w:lineRule="exact"/>
        <w:rPr>
          <w:sz w:val="20"/>
          <w:szCs w:val="20"/>
          <w:color w:val="auto"/>
        </w:rPr>
      </w:pPr>
    </w:p>
    <w:p>
      <w:pPr>
        <w:ind w:left="1760"/>
        <w:spacing w:after="0"/>
        <w:tabs>
          <w:tab w:leader="none" w:pos="2360" w:val="left"/>
          <w:tab w:leader="dot" w:pos="9920" w:val="left"/>
        </w:tabs>
        <w:rPr>
          <w:sz w:val="20"/>
          <w:szCs w:val="20"/>
          <w:color w:val="auto"/>
        </w:rPr>
      </w:pPr>
      <w:r>
        <w:rPr>
          <w:rFonts w:ascii="Arial" w:cs="Arial" w:eastAsia="Arial" w:hAnsi="Arial"/>
          <w:sz w:val="16"/>
          <w:szCs w:val="16"/>
          <w:color w:val="auto"/>
        </w:rPr>
        <w:t>21.13.</w:t>
        <w:tab/>
        <w:t>Capitalization of Surplus</w:t>
      </w:r>
      <w:r>
        <w:rPr>
          <w:sz w:val="20"/>
          <w:szCs w:val="20"/>
          <w:color w:val="auto"/>
        </w:rPr>
        <w:tab/>
      </w:r>
      <w:r>
        <w:rPr>
          <w:rFonts w:ascii="Arial" w:cs="Arial" w:eastAsia="Arial" w:hAnsi="Arial"/>
          <w:sz w:val="16"/>
          <w:szCs w:val="16"/>
          <w:color w:val="auto"/>
        </w:rPr>
        <w:t>32</w:t>
      </w:r>
    </w:p>
    <w:p>
      <w:pPr>
        <w:spacing w:after="0" w:line="167" w:lineRule="exact"/>
        <w:rPr>
          <w:sz w:val="20"/>
          <w:szCs w:val="20"/>
          <w:color w:val="auto"/>
        </w:rPr>
      </w:pPr>
    </w:p>
    <w:p>
      <w:pPr>
        <w:ind w:left="2380"/>
        <w:spacing w:after="0"/>
        <w:tabs>
          <w:tab w:leader="dot" w:pos="9920" w:val="left"/>
        </w:tabs>
        <w:rPr>
          <w:sz w:val="20"/>
          <w:szCs w:val="20"/>
          <w:color w:val="auto"/>
        </w:rPr>
      </w:pPr>
      <w:r>
        <w:rPr>
          <w:rFonts w:ascii="Arial" w:cs="Arial" w:eastAsia="Arial" w:hAnsi="Arial"/>
          <w:sz w:val="16"/>
          <w:szCs w:val="16"/>
          <w:b w:val="1"/>
          <w:bCs w:val="1"/>
          <w:color w:val="auto"/>
        </w:rPr>
        <w:t>PART 22 DOCUMENTS, RECORDS AND REPORTS</w:t>
      </w:r>
      <w:r>
        <w:rPr>
          <w:sz w:val="20"/>
          <w:szCs w:val="20"/>
          <w:color w:val="auto"/>
        </w:rPr>
        <w:tab/>
      </w:r>
      <w:r>
        <w:rPr>
          <w:rFonts w:ascii="Arial" w:cs="Arial" w:eastAsia="Arial" w:hAnsi="Arial"/>
          <w:sz w:val="16"/>
          <w:szCs w:val="16"/>
          <w:b w:val="1"/>
          <w:bCs w:val="1"/>
          <w:color w:val="auto"/>
        </w:rPr>
        <w:t>32</w:t>
      </w:r>
    </w:p>
    <w:p>
      <w:pPr>
        <w:spacing w:after="0" w:line="154"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22.1.</w:t>
        <w:tab/>
        <w:t>Recording of Financial Affairs</w:t>
      </w:r>
      <w:r>
        <w:rPr>
          <w:sz w:val="20"/>
          <w:szCs w:val="20"/>
          <w:color w:val="auto"/>
        </w:rPr>
        <w:tab/>
      </w:r>
      <w:r>
        <w:rPr>
          <w:rFonts w:ascii="Arial" w:cs="Arial" w:eastAsia="Arial" w:hAnsi="Arial"/>
          <w:sz w:val="16"/>
          <w:szCs w:val="16"/>
          <w:color w:val="auto"/>
        </w:rPr>
        <w:t>32</w:t>
      </w:r>
    </w:p>
    <w:p>
      <w:pPr>
        <w:spacing w:after="0" w:line="167" w:lineRule="exact"/>
        <w:rPr>
          <w:sz w:val="20"/>
          <w:szCs w:val="20"/>
          <w:color w:val="auto"/>
        </w:rPr>
      </w:pPr>
    </w:p>
    <w:p>
      <w:pPr>
        <w:ind w:left="1800"/>
        <w:spacing w:after="0"/>
        <w:tabs>
          <w:tab w:leader="none" w:pos="2320" w:val="left"/>
          <w:tab w:leader="dot" w:pos="9920" w:val="left"/>
        </w:tabs>
        <w:rPr>
          <w:sz w:val="20"/>
          <w:szCs w:val="20"/>
          <w:color w:val="auto"/>
        </w:rPr>
      </w:pPr>
      <w:r>
        <w:rPr>
          <w:rFonts w:ascii="Arial" w:cs="Arial" w:eastAsia="Arial" w:hAnsi="Arial"/>
          <w:sz w:val="16"/>
          <w:szCs w:val="16"/>
          <w:color w:val="auto"/>
        </w:rPr>
        <w:t>22.2.</w:t>
        <w:tab/>
        <w:t>Inspection of Records</w:t>
      </w:r>
      <w:r>
        <w:rPr>
          <w:sz w:val="20"/>
          <w:szCs w:val="20"/>
          <w:color w:val="auto"/>
        </w:rPr>
        <w:tab/>
      </w:r>
      <w:r>
        <w:rPr>
          <w:rFonts w:ascii="Arial" w:cs="Arial" w:eastAsia="Arial" w:hAnsi="Arial"/>
          <w:sz w:val="16"/>
          <w:szCs w:val="16"/>
          <w:color w:val="auto"/>
        </w:rPr>
        <w:t>32</w:t>
      </w:r>
    </w:p>
    <w:p>
      <w:pPr>
        <w:spacing w:after="0" w:line="154" w:lineRule="exact"/>
        <w:rPr>
          <w:sz w:val="20"/>
          <w:szCs w:val="20"/>
          <w:color w:val="auto"/>
        </w:rPr>
      </w:pPr>
    </w:p>
    <w:p>
      <w:pPr>
        <w:ind w:left="2580"/>
        <w:spacing w:after="0"/>
        <w:tabs>
          <w:tab w:leader="dot" w:pos="9920" w:val="left"/>
        </w:tabs>
        <w:rPr>
          <w:sz w:val="20"/>
          <w:szCs w:val="20"/>
          <w:color w:val="auto"/>
        </w:rPr>
      </w:pPr>
      <w:r>
        <w:rPr>
          <w:rFonts w:ascii="Arial" w:cs="Arial" w:eastAsia="Arial" w:hAnsi="Arial"/>
          <w:sz w:val="16"/>
          <w:szCs w:val="16"/>
          <w:b w:val="1"/>
          <w:bCs w:val="1"/>
          <w:color w:val="auto"/>
        </w:rPr>
        <w:t>PART 23 NOTICES</w:t>
      </w:r>
      <w:r>
        <w:rPr>
          <w:sz w:val="20"/>
          <w:szCs w:val="20"/>
          <w:color w:val="auto"/>
        </w:rPr>
        <w:tab/>
      </w:r>
      <w:r>
        <w:rPr>
          <w:rFonts w:ascii="Arial" w:cs="Arial" w:eastAsia="Arial" w:hAnsi="Arial"/>
          <w:sz w:val="16"/>
          <w:szCs w:val="16"/>
          <w:b w:val="1"/>
          <w:bCs w:val="1"/>
          <w:color w:val="auto"/>
        </w:rPr>
        <w:t>32</w:t>
      </w:r>
    </w:p>
    <w:p>
      <w:pPr>
        <w:spacing w:after="0" w:line="167" w:lineRule="exact"/>
        <w:rPr>
          <w:sz w:val="20"/>
          <w:szCs w:val="20"/>
          <w:color w:val="auto"/>
        </w:rPr>
      </w:pPr>
    </w:p>
    <w:p>
      <w:pPr>
        <w:ind w:left="1900"/>
        <w:spacing w:after="0"/>
        <w:tabs>
          <w:tab w:leader="none" w:pos="2440" w:val="left"/>
          <w:tab w:leader="dot" w:pos="9920" w:val="left"/>
        </w:tabs>
        <w:rPr>
          <w:sz w:val="20"/>
          <w:szCs w:val="20"/>
          <w:color w:val="auto"/>
        </w:rPr>
      </w:pPr>
      <w:r>
        <w:rPr>
          <w:rFonts w:ascii="Arial" w:cs="Arial" w:eastAsia="Arial" w:hAnsi="Arial"/>
          <w:sz w:val="16"/>
          <w:szCs w:val="16"/>
          <w:color w:val="auto"/>
        </w:rPr>
        <w:t>23.1.</w:t>
        <w:tab/>
        <w:t>Method of Giving Notice</w:t>
      </w:r>
      <w:r>
        <w:rPr>
          <w:sz w:val="20"/>
          <w:szCs w:val="20"/>
          <w:color w:val="auto"/>
        </w:rPr>
        <w:tab/>
      </w:r>
      <w:r>
        <w:rPr>
          <w:rFonts w:ascii="Arial" w:cs="Arial" w:eastAsia="Arial" w:hAnsi="Arial"/>
          <w:sz w:val="16"/>
          <w:szCs w:val="16"/>
          <w:color w:val="auto"/>
        </w:rPr>
        <w:t>32</w:t>
      </w:r>
    </w:p>
    <w:p>
      <w:pPr>
        <w:spacing w:after="0" w:line="154"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23.2.</w:t>
        <w:tab/>
        <w:t>Deemed Receipt of Mailing</w:t>
      </w:r>
      <w:r>
        <w:rPr>
          <w:sz w:val="20"/>
          <w:szCs w:val="20"/>
          <w:color w:val="auto"/>
        </w:rPr>
        <w:tab/>
      </w:r>
      <w:r>
        <w:rPr>
          <w:rFonts w:ascii="Arial" w:cs="Arial" w:eastAsia="Arial" w:hAnsi="Arial"/>
          <w:sz w:val="16"/>
          <w:szCs w:val="16"/>
          <w:color w:val="auto"/>
        </w:rPr>
        <w:t>33</w:t>
      </w:r>
    </w:p>
    <w:p>
      <w:pPr>
        <w:spacing w:after="0" w:line="154" w:lineRule="exact"/>
        <w:rPr>
          <w:sz w:val="20"/>
          <w:szCs w:val="20"/>
          <w:color w:val="auto"/>
        </w:rPr>
      </w:pPr>
    </w:p>
    <w:p>
      <w:pPr>
        <w:ind w:left="1860"/>
        <w:spacing w:after="0"/>
        <w:tabs>
          <w:tab w:leader="none" w:pos="2380" w:val="left"/>
          <w:tab w:leader="dot" w:pos="9920" w:val="left"/>
        </w:tabs>
        <w:rPr>
          <w:sz w:val="20"/>
          <w:szCs w:val="20"/>
          <w:color w:val="auto"/>
        </w:rPr>
      </w:pPr>
      <w:r>
        <w:rPr>
          <w:rFonts w:ascii="Arial" w:cs="Arial" w:eastAsia="Arial" w:hAnsi="Arial"/>
          <w:sz w:val="16"/>
          <w:szCs w:val="16"/>
          <w:color w:val="auto"/>
        </w:rPr>
        <w:t>23.3.</w:t>
        <w:tab/>
        <w:t>Certificate of Sending</w:t>
      </w:r>
      <w:r>
        <w:rPr>
          <w:sz w:val="20"/>
          <w:szCs w:val="20"/>
          <w:color w:val="auto"/>
        </w:rPr>
        <w:tab/>
      </w:r>
      <w:r>
        <w:rPr>
          <w:rFonts w:ascii="Arial" w:cs="Arial" w:eastAsia="Arial" w:hAnsi="Arial"/>
          <w:sz w:val="16"/>
          <w:szCs w:val="16"/>
          <w:color w:val="auto"/>
        </w:rPr>
        <w:t>33</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23.4.</w:t>
        <w:tab/>
        <w:t>Notice to Joint Shareholders</w:t>
      </w:r>
      <w:r>
        <w:rPr>
          <w:sz w:val="20"/>
          <w:szCs w:val="20"/>
          <w:color w:val="auto"/>
        </w:rPr>
        <w:tab/>
      </w:r>
      <w:r>
        <w:rPr>
          <w:rFonts w:ascii="Arial" w:cs="Arial" w:eastAsia="Arial" w:hAnsi="Arial"/>
          <w:sz w:val="16"/>
          <w:szCs w:val="16"/>
          <w:color w:val="auto"/>
        </w:rPr>
        <w:t>33</w:t>
      </w:r>
    </w:p>
    <w:p>
      <w:pPr>
        <w:spacing w:after="0" w:line="154"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23.5.</w:t>
        <w:tab/>
        <w:t>Notice to Trustees</w:t>
      </w:r>
      <w:r>
        <w:rPr>
          <w:sz w:val="20"/>
          <w:szCs w:val="20"/>
          <w:color w:val="auto"/>
        </w:rPr>
        <w:tab/>
      </w:r>
      <w:r>
        <w:rPr>
          <w:rFonts w:ascii="Arial" w:cs="Arial" w:eastAsia="Arial" w:hAnsi="Arial"/>
          <w:sz w:val="16"/>
          <w:szCs w:val="16"/>
          <w:color w:val="auto"/>
        </w:rPr>
        <w:t>33</w:t>
      </w:r>
    </w:p>
    <w:p>
      <w:pPr>
        <w:spacing w:after="0" w:line="167" w:lineRule="exact"/>
        <w:rPr>
          <w:sz w:val="20"/>
          <w:szCs w:val="20"/>
          <w:color w:val="auto"/>
        </w:rPr>
      </w:pPr>
    </w:p>
    <w:p>
      <w:pPr>
        <w:ind w:left="2420"/>
        <w:spacing w:after="0"/>
        <w:tabs>
          <w:tab w:leader="dot" w:pos="9920" w:val="left"/>
        </w:tabs>
        <w:rPr>
          <w:sz w:val="20"/>
          <w:szCs w:val="20"/>
          <w:color w:val="auto"/>
        </w:rPr>
      </w:pPr>
      <w:r>
        <w:rPr>
          <w:rFonts w:ascii="Arial" w:cs="Arial" w:eastAsia="Arial" w:hAnsi="Arial"/>
          <w:sz w:val="16"/>
          <w:szCs w:val="16"/>
          <w:b w:val="1"/>
          <w:bCs w:val="1"/>
          <w:color w:val="auto"/>
        </w:rPr>
        <w:t>PART 24 SEAL AND EXECUTION OF DOCUMENTS</w:t>
      </w:r>
      <w:r>
        <w:rPr>
          <w:sz w:val="20"/>
          <w:szCs w:val="20"/>
          <w:color w:val="auto"/>
        </w:rPr>
        <w:tab/>
      </w:r>
      <w:r>
        <w:rPr>
          <w:rFonts w:ascii="Arial" w:cs="Arial" w:eastAsia="Arial" w:hAnsi="Arial"/>
          <w:sz w:val="16"/>
          <w:szCs w:val="16"/>
          <w:b w:val="1"/>
          <w:bCs w:val="1"/>
          <w:color w:val="auto"/>
        </w:rPr>
        <w:t>33</w:t>
      </w:r>
    </w:p>
    <w:p>
      <w:pPr>
        <w:spacing w:after="0" w:line="154" w:lineRule="exact"/>
        <w:rPr>
          <w:sz w:val="20"/>
          <w:szCs w:val="20"/>
          <w:color w:val="auto"/>
        </w:rPr>
      </w:pPr>
    </w:p>
    <w:p>
      <w:pPr>
        <w:ind w:left="1820"/>
        <w:spacing w:after="0"/>
        <w:tabs>
          <w:tab w:leader="none" w:pos="2380" w:val="left"/>
          <w:tab w:leader="dot" w:pos="9920" w:val="left"/>
        </w:tabs>
        <w:rPr>
          <w:sz w:val="20"/>
          <w:szCs w:val="20"/>
          <w:color w:val="auto"/>
        </w:rPr>
      </w:pPr>
      <w:r>
        <w:rPr>
          <w:rFonts w:ascii="Arial" w:cs="Arial" w:eastAsia="Arial" w:hAnsi="Arial"/>
          <w:sz w:val="16"/>
          <w:szCs w:val="16"/>
          <w:color w:val="auto"/>
        </w:rPr>
        <w:t>24.1.</w:t>
        <w:tab/>
        <w:t>Who May Attest Seal</w:t>
      </w:r>
      <w:r>
        <w:rPr>
          <w:sz w:val="20"/>
          <w:szCs w:val="20"/>
          <w:color w:val="auto"/>
        </w:rPr>
        <w:tab/>
      </w:r>
      <w:r>
        <w:rPr>
          <w:rFonts w:ascii="Arial" w:cs="Arial" w:eastAsia="Arial" w:hAnsi="Arial"/>
          <w:sz w:val="16"/>
          <w:szCs w:val="16"/>
          <w:color w:val="auto"/>
        </w:rPr>
        <w:t>33</w:t>
      </w:r>
    </w:p>
    <w:p>
      <w:pPr>
        <w:spacing w:after="0" w:line="167"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24.2.</w:t>
        <w:tab/>
        <w:t>Sealing Copies</w:t>
      </w:r>
      <w:r>
        <w:rPr>
          <w:sz w:val="20"/>
          <w:szCs w:val="20"/>
          <w:color w:val="auto"/>
        </w:rPr>
        <w:tab/>
      </w:r>
      <w:r>
        <w:rPr>
          <w:rFonts w:ascii="Arial" w:cs="Arial" w:eastAsia="Arial" w:hAnsi="Arial"/>
          <w:sz w:val="16"/>
          <w:szCs w:val="16"/>
          <w:color w:val="auto"/>
        </w:rPr>
        <w:t>34</w:t>
      </w:r>
    </w:p>
    <w:p>
      <w:pPr>
        <w:spacing w:after="0" w:line="154"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24.3.</w:t>
        <w:tab/>
        <w:t>Mechanical Reproduction of Seal</w:t>
      </w:r>
      <w:r>
        <w:rPr>
          <w:sz w:val="20"/>
          <w:szCs w:val="20"/>
          <w:color w:val="auto"/>
        </w:rPr>
        <w:tab/>
      </w:r>
      <w:r>
        <w:rPr>
          <w:rFonts w:ascii="Arial" w:cs="Arial" w:eastAsia="Arial" w:hAnsi="Arial"/>
          <w:sz w:val="16"/>
          <w:szCs w:val="16"/>
          <w:color w:val="auto"/>
        </w:rPr>
        <w:t>34</w:t>
      </w:r>
    </w:p>
    <w:p>
      <w:pPr>
        <w:spacing w:after="0" w:line="167" w:lineRule="exact"/>
        <w:rPr>
          <w:sz w:val="20"/>
          <w:szCs w:val="20"/>
          <w:color w:val="auto"/>
        </w:rPr>
      </w:pPr>
    </w:p>
    <w:p>
      <w:pPr>
        <w:ind w:left="1880"/>
        <w:spacing w:after="0"/>
        <w:tabs>
          <w:tab w:leader="none" w:pos="2400" w:val="left"/>
          <w:tab w:leader="dot" w:pos="9920" w:val="left"/>
        </w:tabs>
        <w:rPr>
          <w:sz w:val="20"/>
          <w:szCs w:val="20"/>
          <w:color w:val="auto"/>
        </w:rPr>
      </w:pPr>
      <w:r>
        <w:rPr>
          <w:rFonts w:ascii="Arial" w:cs="Arial" w:eastAsia="Arial" w:hAnsi="Arial"/>
          <w:sz w:val="16"/>
          <w:szCs w:val="16"/>
          <w:color w:val="auto"/>
        </w:rPr>
        <w:t>24.4.</w:t>
        <w:tab/>
        <w:t>Execution of Documents Generally</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1148080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2" w:name="page83"/>
    <w:bookmarkEnd w:id="82"/>
    <w:p>
      <w:pPr>
        <w:spacing w:after="0" w:line="387"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auto"/>
        </w:rPr>
        <w:t>PART 25 COMMON SHARES SPECIAL RIGHTS AND RESTRICTIONS.................................................…. 34</w:t>
      </w:r>
    </w:p>
    <w:p>
      <w:pPr>
        <w:spacing w:after="0" w:line="154" w:lineRule="exact"/>
        <w:rPr>
          <w:sz w:val="20"/>
          <w:szCs w:val="20"/>
          <w:color w:val="auto"/>
        </w:rPr>
      </w:pPr>
    </w:p>
    <w:p>
      <w:pPr>
        <w:ind w:left="1800"/>
        <w:spacing w:after="0"/>
        <w:tabs>
          <w:tab w:leader="none" w:pos="2320" w:val="left"/>
          <w:tab w:leader="dot" w:pos="9920" w:val="left"/>
        </w:tabs>
        <w:rPr>
          <w:sz w:val="20"/>
          <w:szCs w:val="20"/>
          <w:color w:val="auto"/>
        </w:rPr>
      </w:pPr>
      <w:r>
        <w:rPr>
          <w:rFonts w:ascii="Arial" w:cs="Arial" w:eastAsia="Arial" w:hAnsi="Arial"/>
          <w:sz w:val="16"/>
          <w:szCs w:val="16"/>
          <w:color w:val="auto"/>
        </w:rPr>
        <w:t>25.1.</w:t>
        <w:tab/>
        <w:t>Special Rights and Restrictions</w:t>
      </w:r>
      <w:r>
        <w:rPr>
          <w:sz w:val="20"/>
          <w:szCs w:val="20"/>
          <w:color w:val="auto"/>
        </w:rPr>
        <w:tab/>
      </w:r>
      <w:r>
        <w:rPr>
          <w:rFonts w:ascii="Arial" w:cs="Arial" w:eastAsia="Arial" w:hAnsi="Arial"/>
          <w:sz w:val="16"/>
          <w:szCs w:val="16"/>
          <w:color w:val="auto"/>
        </w:rPr>
        <w:t>34</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25.2.</w:t>
        <w:tab/>
        <w:t>Voting Rights</w:t>
      </w:r>
      <w:r>
        <w:rPr>
          <w:sz w:val="20"/>
          <w:szCs w:val="20"/>
          <w:color w:val="auto"/>
        </w:rPr>
        <w:tab/>
      </w:r>
      <w:r>
        <w:rPr>
          <w:rFonts w:ascii="Arial" w:cs="Arial" w:eastAsia="Arial" w:hAnsi="Arial"/>
          <w:sz w:val="16"/>
          <w:szCs w:val="16"/>
          <w:color w:val="auto"/>
        </w:rPr>
        <w:t>34</w:t>
      </w:r>
    </w:p>
    <w:p>
      <w:pPr>
        <w:spacing w:after="0" w:line="167" w:lineRule="exact"/>
        <w:rPr>
          <w:sz w:val="20"/>
          <w:szCs w:val="20"/>
          <w:color w:val="auto"/>
        </w:rPr>
      </w:pPr>
    </w:p>
    <w:p>
      <w:pPr>
        <w:ind w:left="1840"/>
        <w:spacing w:after="0"/>
        <w:tabs>
          <w:tab w:leader="none" w:pos="2360" w:val="left"/>
          <w:tab w:leader="dot" w:pos="9920" w:val="left"/>
        </w:tabs>
        <w:rPr>
          <w:sz w:val="20"/>
          <w:szCs w:val="20"/>
          <w:color w:val="auto"/>
        </w:rPr>
      </w:pPr>
      <w:r>
        <w:rPr>
          <w:rFonts w:ascii="Arial" w:cs="Arial" w:eastAsia="Arial" w:hAnsi="Arial"/>
          <w:sz w:val="16"/>
          <w:szCs w:val="16"/>
          <w:color w:val="auto"/>
        </w:rPr>
        <w:t>25.3.</w:t>
        <w:tab/>
        <w:t>Dividends</w:t>
      </w:r>
      <w:r>
        <w:rPr>
          <w:sz w:val="20"/>
          <w:szCs w:val="20"/>
          <w:color w:val="auto"/>
        </w:rPr>
        <w:tab/>
      </w:r>
      <w:r>
        <w:rPr>
          <w:rFonts w:ascii="Arial" w:cs="Arial" w:eastAsia="Arial" w:hAnsi="Arial"/>
          <w:sz w:val="16"/>
          <w:szCs w:val="16"/>
          <w:color w:val="auto"/>
        </w:rPr>
        <w:t>34</w:t>
      </w:r>
    </w:p>
    <w:p>
      <w:pPr>
        <w:spacing w:after="0" w:line="154" w:lineRule="exact"/>
        <w:rPr>
          <w:sz w:val="20"/>
          <w:szCs w:val="20"/>
          <w:color w:val="auto"/>
        </w:rPr>
      </w:pPr>
    </w:p>
    <w:p>
      <w:pPr>
        <w:ind w:left="1820"/>
        <w:spacing w:after="0"/>
        <w:tabs>
          <w:tab w:leader="none" w:pos="2340" w:val="left"/>
          <w:tab w:leader="dot" w:pos="9920" w:val="left"/>
        </w:tabs>
        <w:rPr>
          <w:sz w:val="20"/>
          <w:szCs w:val="20"/>
          <w:color w:val="auto"/>
        </w:rPr>
      </w:pPr>
      <w:r>
        <w:rPr>
          <w:rFonts w:ascii="Arial" w:cs="Arial" w:eastAsia="Arial" w:hAnsi="Arial"/>
          <w:sz w:val="16"/>
          <w:szCs w:val="16"/>
          <w:color w:val="auto"/>
        </w:rPr>
        <w:t>25.4.</w:t>
        <w:tab/>
        <w:t>Dissolution</w:t>
      </w:r>
      <w:r>
        <w:rPr>
          <w:sz w:val="20"/>
          <w:szCs w:val="20"/>
          <w:color w:val="auto"/>
        </w:rPr>
        <w:tab/>
      </w:r>
      <w:r>
        <w:rPr>
          <w:rFonts w:ascii="Arial" w:cs="Arial" w:eastAsia="Arial" w:hAnsi="Arial"/>
          <w:sz w:val="16"/>
          <w:szCs w:val="16"/>
          <w:color w:val="auto"/>
        </w:rPr>
        <w:t>35</w:t>
      </w:r>
    </w:p>
    <w:p>
      <w:pPr>
        <w:spacing w:after="0" w:line="167" w:lineRule="exact"/>
        <w:rPr>
          <w:sz w:val="20"/>
          <w:szCs w:val="20"/>
          <w:color w:val="auto"/>
        </w:rPr>
      </w:pPr>
    </w:p>
    <w:p>
      <w:pPr>
        <w:ind w:left="2000"/>
        <w:spacing w:after="0"/>
        <w:tabs>
          <w:tab w:leader="dot" w:pos="9920" w:val="left"/>
        </w:tabs>
        <w:rPr>
          <w:sz w:val="20"/>
          <w:szCs w:val="20"/>
          <w:color w:val="auto"/>
        </w:rPr>
      </w:pPr>
      <w:r>
        <w:rPr>
          <w:rFonts w:ascii="Arial" w:cs="Arial" w:eastAsia="Arial" w:hAnsi="Arial"/>
          <w:sz w:val="16"/>
          <w:szCs w:val="16"/>
          <w:b w:val="1"/>
          <w:bCs w:val="1"/>
          <w:color w:val="auto"/>
        </w:rPr>
        <w:t>PART 26 CLASS A PREFERRED SHARES SPECIAL RIGHTS AND RESTRICTIONS</w:t>
      </w:r>
      <w:r>
        <w:rPr>
          <w:sz w:val="20"/>
          <w:szCs w:val="20"/>
          <w:color w:val="auto"/>
        </w:rPr>
        <w:tab/>
      </w:r>
      <w:r>
        <w:rPr>
          <w:rFonts w:ascii="Arial" w:cs="Arial" w:eastAsia="Arial" w:hAnsi="Arial"/>
          <w:sz w:val="16"/>
          <w:szCs w:val="16"/>
          <w:b w:val="1"/>
          <w:bCs w:val="1"/>
          <w:color w:val="auto"/>
        </w:rPr>
        <w:t>35</w:t>
      </w:r>
    </w:p>
    <w:p>
      <w:pPr>
        <w:spacing w:after="0" w:line="154" w:lineRule="exact"/>
        <w:rPr>
          <w:sz w:val="20"/>
          <w:szCs w:val="20"/>
          <w:color w:val="auto"/>
        </w:rPr>
      </w:pPr>
    </w:p>
    <w:p>
      <w:pPr>
        <w:ind w:left="1780"/>
        <w:spacing w:after="0"/>
        <w:tabs>
          <w:tab w:leader="none" w:pos="2340" w:val="left"/>
        </w:tabs>
        <w:rPr>
          <w:sz w:val="20"/>
          <w:szCs w:val="20"/>
          <w:color w:val="auto"/>
        </w:rPr>
      </w:pPr>
      <w:r>
        <w:rPr>
          <w:rFonts w:ascii="Arial" w:cs="Arial" w:eastAsia="Arial" w:hAnsi="Arial"/>
          <w:sz w:val="16"/>
          <w:szCs w:val="16"/>
          <w:color w:val="auto"/>
        </w:rPr>
        <w:t>26.1.</w:t>
        <w:tab/>
        <w:t>Special Rights and Restrictions...............................................................................................................…... 35</w:t>
      </w:r>
    </w:p>
    <w:p>
      <w:pPr>
        <w:spacing w:after="0" w:line="167" w:lineRule="exact"/>
        <w:rPr>
          <w:sz w:val="20"/>
          <w:szCs w:val="20"/>
          <w:color w:val="auto"/>
        </w:rPr>
      </w:pPr>
    </w:p>
    <w:p>
      <w:pPr>
        <w:ind w:left="1900"/>
        <w:spacing w:after="0"/>
        <w:tabs>
          <w:tab w:leader="dot" w:pos="9920" w:val="left"/>
        </w:tabs>
        <w:rPr>
          <w:sz w:val="20"/>
          <w:szCs w:val="20"/>
          <w:color w:val="auto"/>
        </w:rPr>
      </w:pPr>
      <w:r>
        <w:rPr>
          <w:rFonts w:ascii="Arial" w:cs="Arial" w:eastAsia="Arial" w:hAnsi="Arial"/>
          <w:sz w:val="16"/>
          <w:szCs w:val="16"/>
          <w:b w:val="1"/>
          <w:bCs w:val="1"/>
          <w:color w:val="auto"/>
        </w:rPr>
        <w:t>PART 27 CLASS A SERIES 1 PREFERRED SHARES SPECIAL RIGHTS AND RESTRICTIONS</w:t>
      </w:r>
      <w:r>
        <w:rPr>
          <w:sz w:val="20"/>
          <w:szCs w:val="20"/>
          <w:color w:val="auto"/>
        </w:rPr>
        <w:tab/>
      </w:r>
      <w:r>
        <w:rPr>
          <w:rFonts w:ascii="Arial" w:cs="Arial" w:eastAsia="Arial" w:hAnsi="Arial"/>
          <w:sz w:val="16"/>
          <w:szCs w:val="16"/>
          <w:b w:val="1"/>
          <w:bCs w:val="1"/>
          <w:color w:val="auto"/>
        </w:rPr>
        <w:t>36</w:t>
      </w:r>
    </w:p>
    <w:p>
      <w:pPr>
        <w:spacing w:after="0" w:line="154" w:lineRule="exact"/>
        <w:rPr>
          <w:sz w:val="20"/>
          <w:szCs w:val="20"/>
          <w:color w:val="auto"/>
        </w:rPr>
      </w:pPr>
    </w:p>
    <w:p>
      <w:pPr>
        <w:ind w:left="2000"/>
        <w:spacing w:after="0"/>
        <w:tabs>
          <w:tab w:leader="dot" w:pos="9920" w:val="left"/>
        </w:tabs>
        <w:rPr>
          <w:sz w:val="20"/>
          <w:szCs w:val="20"/>
          <w:color w:val="auto"/>
        </w:rPr>
      </w:pPr>
      <w:r>
        <w:rPr>
          <w:rFonts w:ascii="Arial" w:cs="Arial" w:eastAsia="Arial" w:hAnsi="Arial"/>
          <w:sz w:val="16"/>
          <w:szCs w:val="16"/>
          <w:b w:val="1"/>
          <w:bCs w:val="1"/>
          <w:color w:val="auto"/>
        </w:rPr>
        <w:t>PART 28 CLASS B PREFERRED SHARES SPECIAL RIGHTS AND RESTRICTIONS</w:t>
      </w:r>
      <w:r>
        <w:rPr>
          <w:sz w:val="20"/>
          <w:szCs w:val="20"/>
          <w:color w:val="auto"/>
        </w:rPr>
        <w:tab/>
      </w:r>
      <w:r>
        <w:rPr>
          <w:rFonts w:ascii="Arial" w:cs="Arial" w:eastAsia="Arial" w:hAnsi="Arial"/>
          <w:sz w:val="16"/>
          <w:szCs w:val="16"/>
          <w:b w:val="1"/>
          <w:bCs w:val="1"/>
          <w:color w:val="auto"/>
        </w:rPr>
        <w:t>36</w:t>
      </w:r>
    </w:p>
    <w:p>
      <w:pPr>
        <w:spacing w:after="0" w:line="154" w:lineRule="exact"/>
        <w:rPr>
          <w:sz w:val="20"/>
          <w:szCs w:val="20"/>
          <w:color w:val="auto"/>
        </w:rPr>
      </w:pPr>
    </w:p>
    <w:p>
      <w:pPr>
        <w:ind w:left="1800"/>
        <w:spacing w:after="0"/>
        <w:tabs>
          <w:tab w:leader="none" w:pos="2320" w:val="left"/>
          <w:tab w:leader="dot" w:pos="9920" w:val="left"/>
        </w:tabs>
        <w:rPr>
          <w:sz w:val="20"/>
          <w:szCs w:val="20"/>
          <w:color w:val="auto"/>
        </w:rPr>
      </w:pPr>
      <w:r>
        <w:rPr>
          <w:rFonts w:ascii="Arial" w:cs="Arial" w:eastAsia="Arial" w:hAnsi="Arial"/>
          <w:sz w:val="16"/>
          <w:szCs w:val="16"/>
          <w:color w:val="auto"/>
        </w:rPr>
        <w:t>28.1.</w:t>
        <w:tab/>
        <w:t>Special Rights and Restrictions</w:t>
      </w:r>
      <w:r>
        <w:rPr>
          <w:sz w:val="20"/>
          <w:szCs w:val="20"/>
          <w:color w:val="auto"/>
        </w:rPr>
        <w:tab/>
      </w:r>
      <w:r>
        <w:rPr>
          <w:rFonts w:ascii="Arial" w:cs="Arial" w:eastAsia="Arial" w:hAnsi="Arial"/>
          <w:sz w:val="16"/>
          <w:szCs w:val="16"/>
          <w:color w:val="auto"/>
        </w:rPr>
        <w:t>36</w:t>
      </w:r>
    </w:p>
    <w:p>
      <w:pPr>
        <w:spacing w:after="0" w:line="167" w:lineRule="exact"/>
        <w:rPr>
          <w:sz w:val="20"/>
          <w:szCs w:val="20"/>
          <w:color w:val="auto"/>
        </w:rPr>
      </w:pPr>
    </w:p>
    <w:p>
      <w:pPr>
        <w:ind w:left="1860"/>
        <w:spacing w:after="0"/>
        <w:tabs>
          <w:tab w:leader="dot" w:pos="9740" w:val="left"/>
        </w:tabs>
        <w:rPr>
          <w:sz w:val="20"/>
          <w:szCs w:val="20"/>
          <w:color w:val="auto"/>
        </w:rPr>
      </w:pPr>
      <w:r>
        <w:rPr>
          <w:rFonts w:ascii="Arial" w:cs="Arial" w:eastAsia="Arial" w:hAnsi="Arial"/>
          <w:sz w:val="16"/>
          <w:szCs w:val="16"/>
          <w:b w:val="1"/>
          <w:bCs w:val="1"/>
          <w:color w:val="auto"/>
        </w:rPr>
        <w:t>PART 29 CLASS B SERIES 1 PREFERRED SHARES SPECIAL RIGHTS AND RESTRICTIONS..</w:t>
      </w:r>
      <w:r>
        <w:rPr>
          <w:sz w:val="20"/>
          <w:szCs w:val="20"/>
          <w:color w:val="auto"/>
        </w:rPr>
        <w:tab/>
      </w:r>
      <w:r>
        <w:rPr>
          <w:rFonts w:ascii="Arial" w:cs="Arial" w:eastAsia="Arial" w:hAnsi="Arial"/>
          <w:sz w:val="16"/>
          <w:szCs w:val="16"/>
          <w:color w:val="FF0000"/>
        </w:rPr>
        <w:t>41</w:t>
      </w:r>
      <w:r>
        <w:rPr>
          <w:rFonts w:ascii="Arial" w:cs="Arial" w:eastAsia="Arial" w:hAnsi="Arial"/>
          <w:sz w:val="16"/>
          <w:szCs w:val="16"/>
          <w:color w:val="0000FF"/>
        </w:rPr>
        <w:t>38</w:t>
      </w:r>
    </w:p>
    <w:p>
      <w:pPr>
        <w:spacing w:after="0" w:line="154" w:lineRule="exact"/>
        <w:rPr>
          <w:sz w:val="20"/>
          <w:szCs w:val="20"/>
          <w:color w:val="auto"/>
        </w:rPr>
      </w:pPr>
    </w:p>
    <w:p>
      <w:pPr>
        <w:ind w:left="1840"/>
        <w:spacing w:after="0"/>
        <w:tabs>
          <w:tab w:leader="none" w:pos="2320" w:val="left"/>
          <w:tab w:leader="dot" w:pos="9740" w:val="left"/>
        </w:tabs>
        <w:rPr>
          <w:sz w:val="20"/>
          <w:szCs w:val="20"/>
          <w:color w:val="auto"/>
        </w:rPr>
      </w:pPr>
      <w:r>
        <w:rPr>
          <w:rFonts w:ascii="Arial" w:cs="Arial" w:eastAsia="Arial" w:hAnsi="Arial"/>
          <w:sz w:val="16"/>
          <w:szCs w:val="16"/>
          <w:color w:val="auto"/>
        </w:rPr>
        <w:t>29.1</w:t>
        <w:tab/>
        <w:t>Special Rights and Restrictions</w:t>
      </w:r>
      <w:r>
        <w:rPr>
          <w:sz w:val="20"/>
          <w:szCs w:val="20"/>
          <w:color w:val="auto"/>
        </w:rPr>
        <w:tab/>
      </w:r>
      <w:r>
        <w:rPr>
          <w:rFonts w:ascii="Arial" w:cs="Arial" w:eastAsia="Arial" w:hAnsi="Arial"/>
          <w:sz w:val="16"/>
          <w:szCs w:val="16"/>
          <w:color w:val="FF0000"/>
        </w:rPr>
        <w:t>41</w:t>
      </w:r>
      <w:r>
        <w:rPr>
          <w:rFonts w:ascii="Arial" w:cs="Arial" w:eastAsia="Arial" w:hAnsi="Arial"/>
          <w:sz w:val="16"/>
          <w:szCs w:val="16"/>
          <w:color w:val="0000F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1482725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w:t>
      </w:r>
    </w:p>
    <w:p>
      <w:pPr>
        <w:sectPr>
          <w:pgSz w:w="11900" w:h="16838" w:orient="portrait"/>
          <w:cols w:equalWidth="0" w:num="1">
            <w:col w:w="11240"/>
          </w:cols>
          <w:pgMar w:left="320" w:top="233" w:right="339" w:bottom="1440" w:gutter="0" w:footer="0" w:header="0"/>
        </w:sectPr>
      </w:pPr>
    </w:p>
    <w:p>
      <w:pPr>
        <w:spacing w:after="0" w:line="31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Company Name:</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CIVEO CORPORATION</w:t>
      </w:r>
    </w:p>
    <w:p>
      <w:pPr>
        <w:spacing w:after="0" w:line="59" w:lineRule="exact"/>
        <w:rPr>
          <w:sz w:val="20"/>
          <w:szCs w:val="20"/>
          <w:color w:val="auto"/>
        </w:rPr>
      </w:pPr>
    </w:p>
    <w:p>
      <w:pPr>
        <w:sectPr>
          <w:pgSz w:w="11900" w:h="16838" w:orient="portrait"/>
          <w:cols w:equalWidth="0" w:num="2">
            <w:col w:w="4120" w:space="720"/>
            <w:col w:w="6400"/>
          </w:cols>
          <w:pgMar w:left="320" w:top="233"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Certificate of Incorporation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BC1023108</w:t>
      </w:r>
    </w:p>
    <w:p>
      <w:pPr>
        <w:spacing w:after="0" w:line="200" w:lineRule="exact"/>
        <w:rPr>
          <w:sz w:val="20"/>
          <w:szCs w:val="20"/>
          <w:color w:val="auto"/>
        </w:rPr>
      </w:pPr>
    </w:p>
    <w:p>
      <w:pPr>
        <w:sectPr>
          <w:pgSz w:w="11900" w:h="16838" w:orient="portrait"/>
          <w:cols w:equalWidth="0" w:num="2">
            <w:col w:w="4120" w:space="720"/>
            <w:col w:w="6400"/>
          </w:cols>
          <w:pgMar w:left="320" w:top="233" w:right="3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1</w:t>
      </w:r>
    </w:p>
    <w:p>
      <w:pPr>
        <w:spacing w:after="0" w:line="102"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INTERPRETATION</w:t>
      </w:r>
    </w:p>
    <w:p>
      <w:pPr>
        <w:spacing w:after="0" w:line="29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7"/>
          <w:szCs w:val="17"/>
          <w:b w:val="1"/>
          <w:bCs w:val="1"/>
          <w:color w:val="auto"/>
        </w:rPr>
        <w:t xml:space="preserve">Definitions. </w:t>
      </w:r>
      <w:r>
        <w:rPr>
          <w:rFonts w:ascii="Arial" w:cs="Arial" w:eastAsia="Arial" w:hAnsi="Arial"/>
          <w:sz w:val="17"/>
          <w:szCs w:val="17"/>
          <w:color w:val="auto"/>
        </w:rPr>
        <w:t>In these Articles, unless the context otherwise requires: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and "</w:t>
      </w:r>
      <w:r>
        <w:rPr>
          <w:rFonts w:ascii="Arial" w:cs="Arial" w:eastAsia="Arial" w:hAnsi="Arial"/>
          <w:sz w:val="17"/>
          <w:szCs w:val="17"/>
          <w:b w:val="1"/>
          <w:bCs w:val="1"/>
          <w:color w:val="auto"/>
        </w:rPr>
        <w:t>directors</w:t>
      </w:r>
      <w:r>
        <w:rPr>
          <w:rFonts w:ascii="Arial" w:cs="Arial" w:eastAsia="Arial" w:hAnsi="Arial"/>
          <w:sz w:val="17"/>
          <w:szCs w:val="17"/>
          <w:color w:val="auto"/>
        </w:rPr>
        <w:t>" mean the directors or sole director of the Company for the time being;</w:t>
      </w:r>
    </w:p>
    <w:p>
      <w:pPr>
        <w:spacing w:after="0" w:line="26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Corporations Act</w:t>
      </w:r>
      <w:r>
        <w:rPr>
          <w:rFonts w:ascii="Arial" w:cs="Arial" w:eastAsia="Arial" w:hAnsi="Arial"/>
          <w:sz w:val="17"/>
          <w:szCs w:val="17"/>
          <w:color w:val="auto"/>
        </w:rPr>
        <w:t xml:space="preserve">" means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from time to time in force and all amendments thereto and includes all regulations and amendments thereto made pursuant to that Act;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U.S. Securities Exchange Act of 1934, as amended, and any successor statute;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legal personal representative</w:t>
      </w:r>
      <w:r>
        <w:rPr>
          <w:rFonts w:ascii="Arial" w:cs="Arial" w:eastAsia="Arial" w:hAnsi="Arial"/>
          <w:sz w:val="17"/>
          <w:szCs w:val="17"/>
          <w:color w:val="auto"/>
        </w:rPr>
        <w:t>" means the personal or other legal representative of the shareholder;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address</w:t>
      </w:r>
      <w:r>
        <w:rPr>
          <w:rFonts w:ascii="Arial" w:cs="Arial" w:eastAsia="Arial" w:hAnsi="Arial"/>
          <w:sz w:val="17"/>
          <w:szCs w:val="17"/>
          <w:color w:val="auto"/>
        </w:rPr>
        <w:t>" of a shareholder means the shareholder's address as recorded in the central securities register;</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seal</w:t>
      </w:r>
      <w:r>
        <w:rPr>
          <w:rFonts w:ascii="Arial" w:cs="Arial" w:eastAsia="Arial" w:hAnsi="Arial"/>
          <w:sz w:val="17"/>
          <w:szCs w:val="17"/>
          <w:color w:val="auto"/>
        </w:rPr>
        <w:t>" means the seal of the Company, if any.</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1.2 Business Corporations Act and Interpretation Act Definitions Applicable. </w:t>
      </w:r>
      <w:r>
        <w:rPr>
          <w:rFonts w:ascii="Arial" w:cs="Arial" w:eastAsia="Arial" w:hAnsi="Arial"/>
          <w:sz w:val="17"/>
          <w:szCs w:val="17"/>
          <w:color w:val="auto"/>
        </w:rPr>
        <w:t>The definitions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definitions and rules of construction in the </w:t>
      </w:r>
      <w:r>
        <w:rPr>
          <w:rFonts w:ascii="Arial" w:cs="Arial" w:eastAsia="Arial" w:hAnsi="Arial"/>
          <w:sz w:val="17"/>
          <w:szCs w:val="17"/>
          <w:i w:val="1"/>
          <w:iCs w:val="1"/>
          <w:color w:val="auto"/>
        </w:rPr>
        <w:t>Interpretation Act</w:t>
      </w:r>
      <w:r>
        <w:rPr>
          <w:rFonts w:ascii="Arial" w:cs="Arial" w:eastAsia="Arial" w:hAnsi="Arial"/>
          <w:sz w:val="17"/>
          <w:szCs w:val="17"/>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Corporations Act </w:t>
      </w:r>
      <w:r>
        <w:rPr>
          <w:rFonts w:ascii="Arial" w:cs="Arial" w:eastAsia="Arial" w:hAnsi="Arial"/>
          <w:sz w:val="17"/>
          <w:szCs w:val="17"/>
          <w:color w:val="auto"/>
        </w:rPr>
        <w:t>and a definition or rule in the Interpretation Act relating to a term used in these Articles, the definition in the</w:t>
      </w:r>
      <w:r>
        <w:rPr>
          <w:rFonts w:ascii="Arial" w:cs="Arial" w:eastAsia="Arial" w:hAnsi="Arial"/>
          <w:sz w:val="17"/>
          <w:szCs w:val="17"/>
          <w:i w:val="1"/>
          <w:iCs w:val="1"/>
          <w:color w:val="auto"/>
        </w:rPr>
        <w:t xml:space="preserve"> Business Corporations Act </w:t>
      </w:r>
      <w:r>
        <w:rPr>
          <w:rFonts w:ascii="Arial" w:cs="Arial" w:eastAsia="Arial" w:hAnsi="Arial"/>
          <w:sz w:val="17"/>
          <w:szCs w:val="17"/>
          <w:color w:val="auto"/>
        </w:rPr>
        <w:t>will prevail in relation to the use of the term in these Articles. If there is a conflict between these Articles and the</w:t>
      </w:r>
      <w:r>
        <w:rPr>
          <w:rFonts w:ascii="Arial" w:cs="Arial" w:eastAsia="Arial" w:hAnsi="Arial"/>
          <w:sz w:val="17"/>
          <w:szCs w:val="17"/>
          <w:i w:val="1"/>
          <w:iCs w:val="1"/>
          <w:color w:val="auto"/>
        </w:rPr>
        <w:t xml:space="preserve"> Business Corporations Act</w:t>
      </w:r>
      <w:r>
        <w:rPr>
          <w:rFonts w:ascii="Arial" w:cs="Arial" w:eastAsia="Arial" w:hAnsi="Arial"/>
          <w:sz w:val="17"/>
          <w:szCs w:val="17"/>
          <w:color w:val="auto"/>
        </w:rPr>
        <w:t>, the</w:t>
      </w:r>
      <w:r>
        <w:rPr>
          <w:rFonts w:ascii="Arial" w:cs="Arial" w:eastAsia="Arial" w:hAnsi="Arial"/>
          <w:sz w:val="17"/>
          <w:szCs w:val="17"/>
          <w:i w:val="1"/>
          <w:iCs w:val="1"/>
          <w:color w:val="auto"/>
        </w:rPr>
        <w:t xml:space="preserve"> Business Corporations Act </w:t>
      </w:r>
      <w:r>
        <w:rPr>
          <w:rFonts w:ascii="Arial" w:cs="Arial" w:eastAsia="Arial" w:hAnsi="Arial"/>
          <w:sz w:val="17"/>
          <w:szCs w:val="17"/>
          <w:color w:val="auto"/>
        </w:rPr>
        <w:t>will prevail.</w:t>
      </w: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2</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SHARES AND SHARE CERTIFICATES</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2.1 Authorized Share Structure. </w:t>
      </w:r>
      <w:r>
        <w:rPr>
          <w:rFonts w:ascii="Arial" w:cs="Arial" w:eastAsia="Arial" w:hAnsi="Arial"/>
          <w:sz w:val="17"/>
          <w:szCs w:val="17"/>
          <w:color w:val="auto"/>
        </w:rPr>
        <w:t>The authorized share structure of the Company consists of shares of the class or classes and series, if any,</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described in the Notice of Articles of the Company.</w:t>
      </w:r>
    </w:p>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2.2 Form of Share Certificate. </w:t>
      </w:r>
      <w:r>
        <w:rPr>
          <w:rFonts w:ascii="Arial" w:cs="Arial" w:eastAsia="Arial" w:hAnsi="Arial"/>
          <w:sz w:val="17"/>
          <w:szCs w:val="17"/>
          <w:color w:val="auto"/>
        </w:rPr>
        <w:t>Each share certificate issued by the Company must comply with, and be signed as required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Corporations Act</w:t>
      </w:r>
      <w:r>
        <w:rPr>
          <w:rFonts w:ascii="Arial" w:cs="Arial" w:eastAsia="Arial" w:hAnsi="Arial"/>
          <w:sz w:val="17"/>
          <w:szCs w:val="17"/>
          <w:color w:val="auto"/>
        </w:rPr>
        <w:t>.</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2.3 Shareholder Entitled to Certificate or Acknowledgement. </w:t>
      </w:r>
      <w:r>
        <w:rPr>
          <w:rFonts w:ascii="Arial" w:cs="Arial" w:eastAsia="Arial" w:hAnsi="Arial"/>
          <w:sz w:val="17"/>
          <w:szCs w:val="17"/>
          <w:color w:val="auto"/>
        </w:rPr>
        <w:t>Each shareholder is entitled, without charge, to (a) one share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representing the 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2.4 Delivery by Mail. </w:t>
      </w:r>
      <w:r>
        <w:rPr>
          <w:rFonts w:ascii="Arial" w:cs="Arial" w:eastAsia="Arial" w:hAnsi="Arial"/>
          <w:sz w:val="17"/>
          <w:szCs w:val="17"/>
          <w:color w:val="auto"/>
        </w:rPr>
        <w:t>Any share certificate or non-transferable written acknowledgement of a shareholder's right to obtain a share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2.5 Replacement of Worn Out or Defaced Certificate or Acknowledgement. </w:t>
      </w:r>
      <w:r>
        <w:rPr>
          <w:rFonts w:ascii="Arial" w:cs="Arial" w:eastAsia="Arial" w:hAnsi="Arial"/>
          <w:sz w:val="17"/>
          <w:szCs w:val="17"/>
          <w:color w:val="auto"/>
        </w:rPr>
        <w:t>If the directors are satisfied that a share certificate or a non-transferable 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187"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order the share certificate or acknowledgement, as the case may be, to be cancelled; and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issue a replacement share certificate or acknowledgement, as the case may be.</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2.6 Replacement of Lost, Stolen or Destroyed Certificate or Acknowledgement. </w:t>
      </w:r>
      <w:r>
        <w:rPr>
          <w:rFonts w:ascii="Arial" w:cs="Arial" w:eastAsia="Arial" w:hAnsi="Arial"/>
          <w:sz w:val="17"/>
          <w:szCs w:val="17"/>
          <w:color w:val="auto"/>
        </w:rPr>
        <w:t>If a share certificate or a non-transferable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acknowledgement of 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173"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proof satisfactory to them that the share certificate or acknowledgement is lost, stolen or destroyed; and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indemnity the directors consider adequate.</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2.7 Splitting Share Certificates. </w:t>
      </w:r>
      <w:r>
        <w:rPr>
          <w:rFonts w:ascii="Arial" w:cs="Arial" w:eastAsia="Arial" w:hAnsi="Arial"/>
          <w:sz w:val="17"/>
          <w:szCs w:val="17"/>
          <w:color w:val="auto"/>
        </w:rPr>
        <w:t>If a shareholder surrenders a share certificate to the Company with a written request that the Company issue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7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2.8 Certificate Fee. </w:t>
      </w:r>
      <w:r>
        <w:rPr>
          <w:rFonts w:ascii="Arial" w:cs="Arial" w:eastAsia="Arial" w:hAnsi="Arial"/>
          <w:sz w:val="17"/>
          <w:szCs w:val="17"/>
          <w:color w:val="auto"/>
        </w:rPr>
        <w:t>There must be paid to the Company, in relation to the issue of any share certificate under Articles 2.5, 2.6 or 2.7,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if any and which must not exceed the amount prescribed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determined by the directors.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2.9 Recognition of Trusts. </w:t>
      </w:r>
      <w:r>
        <w:rPr>
          <w:rFonts w:ascii="Arial" w:cs="Arial" w:eastAsia="Arial" w:hAnsi="Arial"/>
          <w:sz w:val="17"/>
          <w:szCs w:val="17"/>
          <w:color w:val="auto"/>
        </w:rPr>
        <w:t>Except as required by law or statute or these Articles, no person will be recognized by the Company as holding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 upon 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PART 3</w:t>
      </w:r>
    </w:p>
    <w:p>
      <w:pPr>
        <w:spacing w:after="0" w:line="102"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ISSUE OF SHARES</w:t>
      </w:r>
    </w:p>
    <w:p>
      <w:pPr>
        <w:spacing w:after="0" w:line="26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3.1 Directors Authorized.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of the holders of issued shares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may 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w:t>
      </w:r>
      <w:r>
        <w:rPr>
          <w:rFonts w:ascii="Arial" w:cs="Arial" w:eastAsia="Arial" w:hAnsi="Arial"/>
          <w:sz w:val="16"/>
          <w:szCs w:val="16"/>
          <w:color w:val="auto"/>
        </w:rPr>
        <w:t>determine. The issue price for a share with par value must be equal to or greater than the par value of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3.2 Commissions and Discounts. </w:t>
      </w:r>
      <w:r>
        <w:rPr>
          <w:rFonts w:ascii="Arial" w:cs="Arial" w:eastAsia="Arial" w:hAnsi="Arial"/>
          <w:sz w:val="17"/>
          <w:szCs w:val="17"/>
          <w:color w:val="auto"/>
        </w:rPr>
        <w:t>The Company may at any time, pay a reasonable commission or allow a reasonable discount to any person</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that person purchasing or agreeing to purchase shares of the Company from the Company or any other person or procuring or agreeing to procure purchasers for shares of the Company.</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3.3 Brokerage. </w:t>
      </w:r>
      <w:r>
        <w:rPr>
          <w:rFonts w:ascii="Arial" w:cs="Arial" w:eastAsia="Arial" w:hAnsi="Arial"/>
          <w:sz w:val="17"/>
          <w:szCs w:val="17"/>
          <w:color w:val="auto"/>
        </w:rPr>
        <w:t>The Company may pay such brokerage fee or other consideration as may be lawful for or in connection with the sale or</w:t>
      </w:r>
      <w:r>
        <w:rPr>
          <w:rFonts w:ascii="Arial" w:cs="Arial" w:eastAsia="Arial" w:hAnsi="Arial"/>
          <w:sz w:val="17"/>
          <w:szCs w:val="17"/>
          <w:b w:val="1"/>
          <w:bCs w:val="1"/>
          <w:color w:val="auto"/>
        </w:rPr>
        <w:t xml:space="preserve"> </w:t>
      </w:r>
      <w:r>
        <w:rPr>
          <w:rFonts w:ascii="Arial" w:cs="Arial" w:eastAsia="Arial" w:hAnsi="Arial"/>
          <w:sz w:val="17"/>
          <w:szCs w:val="17"/>
          <w:color w:val="auto"/>
        </w:rPr>
        <w:t>placement of its securities.</w:t>
      </w:r>
    </w:p>
    <w:p>
      <w:pPr>
        <w:spacing w:after="0" w:line="15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i w:val="1"/>
          <w:iCs w:val="1"/>
          <w:color w:val="auto"/>
        </w:rPr>
        <w:t xml:space="preserve">3.4 </w:t>
      </w:r>
      <w:r>
        <w:rPr>
          <w:rFonts w:ascii="Arial" w:cs="Arial" w:eastAsia="Arial" w:hAnsi="Arial"/>
          <w:sz w:val="17"/>
          <w:szCs w:val="17"/>
          <w:b w:val="1"/>
          <w:bCs w:val="1"/>
          <w:color w:val="auto"/>
        </w:rPr>
        <w:t>Conditions of Issue</w:t>
      </w:r>
      <w:r>
        <w:rPr>
          <w:rFonts w:ascii="Arial" w:cs="Arial" w:eastAsia="Arial" w:hAnsi="Arial"/>
          <w:sz w:val="17"/>
          <w:szCs w:val="17"/>
          <w:color w:val="auto"/>
        </w:rPr>
        <w:t>. Except as provided for by the</w:t>
      </w:r>
      <w:r>
        <w:rPr>
          <w:rFonts w:ascii="Arial" w:cs="Arial" w:eastAsia="Arial" w:hAnsi="Arial"/>
          <w:sz w:val="17"/>
          <w:szCs w:val="17"/>
          <w:i w:val="1"/>
          <w:iCs w:val="1"/>
          <w:color w:val="auto"/>
        </w:rPr>
        <w:t xml:space="preserve"> Business Corporations Act, no share may be issued until it is fully paid. A share is fully paid when:</w:t>
      </w:r>
    </w:p>
    <w:p>
      <w:pPr>
        <w:spacing w:after="0" w:line="144" w:lineRule="exact"/>
        <w:rPr>
          <w:sz w:val="20"/>
          <w:szCs w:val="20"/>
          <w:color w:val="auto"/>
        </w:rPr>
      </w:pPr>
    </w:p>
    <w:p>
      <w:pPr>
        <w:ind w:left="1300" w:hanging="320"/>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consideration is provided to the Company for the issue of the share by one or more of the following:</w:t>
      </w:r>
    </w:p>
    <w:p>
      <w:pPr>
        <w:spacing w:after="0" w:line="223" w:lineRule="exact"/>
        <w:rPr>
          <w:rFonts w:ascii="Arial" w:cs="Arial" w:eastAsia="Arial" w:hAnsi="Arial"/>
          <w:sz w:val="17"/>
          <w:szCs w:val="17"/>
          <w:color w:val="auto"/>
        </w:rPr>
      </w:pPr>
    </w:p>
    <w:p>
      <w:pPr>
        <w:ind w:left="1940" w:hanging="482"/>
        <w:spacing w:after="0"/>
        <w:tabs>
          <w:tab w:leader="none" w:pos="1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past services performed for the Company;</w:t>
      </w:r>
    </w:p>
    <w:p>
      <w:pPr>
        <w:spacing w:after="0" w:line="223" w:lineRule="exact"/>
        <w:rPr>
          <w:rFonts w:ascii="Arial" w:cs="Arial" w:eastAsia="Arial" w:hAnsi="Arial"/>
          <w:sz w:val="17"/>
          <w:szCs w:val="17"/>
          <w:color w:val="auto"/>
        </w:rPr>
      </w:pPr>
    </w:p>
    <w:p>
      <w:pPr>
        <w:ind w:left="1940" w:hanging="523"/>
        <w:spacing w:after="0"/>
        <w:tabs>
          <w:tab w:leader="none" w:pos="1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property;</w:t>
      </w:r>
    </w:p>
    <w:p>
      <w:pPr>
        <w:spacing w:after="0" w:line="223" w:lineRule="exact"/>
        <w:rPr>
          <w:rFonts w:ascii="Arial" w:cs="Arial" w:eastAsia="Arial" w:hAnsi="Arial"/>
          <w:sz w:val="17"/>
          <w:szCs w:val="17"/>
          <w:color w:val="auto"/>
        </w:rPr>
      </w:pPr>
    </w:p>
    <w:p>
      <w:pPr>
        <w:ind w:left="1940" w:hanging="564"/>
        <w:spacing w:after="0"/>
        <w:tabs>
          <w:tab w:leader="none" w:pos="1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money; and</w:t>
      </w:r>
    </w:p>
    <w:p>
      <w:pPr>
        <w:spacing w:after="0" w:line="236" w:lineRule="exact"/>
        <w:rPr>
          <w:rFonts w:ascii="Arial" w:cs="Arial" w:eastAsia="Arial" w:hAnsi="Arial"/>
          <w:sz w:val="17"/>
          <w:szCs w:val="17"/>
          <w:color w:val="auto"/>
        </w:rPr>
      </w:pPr>
    </w:p>
    <w:p>
      <w:pPr>
        <w:ind w:left="1280" w:hanging="300"/>
        <w:spacing w:after="0"/>
        <w:tabs>
          <w:tab w:leader="none" w:pos="12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value of the consideration received by the Company equals or exceeds the issue price set for the share under Article 3.1.</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3.4 Share Purchase Warrants and Rights</w:t>
      </w:r>
      <w:r>
        <w:rPr>
          <w:rFonts w:ascii="Arial" w:cs="Arial" w:eastAsia="Arial" w:hAnsi="Arial"/>
          <w:sz w:val="17"/>
          <w:szCs w:val="17"/>
          <w:color w:val="auto"/>
        </w:rPr>
        <w:t>. 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issue share purchase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and rights 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PART 4</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SHARE REGISTERS</w:t>
      </w:r>
    </w:p>
    <w:p>
      <w:pPr>
        <w:spacing w:after="0" w:line="20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4.1 Central Securities Register</w:t>
      </w:r>
      <w:r>
        <w:rPr>
          <w:rFonts w:ascii="Arial" w:cs="Arial" w:eastAsia="Arial" w:hAnsi="Arial"/>
          <w:sz w:val="17"/>
          <w:szCs w:val="17"/>
          <w:color w:val="auto"/>
        </w:rPr>
        <w:t>. As required by and 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must maintain in British Columbia</w:t>
      </w:r>
      <w:r>
        <w:rPr>
          <w:rFonts w:ascii="Arial" w:cs="Arial" w:eastAsia="Arial" w:hAnsi="Arial"/>
          <w:sz w:val="17"/>
          <w:szCs w:val="17"/>
          <w:b w:val="1"/>
          <w:bCs w:val="1"/>
          <w:color w:val="auto"/>
        </w:rPr>
        <w:t xml:space="preserve"> </w:t>
      </w:r>
      <w:r>
        <w:rPr>
          <w:rFonts w:ascii="Arial" w:cs="Arial" w:eastAsia="Arial" w:hAnsi="Arial"/>
          <w:sz w:val="17"/>
          <w:szCs w:val="17"/>
          <w:color w:val="auto"/>
        </w:rPr>
        <w:t>a central securities register.</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directors may,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7"/>
          <w:szCs w:val="17"/>
          <w:b w:val="1"/>
          <w:bCs w:val="1"/>
          <w:color w:val="auto"/>
        </w:rPr>
        <w:t>Closing Register</w:t>
      </w:r>
      <w:r>
        <w:rPr>
          <w:rFonts w:ascii="Arial" w:cs="Arial" w:eastAsia="Arial" w:hAnsi="Arial"/>
          <w:sz w:val="17"/>
          <w:szCs w:val="17"/>
          <w:color w:val="auto"/>
        </w:rPr>
        <w:t>. The Company must not at any time close its central securities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PART 5</w:t>
      </w:r>
    </w:p>
    <w:p>
      <w:pPr>
        <w:spacing w:after="0" w:line="102"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SHARE TRANSFERS</w:t>
      </w:r>
    </w:p>
    <w:p>
      <w:pPr>
        <w:spacing w:after="0" w:line="264"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7"/>
          <w:szCs w:val="17"/>
          <w:b w:val="1"/>
          <w:bCs w:val="1"/>
          <w:color w:val="auto"/>
        </w:rPr>
        <w:t xml:space="preserve">Registering Transfers. </w:t>
      </w:r>
      <w:r>
        <w:rPr>
          <w:rFonts w:ascii="Arial" w:cs="Arial" w:eastAsia="Arial" w:hAnsi="Arial"/>
          <w:sz w:val="17"/>
          <w:szCs w:val="17"/>
          <w:color w:val="auto"/>
        </w:rPr>
        <w:t>A transfer of a share of the Company must not be registered unless:</w:t>
      </w:r>
    </w:p>
    <w:p>
      <w:pPr>
        <w:spacing w:after="0" w:line="22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duly signed instrument of transfer in respect of the share has been received by the Company;</w:t>
      </w:r>
    </w:p>
    <w:p>
      <w:pPr>
        <w:spacing w:after="0" w:line="223"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 share certificate has been issued by the Company in respect of the share to be transferred, that share certificate has been surrendered to the Company; and</w:t>
      </w:r>
    </w:p>
    <w:p>
      <w:pPr>
        <w:spacing w:after="0" w:line="158" w:lineRule="exact"/>
        <w:rPr>
          <w:rFonts w:ascii="Arial" w:cs="Arial" w:eastAsia="Arial" w:hAnsi="Arial"/>
          <w:sz w:val="17"/>
          <w:szCs w:val="17"/>
          <w:color w:val="auto"/>
        </w:rPr>
      </w:pPr>
    </w:p>
    <w:p>
      <w:pPr>
        <w:ind w:left="1300" w:hanging="644"/>
        <w:spacing w:after="0" w:line="301" w:lineRule="auto"/>
        <w:tabs>
          <w:tab w:leader="none" w:pos="129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14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5.2 Form of Instrument of Transfer. </w:t>
      </w:r>
      <w:r>
        <w:rPr>
          <w:rFonts w:ascii="Arial" w:cs="Arial" w:eastAsia="Arial" w:hAnsi="Arial"/>
          <w:sz w:val="17"/>
          <w:szCs w:val="17"/>
          <w:color w:val="auto"/>
        </w:rPr>
        <w:t>The instrument of transfer in respect of any share of the Company must be either in the form on the back</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share certificate representing such share or in such other form as may be approved by the directors from time to time.</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5.3 Transferor Remains Shareholder. </w:t>
      </w:r>
      <w:r>
        <w:rPr>
          <w:rFonts w:ascii="Arial" w:cs="Arial" w:eastAsia="Arial" w:hAnsi="Arial"/>
          <w:sz w:val="17"/>
          <w:szCs w:val="17"/>
          <w:color w:val="auto"/>
        </w:rPr>
        <w:t>Except to the extent that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provides, the transferor of shares is</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remain the holder of the shares until the name of the transferee is entered in a securities register of the Company in respect of the transfer.</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5.4 Signing of Instrument of Transfer. </w:t>
      </w:r>
      <w:r>
        <w:rPr>
          <w:rFonts w:ascii="Arial" w:cs="Arial" w:eastAsia="Arial" w:hAnsi="Arial"/>
          <w:sz w:val="17"/>
          <w:szCs w:val="17"/>
          <w:color w:val="auto"/>
        </w:rPr>
        <w:t>If a shareholder, or the duly authorized attorney of that shareholder, signs an instrument of transfer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spacing w:after="0" w:line="179"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 the name of the person named as transferee in that instrument of transfer; or</w:t>
      </w:r>
    </w:p>
    <w:p>
      <w:pPr>
        <w:spacing w:after="0" w:line="236" w:lineRule="exact"/>
        <w:rPr>
          <w:rFonts w:ascii="Arial" w:cs="Arial" w:eastAsia="Arial" w:hAnsi="Arial"/>
          <w:sz w:val="17"/>
          <w:szCs w:val="17"/>
          <w:color w:val="auto"/>
        </w:rPr>
      </w:pPr>
    </w:p>
    <w:p>
      <w:pPr>
        <w:ind w:left="660" w:hanging="4"/>
        <w:spacing w:after="0" w:line="284" w:lineRule="auto"/>
        <w:tabs>
          <w:tab w:leader="none" w:pos="1288"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no person is named as transferee in that instrument of transfer, in the name of the person on whose behalf the instrument is deposited for the purpose of having the transfer registered.</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5.5 Transfer Fee. </w:t>
      </w:r>
      <w:r>
        <w:rPr>
          <w:rFonts w:ascii="Arial" w:cs="Arial" w:eastAsia="Arial" w:hAnsi="Arial"/>
          <w:sz w:val="17"/>
          <w:szCs w:val="17"/>
          <w:color w:val="auto"/>
        </w:rPr>
        <w:t>There must be paid to the Company, in relation to the registration of any transfer, the amount, if any, determined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w:t>
      </w:r>
    </w:p>
    <w:p>
      <w:pPr>
        <w:spacing w:after="0" w:line="200" w:lineRule="exact"/>
        <w:rPr>
          <w:sz w:val="20"/>
          <w:szCs w:val="20"/>
          <w:color w:val="auto"/>
        </w:rPr>
      </w:pPr>
    </w:p>
    <w:p>
      <w:pPr>
        <w:spacing w:after="0" w:line="262"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PART 6</w:t>
      </w:r>
    </w:p>
    <w:p>
      <w:pPr>
        <w:spacing w:after="0" w:line="102" w:lineRule="exact"/>
        <w:rPr>
          <w:sz w:val="20"/>
          <w:szCs w:val="20"/>
          <w:color w:val="auto"/>
        </w:rPr>
      </w:pPr>
    </w:p>
    <w:p>
      <w:pPr>
        <w:ind w:left="4440"/>
        <w:spacing w:after="0"/>
        <w:rPr>
          <w:sz w:val="20"/>
          <w:szCs w:val="20"/>
          <w:color w:val="auto"/>
        </w:rPr>
      </w:pPr>
      <w:r>
        <w:rPr>
          <w:rFonts w:ascii="Arial" w:cs="Arial" w:eastAsia="Arial" w:hAnsi="Arial"/>
          <w:sz w:val="17"/>
          <w:szCs w:val="17"/>
          <w:b w:val="1"/>
          <w:bCs w:val="1"/>
          <w:color w:val="auto"/>
        </w:rPr>
        <w:t>TRANSMISSION OF SHARES</w:t>
      </w:r>
    </w:p>
    <w:p>
      <w:pPr>
        <w:spacing w:after="0" w:line="26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6.1 Legal Personal Representative Recognized on Death. </w:t>
      </w:r>
      <w:r>
        <w:rPr>
          <w:rFonts w:ascii="Arial" w:cs="Arial" w:eastAsia="Arial" w:hAnsi="Arial"/>
          <w:sz w:val="17"/>
          <w:szCs w:val="17"/>
          <w:color w:val="auto"/>
        </w:rPr>
        <w:t>In case of the death of a shareholder, the legal personal representative, or if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1294130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6.2 Rights of Legal Personal Representative. </w:t>
      </w:r>
      <w:r>
        <w:rPr>
          <w:rFonts w:ascii="Arial" w:cs="Arial" w:eastAsia="Arial" w:hAnsi="Arial"/>
          <w:sz w:val="17"/>
          <w:szCs w:val="17"/>
          <w:color w:val="auto"/>
        </w:rPr>
        <w:t>The legal personal representative has the same rights, privileges and obligations that attach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shares held by the shareholder, including the right to transfer the shares in accordance with these Articles, provided the documents required by the </w:t>
      </w:r>
      <w:r>
        <w:rPr>
          <w:rFonts w:ascii="Arial" w:cs="Arial" w:eastAsia="Arial" w:hAnsi="Arial"/>
          <w:sz w:val="17"/>
          <w:szCs w:val="17"/>
          <w:b w:val="1"/>
          <w:bCs w:val="1"/>
          <w:i w:val="1"/>
          <w:iCs w:val="1"/>
          <w:color w:val="auto"/>
        </w:rPr>
        <w:t>Business Corporations Act</w:t>
      </w:r>
      <w:r>
        <w:rPr>
          <w:rFonts w:ascii="Arial" w:cs="Arial" w:eastAsia="Arial" w:hAnsi="Arial"/>
          <w:sz w:val="17"/>
          <w:szCs w:val="17"/>
          <w:color w:val="auto"/>
        </w:rPr>
        <w:t xml:space="preserve"> and the directors have been deposited with the Company.</w:t>
      </w:r>
    </w:p>
    <w:p>
      <w:pPr>
        <w:spacing w:after="0" w:line="159"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PART 7</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PURCHASE OF SHARES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7.1 Company Authorized to Purchase Shares. </w:t>
      </w:r>
      <w:r>
        <w:rPr>
          <w:rFonts w:ascii="Arial" w:cs="Arial" w:eastAsia="Arial" w:hAnsi="Arial"/>
          <w:sz w:val="17"/>
          <w:szCs w:val="17"/>
          <w:color w:val="auto"/>
        </w:rPr>
        <w:t>Subject to Article 7.2, the special rights and restrictions attached to the shares of any class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series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Company may, if authorized by the directors, purchase or otherwise acquire any of its shares at the price and upon the terms specified in such resolution.</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7.2 Purchase When Insolvent. </w:t>
      </w:r>
      <w:r>
        <w:rPr>
          <w:rFonts w:ascii="Arial" w:cs="Arial" w:eastAsia="Arial" w:hAnsi="Arial"/>
          <w:sz w:val="17"/>
          <w:szCs w:val="17"/>
          <w:color w:val="auto"/>
        </w:rPr>
        <w:t>The Company must not make a payment or provide any other consideration to purchase or otherwise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shares if there are reasonable grounds for believing that:</w:t>
      </w:r>
    </w:p>
    <w:p>
      <w:pPr>
        <w:spacing w:after="0" w:line="158"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Company is insolvent; or</w:t>
      </w:r>
    </w:p>
    <w:p>
      <w:pPr>
        <w:spacing w:after="0" w:line="236" w:lineRule="exact"/>
        <w:rPr>
          <w:rFonts w:ascii="Arial" w:cs="Arial" w:eastAsia="Arial" w:hAnsi="Arial"/>
          <w:sz w:val="17"/>
          <w:szCs w:val="17"/>
          <w:color w:val="auto"/>
        </w:rPr>
      </w:pPr>
    </w:p>
    <w:p>
      <w:pPr>
        <w:ind w:left="1280" w:hanging="624"/>
        <w:spacing w:after="0"/>
        <w:tabs>
          <w:tab w:leader="none" w:pos="12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making the payment or providing the consideration would render the Company insolvent.</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 xml:space="preserve">7.3 Sale and Voting of Purchased Shares. </w:t>
      </w:r>
      <w:r>
        <w:rPr>
          <w:rFonts w:ascii="Arial" w:cs="Arial" w:eastAsia="Arial" w:hAnsi="Arial"/>
          <w:sz w:val="17"/>
          <w:szCs w:val="17"/>
          <w:color w:val="auto"/>
        </w:rPr>
        <w:t>If the Company retains a share redeemed, purchased or otherwise acquired by it,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sell, gift or otherwise dispose of the share, but, while such share is held by the Company, it:</w:t>
      </w:r>
    </w:p>
    <w:p>
      <w:pPr>
        <w:spacing w:after="0" w:line="158"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is not entitled to vote the share at a meeting of its shareholders;</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must not pay a dividend in respect of the share;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must not make any other distribution in respect of the share.</w:t>
      </w:r>
    </w:p>
    <w:p>
      <w:pPr>
        <w:spacing w:after="0" w:line="223"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PART 8</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BORROWING POWERS</w:t>
      </w:r>
    </w:p>
    <w:p>
      <w:pPr>
        <w:spacing w:after="0" w:line="207"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Borrowing Powers. </w:t>
      </w:r>
      <w:r>
        <w:rPr>
          <w:rFonts w:ascii="Arial" w:cs="Arial" w:eastAsia="Arial" w:hAnsi="Arial"/>
          <w:sz w:val="17"/>
          <w:szCs w:val="17"/>
          <w:color w:val="auto"/>
        </w:rPr>
        <w:t>The Board may from time to time at its discretion on behalf of the Company:</w:t>
      </w:r>
    </w:p>
    <w:p>
      <w:pPr>
        <w:spacing w:after="0" w:line="223" w:lineRule="exact"/>
        <w:rPr>
          <w:rFonts w:ascii="Arial" w:cs="Arial" w:eastAsia="Arial" w:hAnsi="Arial"/>
          <w:sz w:val="17"/>
          <w:szCs w:val="17"/>
          <w:b w:val="1"/>
          <w:bCs w:val="1"/>
          <w:color w:val="auto"/>
        </w:rPr>
      </w:pPr>
    </w:p>
    <w:p>
      <w:pPr>
        <w:ind w:left="660" w:hanging="4"/>
        <w:spacing w:after="0" w:line="284" w:lineRule="auto"/>
        <w:tabs>
          <w:tab w:leader="none" w:pos="1302" w:val="left"/>
        </w:tabs>
        <w:numPr>
          <w:ilvl w:val="1"/>
          <w:numId w:val="88"/>
        </w:numPr>
        <w:rPr>
          <w:rFonts w:ascii="Arial" w:cs="Arial" w:eastAsia="Arial" w:hAnsi="Arial"/>
          <w:sz w:val="17"/>
          <w:szCs w:val="17"/>
          <w:color w:val="auto"/>
        </w:rPr>
      </w:pPr>
      <w:r>
        <w:rPr>
          <w:rFonts w:ascii="Arial" w:cs="Arial" w:eastAsia="Arial" w:hAnsi="Arial"/>
          <w:sz w:val="17"/>
          <w:szCs w:val="17"/>
          <w:color w:val="auto"/>
        </w:rPr>
        <w:t>borrow money in the manner and amount, on the security, from the sources and on the terms and conditions that they consider appropriate;</w:t>
      </w:r>
    </w:p>
    <w:p>
      <w:pPr>
        <w:spacing w:after="0" w:line="171" w:lineRule="exact"/>
        <w:rPr>
          <w:rFonts w:ascii="Arial" w:cs="Arial" w:eastAsia="Arial" w:hAnsi="Arial"/>
          <w:sz w:val="17"/>
          <w:szCs w:val="17"/>
          <w:color w:val="auto"/>
        </w:rPr>
      </w:pPr>
    </w:p>
    <w:p>
      <w:pPr>
        <w:ind w:left="660" w:right="20" w:hanging="4"/>
        <w:spacing w:after="0" w:line="284" w:lineRule="auto"/>
        <w:tabs>
          <w:tab w:leader="none" w:pos="1288" w:val="left"/>
        </w:tabs>
        <w:numPr>
          <w:ilvl w:val="1"/>
          <w:numId w:val="88"/>
        </w:numPr>
        <w:rPr>
          <w:rFonts w:ascii="Arial" w:cs="Arial" w:eastAsia="Arial" w:hAnsi="Arial"/>
          <w:sz w:val="17"/>
          <w:szCs w:val="17"/>
          <w:color w:val="auto"/>
        </w:rPr>
      </w:pPr>
      <w:r>
        <w:rPr>
          <w:rFonts w:ascii="Arial" w:cs="Arial" w:eastAsia="Arial" w:hAnsi="Arial"/>
          <w:sz w:val="17"/>
          <w:szCs w:val="17"/>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158" w:lineRule="exact"/>
        <w:rPr>
          <w:rFonts w:ascii="Arial" w:cs="Arial" w:eastAsia="Arial" w:hAnsi="Arial"/>
          <w:sz w:val="17"/>
          <w:szCs w:val="17"/>
          <w:color w:val="auto"/>
        </w:rPr>
      </w:pPr>
    </w:p>
    <w:p>
      <w:pPr>
        <w:ind w:left="1300" w:hanging="644"/>
        <w:spacing w:after="0"/>
        <w:tabs>
          <w:tab w:leader="none" w:pos="13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guarantee the repayment of money by any other person or the performance of any obligation of any other person; and</w:t>
      </w:r>
    </w:p>
    <w:p>
      <w:pPr>
        <w:spacing w:after="0" w:line="223" w:lineRule="exact"/>
        <w:rPr>
          <w:rFonts w:ascii="Arial" w:cs="Arial" w:eastAsia="Arial" w:hAnsi="Arial"/>
          <w:sz w:val="17"/>
          <w:szCs w:val="17"/>
          <w:color w:val="auto"/>
        </w:rPr>
      </w:pPr>
    </w:p>
    <w:p>
      <w:pPr>
        <w:ind w:left="660" w:hanging="4"/>
        <w:spacing w:after="0" w:line="284" w:lineRule="auto"/>
        <w:tabs>
          <w:tab w:leader="none" w:pos="1288" w:val="left"/>
        </w:tabs>
        <w:numPr>
          <w:ilvl w:val="1"/>
          <w:numId w:val="88"/>
        </w:numPr>
        <w:rPr>
          <w:rFonts w:ascii="Arial" w:cs="Arial" w:eastAsia="Arial" w:hAnsi="Arial"/>
          <w:sz w:val="17"/>
          <w:szCs w:val="17"/>
          <w:color w:val="auto"/>
        </w:rPr>
      </w:pPr>
      <w:r>
        <w:rPr>
          <w:rFonts w:ascii="Arial" w:cs="Arial" w:eastAsia="Arial" w:hAnsi="Arial"/>
          <w:sz w:val="17"/>
          <w:szCs w:val="17"/>
          <w:color w:val="auto"/>
        </w:rPr>
        <w:t>mortgage, charge, whether by way of specific or floating charge, grant a security interest in, or give other security on, the whole or any part of the present and future assets and undertaking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PART 9</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ALTERATIONS</w:t>
      </w:r>
    </w:p>
    <w:p>
      <w:pPr>
        <w:spacing w:after="0" w:line="200" w:lineRule="exact"/>
        <w:rPr>
          <w:sz w:val="20"/>
          <w:szCs w:val="20"/>
          <w:color w:val="auto"/>
        </w:rPr>
      </w:pPr>
    </w:p>
    <w:p>
      <w:pPr>
        <w:spacing w:after="0" w:line="256" w:lineRule="exact"/>
        <w:rPr>
          <w:sz w:val="20"/>
          <w:szCs w:val="20"/>
          <w:color w:val="auto"/>
        </w:rPr>
      </w:pPr>
    </w:p>
    <w:p>
      <w:pPr>
        <w:jc w:val="both"/>
        <w:ind w:firstLine="8"/>
        <w:spacing w:after="0" w:line="274" w:lineRule="auto"/>
        <w:tabs>
          <w:tab w:leader="none" w:pos="62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Alteration of Authorized Share Structure. </w:t>
      </w:r>
      <w:r>
        <w:rPr>
          <w:rFonts w:ascii="Arial" w:cs="Arial" w:eastAsia="Arial" w:hAnsi="Arial"/>
          <w:sz w:val="17"/>
          <w:szCs w:val="17"/>
          <w:color w:val="auto"/>
        </w:rPr>
        <w:t>Subject to Article 9.2, Article 9.3 and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by a</w:t>
      </w:r>
      <w:r>
        <w:rPr>
          <w:rFonts w:ascii="Arial" w:cs="Arial" w:eastAsia="Arial" w:hAnsi="Arial"/>
          <w:sz w:val="17"/>
          <w:szCs w:val="17"/>
          <w:b w:val="1"/>
          <w:bCs w:val="1"/>
          <w:color w:val="auto"/>
        </w:rPr>
        <w:t xml:space="preserve"> </w:t>
      </w:r>
      <w:r>
        <w:rPr>
          <w:rFonts w:ascii="Arial" w:cs="Arial" w:eastAsia="Arial" w:hAnsi="Arial"/>
          <w:sz w:val="17"/>
          <w:szCs w:val="17"/>
          <w:color w:val="auto"/>
        </w:rPr>
        <w:t>resolution passed at a general meeting of shareholders by two thirds of the votes cast on such resolution by shareholders voting shares that carry the right to vote at general meetings:</w:t>
      </w:r>
    </w:p>
    <w:p>
      <w:pPr>
        <w:spacing w:after="0" w:line="59" w:lineRule="exact"/>
        <w:rPr>
          <w:rFonts w:ascii="Arial" w:cs="Arial" w:eastAsia="Arial" w:hAnsi="Arial"/>
          <w:sz w:val="17"/>
          <w:szCs w:val="17"/>
          <w:b w:val="1"/>
          <w:bCs w:val="1"/>
          <w:color w:val="auto"/>
        </w:rPr>
      </w:pPr>
    </w:p>
    <w:p>
      <w:pPr>
        <w:ind w:left="660" w:hanging="4"/>
        <w:spacing w:after="0" w:line="284" w:lineRule="auto"/>
        <w:tabs>
          <w:tab w:leader="none" w:pos="1302" w:val="left"/>
        </w:tabs>
        <w:numPr>
          <w:ilvl w:val="1"/>
          <w:numId w:val="89"/>
        </w:numPr>
        <w:rPr>
          <w:rFonts w:ascii="Arial" w:cs="Arial" w:eastAsia="Arial" w:hAnsi="Arial"/>
          <w:sz w:val="17"/>
          <w:szCs w:val="17"/>
          <w:color w:val="auto"/>
        </w:rPr>
      </w:pPr>
      <w:r>
        <w:rPr>
          <w:rFonts w:ascii="Arial" w:cs="Arial" w:eastAsia="Arial" w:hAnsi="Arial"/>
          <w:sz w:val="17"/>
          <w:szCs w:val="17"/>
          <w:color w:val="auto"/>
        </w:rPr>
        <w:t>create one or more classes or series of shares or, if none of the shares of a class or series of shares are allotted or issued, eliminate that class or series of shares;</w:t>
      </w:r>
    </w:p>
    <w:p>
      <w:pPr>
        <w:spacing w:after="0" w:line="50" w:lineRule="exact"/>
        <w:rPr>
          <w:rFonts w:ascii="Arial" w:cs="Arial" w:eastAsia="Arial" w:hAnsi="Arial"/>
          <w:sz w:val="17"/>
          <w:szCs w:val="17"/>
          <w:color w:val="auto"/>
        </w:rPr>
      </w:pPr>
    </w:p>
    <w:p>
      <w:pPr>
        <w:jc w:val="both"/>
        <w:ind w:left="660" w:hanging="4"/>
        <w:spacing w:after="0" w:line="274" w:lineRule="auto"/>
        <w:tabs>
          <w:tab w:leader="none" w:pos="1288"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59" w:lineRule="exact"/>
        <w:rPr>
          <w:rFonts w:ascii="Arial" w:cs="Arial" w:eastAsia="Arial" w:hAnsi="Arial"/>
          <w:sz w:val="17"/>
          <w:szCs w:val="17"/>
          <w:color w:val="auto"/>
        </w:rPr>
      </w:pPr>
    </w:p>
    <w:p>
      <w:pPr>
        <w:ind w:left="1300" w:hanging="644"/>
        <w:spacing w:after="0"/>
        <w:tabs>
          <w:tab w:leader="none" w:pos="13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subdivide or consolidate all or any of its unissued, or fully paid issued, shares;</w:t>
      </w:r>
    </w:p>
    <w:p>
      <w:pPr>
        <w:spacing w:after="0" w:line="115" w:lineRule="exact"/>
        <w:rPr>
          <w:rFonts w:ascii="Arial" w:cs="Arial" w:eastAsia="Arial" w:hAnsi="Arial"/>
          <w:sz w:val="17"/>
          <w:szCs w:val="17"/>
          <w:color w:val="auto"/>
        </w:rPr>
      </w:pPr>
    </w:p>
    <w:p>
      <w:pPr>
        <w:ind w:left="1280" w:hanging="624"/>
        <w:spacing w:after="0"/>
        <w:tabs>
          <w:tab w:leader="none" w:pos="12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if the Company is authorized to issue shares of a class of shares with par value:</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i.decrease the par value of those shares; or</w:t>
      </w:r>
    </w:p>
    <w:p>
      <w:pPr>
        <w:spacing w:after="0" w:line="11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ii.if none of the shares of that class of shares are allotted or issued, increase the par value of those shares;</w:t>
      </w:r>
    </w:p>
    <w:p>
      <w:pPr>
        <w:spacing w:after="0" w:line="129" w:lineRule="exact"/>
        <w:rPr>
          <w:sz w:val="20"/>
          <w:szCs w:val="20"/>
          <w:color w:val="auto"/>
        </w:rPr>
      </w:pPr>
    </w:p>
    <w:p>
      <w:pPr>
        <w:ind w:left="660" w:hanging="4"/>
        <w:spacing w:after="0" w:line="284" w:lineRule="auto"/>
        <w:tabs>
          <w:tab w:leader="none" w:pos="1302" w:val="left"/>
        </w:tabs>
        <w:numPr>
          <w:ilvl w:val="0"/>
          <w:numId w:val="90"/>
        </w:numPr>
        <w:rPr>
          <w:rFonts w:ascii="Arial" w:cs="Arial" w:eastAsia="Arial" w:hAnsi="Arial"/>
          <w:sz w:val="17"/>
          <w:szCs w:val="17"/>
          <w:color w:val="auto"/>
        </w:rPr>
      </w:pPr>
      <w:r>
        <w:rPr>
          <w:rFonts w:ascii="Arial" w:cs="Arial" w:eastAsia="Arial" w:hAnsi="Arial"/>
          <w:sz w:val="17"/>
          <w:szCs w:val="17"/>
          <w:color w:val="auto"/>
        </w:rPr>
        <w:t>change all or any of its unissued, or fully paid issued, shares with par value into shares without par value or any of its unissued shares without par value into shares with par value;</w:t>
      </w:r>
    </w:p>
    <w:p>
      <w:pPr>
        <w:spacing w:after="0" w:line="50" w:lineRule="exact"/>
        <w:rPr>
          <w:rFonts w:ascii="Arial" w:cs="Arial" w:eastAsia="Arial" w:hAnsi="Arial"/>
          <w:sz w:val="17"/>
          <w:szCs w:val="17"/>
          <w:color w:val="auto"/>
        </w:rPr>
      </w:pPr>
    </w:p>
    <w:p>
      <w:pPr>
        <w:ind w:left="1300" w:hanging="644"/>
        <w:spacing w:after="0"/>
        <w:tabs>
          <w:tab w:leader="none" w:pos="13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alter the identifying name of any of its shares; or</w:t>
      </w:r>
    </w:p>
    <w:p>
      <w:pPr>
        <w:spacing w:after="0" w:line="115" w:lineRule="exact"/>
        <w:rPr>
          <w:rFonts w:ascii="Arial" w:cs="Arial" w:eastAsia="Arial" w:hAnsi="Arial"/>
          <w:sz w:val="17"/>
          <w:szCs w:val="17"/>
          <w:color w:val="auto"/>
        </w:rPr>
      </w:pPr>
    </w:p>
    <w:p>
      <w:pPr>
        <w:ind w:left="1280" w:hanging="624"/>
        <w:spacing w:after="0"/>
        <w:tabs>
          <w:tab w:leader="none" w:pos="12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otherwise alter its shares or authorized share structure when required or permitted to do so by the </w:t>
      </w:r>
      <w:r>
        <w:rPr>
          <w:rFonts w:ascii="Arial" w:cs="Arial" w:eastAsia="Arial" w:hAnsi="Arial"/>
          <w:sz w:val="17"/>
          <w:szCs w:val="17"/>
          <w:i w:val="1"/>
          <w:iCs w:val="1"/>
          <w:color w:val="auto"/>
        </w:rPr>
        <w:t>Business Corporations Act.</w:t>
      </w:r>
    </w:p>
    <w:p>
      <w:pPr>
        <w:spacing w:after="0" w:line="200" w:lineRule="exact"/>
        <w:rPr>
          <w:sz w:val="20"/>
          <w:szCs w:val="20"/>
          <w:color w:val="auto"/>
        </w:rPr>
      </w:pPr>
    </w:p>
    <w:p>
      <w:pPr>
        <w:spacing w:after="0" w:line="266"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7"/>
          <w:szCs w:val="17"/>
          <w:b w:val="1"/>
          <w:bCs w:val="1"/>
          <w:color w:val="auto"/>
        </w:rPr>
        <w:t xml:space="preserve">Special Rights and Restrictions of Issued Preferred Shares. </w:t>
      </w:r>
      <w:r>
        <w:rPr>
          <w:rFonts w:ascii="Arial" w:cs="Arial" w:eastAsia="Arial" w:hAnsi="Arial"/>
          <w:sz w:val="17"/>
          <w:szCs w:val="17"/>
          <w:color w:val="auto"/>
        </w:rPr>
        <w:t>Subject to the requirements under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Company may by an ordinary resolution of the shareholders, voting together as a single class:</w:t>
      </w:r>
    </w:p>
    <w:p>
      <w:pPr>
        <w:spacing w:after="0" w:line="99" w:lineRule="exact"/>
        <w:rPr>
          <w:sz w:val="20"/>
          <w:szCs w:val="20"/>
          <w:color w:val="auto"/>
        </w:rPr>
      </w:pPr>
    </w:p>
    <w:p>
      <w:pPr>
        <w:ind w:left="660" w:hanging="4"/>
        <w:spacing w:after="0" w:line="284" w:lineRule="auto"/>
        <w:tabs>
          <w:tab w:leader="none" w:pos="1302" w:val="left"/>
        </w:tabs>
        <w:numPr>
          <w:ilvl w:val="0"/>
          <w:numId w:val="91"/>
        </w:numPr>
        <w:rPr>
          <w:rFonts w:ascii="Arial" w:cs="Arial" w:eastAsia="Arial" w:hAnsi="Arial"/>
          <w:sz w:val="17"/>
          <w:szCs w:val="17"/>
          <w:color w:val="auto"/>
        </w:rPr>
      </w:pPr>
      <w:r>
        <w:rPr>
          <w:rFonts w:ascii="Arial" w:cs="Arial" w:eastAsia="Arial" w:hAnsi="Arial"/>
          <w:sz w:val="17"/>
          <w:szCs w:val="17"/>
          <w:color w:val="auto"/>
        </w:rPr>
        <w:t>create special rights or restrictions for, and attach those special rights or restrictions to, the shares of any class of preferred shares or series of preferred shares that have been issued; or</w:t>
      </w:r>
    </w:p>
    <w:p>
      <w:pPr>
        <w:spacing w:after="0" w:line="50" w:lineRule="exact"/>
        <w:rPr>
          <w:rFonts w:ascii="Arial" w:cs="Arial" w:eastAsia="Arial" w:hAnsi="Arial"/>
          <w:sz w:val="17"/>
          <w:szCs w:val="17"/>
          <w:color w:val="auto"/>
        </w:rPr>
      </w:pPr>
    </w:p>
    <w:p>
      <w:pPr>
        <w:ind w:left="660" w:right="20" w:hanging="4"/>
        <w:spacing w:after="0" w:line="284" w:lineRule="auto"/>
        <w:tabs>
          <w:tab w:leader="none" w:pos="1288" w:val="left"/>
        </w:tabs>
        <w:numPr>
          <w:ilvl w:val="0"/>
          <w:numId w:val="91"/>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of preferred shares or series of preferred shares that have been issued.</w:t>
      </w:r>
    </w:p>
    <w:p>
      <w:pPr>
        <w:spacing w:after="0" w:line="200" w:lineRule="exact"/>
        <w:rPr>
          <w:sz w:val="20"/>
          <w:szCs w:val="20"/>
          <w:color w:val="auto"/>
        </w:rPr>
      </w:pP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color w:val="auto"/>
        </w:rPr>
        <w:t xml:space="preserve">9.3 Special Rights and Restrictions.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by a resolution passed at a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shareholders by two thirds of the votes cast on such resolution by shareholders voting shares that carry the right to vote at general meetings:</w:t>
      </w:r>
    </w:p>
    <w:p>
      <w:pPr>
        <w:spacing w:after="0" w:line="263" w:lineRule="exact"/>
        <w:rPr>
          <w:sz w:val="20"/>
          <w:szCs w:val="20"/>
          <w:color w:val="auto"/>
        </w:rPr>
      </w:pPr>
    </w:p>
    <w:p>
      <w:pPr>
        <w:ind w:left="660" w:hanging="4"/>
        <w:spacing w:after="0" w:line="284" w:lineRule="auto"/>
        <w:tabs>
          <w:tab w:leader="none" w:pos="1302" w:val="left"/>
        </w:tabs>
        <w:numPr>
          <w:ilvl w:val="0"/>
          <w:numId w:val="92"/>
        </w:numPr>
        <w:rPr>
          <w:rFonts w:ascii="Arial" w:cs="Arial" w:eastAsia="Arial" w:hAnsi="Arial"/>
          <w:sz w:val="17"/>
          <w:szCs w:val="17"/>
          <w:color w:val="auto"/>
        </w:rPr>
      </w:pPr>
      <w:r>
        <w:rPr>
          <w:rFonts w:ascii="Arial" w:cs="Arial" w:eastAsia="Arial" w:hAnsi="Arial"/>
          <w:sz w:val="17"/>
          <w:szCs w:val="17"/>
          <w:color w:val="auto"/>
        </w:rPr>
        <w:t>create special rights or restrictions for, and attach those special rights or restrictions to, the shares of any class or series of shares that have not been issued; or</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that have not been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9.4 Alterations by Directors' Resolutions</w:t>
      </w:r>
      <w:r>
        <w:rPr>
          <w:rFonts w:ascii="Arial" w:cs="Arial" w:eastAsia="Arial" w:hAnsi="Arial"/>
          <w:sz w:val="17"/>
          <w:szCs w:val="17"/>
          <w:color w:val="auto"/>
        </w:rPr>
        <w:t>. 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and without restricting the powers of the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Parts 26, 27, 28 and 29 of these Articles, the Company may by a simple majority of the Board:</w:t>
      </w:r>
    </w:p>
    <w:p>
      <w:pPr>
        <w:spacing w:after="0" w:line="104"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Alter the authorized share structure:</w:t>
      </w:r>
    </w:p>
    <w:p>
      <w:pPr>
        <w:spacing w:after="0" w:line="169" w:lineRule="exact"/>
        <w:rPr>
          <w:rFonts w:ascii="Arial" w:cs="Arial" w:eastAsia="Arial" w:hAnsi="Arial"/>
          <w:sz w:val="17"/>
          <w:szCs w:val="17"/>
          <w:color w:val="auto"/>
        </w:rPr>
      </w:pPr>
    </w:p>
    <w:p>
      <w:pPr>
        <w:ind w:left="1940" w:hanging="636"/>
        <w:spacing w:after="0"/>
        <w:tabs>
          <w:tab w:leader="none" w:pos="19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none of the shares of a class or series of shares are allotted or issued, eliminate that class or series of shares;</w:t>
      </w:r>
    </w:p>
    <w:p>
      <w:pPr>
        <w:spacing w:after="0" w:line="169" w:lineRule="exact"/>
        <w:rPr>
          <w:rFonts w:ascii="Arial" w:cs="Arial" w:eastAsia="Arial" w:hAnsi="Arial"/>
          <w:sz w:val="17"/>
          <w:szCs w:val="17"/>
          <w:color w:val="auto"/>
        </w:rPr>
      </w:pPr>
    </w:p>
    <w:p>
      <w:pPr>
        <w:ind w:left="1940" w:hanging="636"/>
        <w:spacing w:after="0"/>
        <w:tabs>
          <w:tab w:leader="none" w:pos="19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subdivide or consolidate all or any of its unissued shares;</w:t>
      </w:r>
    </w:p>
    <w:p>
      <w:pPr>
        <w:spacing w:after="0" w:line="169" w:lineRule="exact"/>
        <w:rPr>
          <w:rFonts w:ascii="Arial" w:cs="Arial" w:eastAsia="Arial" w:hAnsi="Arial"/>
          <w:sz w:val="17"/>
          <w:szCs w:val="17"/>
          <w:color w:val="auto"/>
        </w:rPr>
      </w:pPr>
    </w:p>
    <w:p>
      <w:pPr>
        <w:ind w:left="1940" w:hanging="636"/>
        <w:spacing w:after="0"/>
        <w:tabs>
          <w:tab w:leader="none" w:pos="19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if the Company is authorized to issue shares of a class of shares with par value:</w:t>
      </w:r>
    </w:p>
    <w:p>
      <w:pPr>
        <w:spacing w:after="0" w:line="182" w:lineRule="exact"/>
        <w:rPr>
          <w:rFonts w:ascii="Arial" w:cs="Arial" w:eastAsia="Arial" w:hAnsi="Arial"/>
          <w:sz w:val="17"/>
          <w:szCs w:val="17"/>
          <w:color w:val="auto"/>
        </w:rPr>
      </w:pPr>
    </w:p>
    <w:p>
      <w:pPr>
        <w:ind w:left="2580" w:hanging="628"/>
        <w:spacing w:after="0"/>
        <w:tabs>
          <w:tab w:leader="none" w:pos="2580" w:val="left"/>
        </w:tabs>
        <w:numPr>
          <w:ilvl w:val="2"/>
          <w:numId w:val="93"/>
        </w:numPr>
        <w:rPr>
          <w:rFonts w:ascii="Arial" w:cs="Arial" w:eastAsia="Arial" w:hAnsi="Arial"/>
          <w:sz w:val="17"/>
          <w:szCs w:val="17"/>
          <w:color w:val="auto"/>
        </w:rPr>
      </w:pPr>
      <w:r>
        <w:rPr>
          <w:rFonts w:ascii="Arial" w:cs="Arial" w:eastAsia="Arial" w:hAnsi="Arial"/>
          <w:sz w:val="17"/>
          <w:szCs w:val="17"/>
          <w:color w:val="auto"/>
        </w:rPr>
        <w:t>decrease the par value of those shares; or</w:t>
      </w:r>
    </w:p>
    <w:p>
      <w:pPr>
        <w:spacing w:after="0" w:line="169" w:lineRule="exact"/>
        <w:rPr>
          <w:rFonts w:ascii="Arial" w:cs="Arial" w:eastAsia="Arial" w:hAnsi="Arial"/>
          <w:sz w:val="17"/>
          <w:szCs w:val="17"/>
          <w:color w:val="auto"/>
        </w:rPr>
      </w:pPr>
    </w:p>
    <w:p>
      <w:pPr>
        <w:ind w:left="2600" w:hanging="648"/>
        <w:spacing w:after="0"/>
        <w:tabs>
          <w:tab w:leader="none" w:pos="2600" w:val="left"/>
        </w:tabs>
        <w:numPr>
          <w:ilvl w:val="2"/>
          <w:numId w:val="93"/>
        </w:numPr>
        <w:rPr>
          <w:rFonts w:ascii="Arial" w:cs="Arial" w:eastAsia="Arial" w:hAnsi="Arial"/>
          <w:sz w:val="17"/>
          <w:szCs w:val="17"/>
          <w:color w:val="auto"/>
        </w:rPr>
      </w:pPr>
      <w:r>
        <w:rPr>
          <w:rFonts w:ascii="Arial" w:cs="Arial" w:eastAsia="Arial" w:hAnsi="Arial"/>
          <w:sz w:val="17"/>
          <w:szCs w:val="17"/>
          <w:color w:val="auto"/>
        </w:rPr>
        <w:t>if none of the shares of that class of shares are allotted or issued, increase the par value of those shares;</w:t>
      </w:r>
    </w:p>
    <w:p>
      <w:pPr>
        <w:spacing w:after="0" w:line="169" w:lineRule="exact"/>
        <w:rPr>
          <w:rFonts w:ascii="Arial" w:cs="Arial" w:eastAsia="Arial" w:hAnsi="Arial"/>
          <w:sz w:val="17"/>
          <w:szCs w:val="17"/>
          <w:color w:val="auto"/>
        </w:rPr>
      </w:pPr>
    </w:p>
    <w:p>
      <w:pPr>
        <w:ind w:left="1300" w:firstLine="4"/>
        <w:spacing w:after="0" w:line="284" w:lineRule="auto"/>
        <w:tabs>
          <w:tab w:leader="none" w:pos="1930" w:val="left"/>
        </w:tabs>
        <w:numPr>
          <w:ilvl w:val="1"/>
          <w:numId w:val="93"/>
        </w:numPr>
        <w:rPr>
          <w:rFonts w:ascii="Arial" w:cs="Arial" w:eastAsia="Arial" w:hAnsi="Arial"/>
          <w:sz w:val="17"/>
          <w:szCs w:val="17"/>
          <w:color w:val="auto"/>
        </w:rPr>
      </w:pPr>
      <w:r>
        <w:rPr>
          <w:rFonts w:ascii="Arial" w:cs="Arial" w:eastAsia="Arial" w:hAnsi="Arial"/>
          <w:sz w:val="17"/>
          <w:szCs w:val="17"/>
          <w:color w:val="auto"/>
        </w:rPr>
        <w:t>change all or any of its unissued, or fully paid issued, shares with par value into shares without par value or any of its unissued shares without par value into shares with par value;</w:t>
      </w:r>
    </w:p>
    <w:p>
      <w:pPr>
        <w:spacing w:after="0" w:line="104" w:lineRule="exact"/>
        <w:rPr>
          <w:rFonts w:ascii="Arial" w:cs="Arial" w:eastAsia="Arial" w:hAnsi="Arial"/>
          <w:sz w:val="17"/>
          <w:szCs w:val="17"/>
          <w:color w:val="auto"/>
        </w:rPr>
      </w:pPr>
    </w:p>
    <w:p>
      <w:pPr>
        <w:ind w:left="1940" w:hanging="636"/>
        <w:spacing w:after="0"/>
        <w:tabs>
          <w:tab w:leader="none" w:pos="19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alter the identifying name of any of its shares.</w:t>
      </w:r>
    </w:p>
    <w:p>
      <w:pPr>
        <w:spacing w:after="0" w:line="182" w:lineRule="exact"/>
        <w:rPr>
          <w:rFonts w:ascii="Arial" w:cs="Arial" w:eastAsia="Arial" w:hAnsi="Arial"/>
          <w:sz w:val="17"/>
          <w:szCs w:val="17"/>
          <w:color w:val="auto"/>
        </w:rPr>
      </w:pPr>
    </w:p>
    <w:p>
      <w:pPr>
        <w:ind w:left="660" w:hanging="4"/>
        <w:spacing w:after="0" w:line="284" w:lineRule="auto"/>
        <w:tabs>
          <w:tab w:leader="none" w:pos="128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Alter any other sections of these Articles to the fullest extent permitted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if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Corporations Act </w:t>
      </w:r>
      <w:r>
        <w:rPr>
          <w:rFonts w:ascii="Arial" w:cs="Arial" w:eastAsia="Arial" w:hAnsi="Arial"/>
          <w:sz w:val="17"/>
          <w:szCs w:val="17"/>
          <w:color w:val="auto"/>
        </w:rPr>
        <w:t>does not specify the type of resolution required and these Articles do not specify a shareholders' resolution is required.</w:t>
      </w:r>
    </w:p>
    <w:p>
      <w:pPr>
        <w:spacing w:after="0" w:line="200" w:lineRule="exact"/>
        <w:rPr>
          <w:sz w:val="20"/>
          <w:szCs w:val="20"/>
          <w:color w:val="auto"/>
        </w:rPr>
      </w:pPr>
    </w:p>
    <w:p>
      <w:pPr>
        <w:spacing w:after="0" w:line="309"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7"/>
          <w:szCs w:val="17"/>
          <w:b w:val="1"/>
          <w:bCs w:val="1"/>
          <w:color w:val="auto"/>
        </w:rPr>
        <w:t xml:space="preserve">Change of Name. </w:t>
      </w:r>
      <w:r>
        <w:rPr>
          <w:rFonts w:ascii="Arial" w:cs="Arial" w:eastAsia="Arial" w:hAnsi="Arial"/>
          <w:sz w:val="17"/>
          <w:szCs w:val="17"/>
          <w:color w:val="auto"/>
        </w:rPr>
        <w:t>The Company may by a directors' resolution authorize an alteration of its Notice of Articles in order to change its name.</w:t>
      </w: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9.6 Other Alterations. </w:t>
      </w:r>
      <w:r>
        <w:rPr>
          <w:rFonts w:ascii="Arial" w:cs="Arial" w:eastAsia="Arial" w:hAnsi="Arial"/>
          <w:sz w:val="17"/>
          <w:szCs w:val="17"/>
          <w:color w:val="auto"/>
        </w:rPr>
        <w:t>If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does not specify the type of resolution, these Articles do not give authority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to make 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9.7 Alterations after one or more Adjournments</w:t>
      </w:r>
      <w:r>
        <w:rPr>
          <w:rFonts w:ascii="Arial" w:cs="Arial" w:eastAsia="Arial" w:hAnsi="Arial"/>
          <w:sz w:val="17"/>
          <w:szCs w:val="17"/>
          <w:color w:val="auto"/>
        </w:rPr>
        <w:t>. If a meeting of shareholders has been adjourned one or more times due to insufficient</w:t>
      </w:r>
      <w:r>
        <w:rPr>
          <w:rFonts w:ascii="Arial" w:cs="Arial" w:eastAsia="Arial" w:hAnsi="Arial"/>
          <w:sz w:val="17"/>
          <w:szCs w:val="17"/>
          <w:b w:val="1"/>
          <w:bCs w:val="1"/>
          <w:color w:val="auto"/>
        </w:rPr>
        <w:t xml:space="preserve"> </w:t>
      </w:r>
      <w:r>
        <w:rPr>
          <w:rFonts w:ascii="Arial" w:cs="Arial" w:eastAsia="Arial" w:hAnsi="Arial"/>
          <w:sz w:val="17"/>
          <w:szCs w:val="17"/>
          <w:color w:val="auto"/>
        </w:rPr>
        <w:t>attendance 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1675130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6"/>
          <w:szCs w:val="16"/>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10</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MEETINGS OF SHAREHOLDERS</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10.1 Annual General Meetings</w:t>
      </w:r>
      <w:r>
        <w:rPr>
          <w:rFonts w:ascii="Arial" w:cs="Arial" w:eastAsia="Arial" w:hAnsi="Arial"/>
          <w:sz w:val="17"/>
          <w:szCs w:val="17"/>
          <w:color w:val="auto"/>
        </w:rPr>
        <w:t>. Unless an annual general meeting is deferred or waived in accordance with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must hold an annual general meeting at least once in each calendar year and not more than 15 months after the last annual reference date on a date and at a time as may be fixed by resolution of the Board and set forth in the notice of meeting.</w:t>
      </w:r>
    </w:p>
    <w:p>
      <w:pPr>
        <w:spacing w:after="0" w:line="17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color w:val="auto"/>
        </w:rPr>
        <w:t>10.2 Resolution Instead of Annual or Special Meeting Prohibited</w:t>
      </w:r>
      <w:r>
        <w:rPr>
          <w:rFonts w:ascii="Arial" w:cs="Arial" w:eastAsia="Arial" w:hAnsi="Arial"/>
          <w:sz w:val="17"/>
          <w:szCs w:val="17"/>
          <w:color w:val="auto"/>
        </w:rPr>
        <w:t>. Any action required or permitted to be taken by the shareholders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must be taken at a duly held annual or special meeting of shareholders and may not be taken by any consent in writing of such shareholders.</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10.3</w:t>
        <w:tab/>
        <w:t>Calling of Meetings of Shareholders</w:t>
      </w:r>
      <w:r>
        <w:rPr>
          <w:rFonts w:ascii="Arial" w:cs="Arial" w:eastAsia="Arial" w:hAnsi="Arial"/>
          <w:sz w:val="17"/>
          <w:szCs w:val="17"/>
          <w:color w:val="auto"/>
        </w:rPr>
        <w:t>. Meetings of shareholders of the Company to consider special business may be called by:</w:t>
      </w:r>
    </w:p>
    <w:p>
      <w:pPr>
        <w:spacing w:after="0" w:line="223"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Board, pursuant to a resolution stating the purpose or purposes thereof approved by a majority of the Board, or</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Chairman of the Board.</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No business other than that stated in the notice shall be transacted at any meetings called to consider special business pursuant to this Section 10.3.</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10.4 Notice for Meetings of Shareholders</w:t>
      </w:r>
      <w:r>
        <w:rPr>
          <w:rFonts w:ascii="Arial" w:cs="Arial" w:eastAsia="Arial" w:hAnsi="Arial"/>
          <w:sz w:val="17"/>
          <w:szCs w:val="17"/>
          <w:color w:val="auto"/>
        </w:rPr>
        <w:t>. The Company must send notice of the date, time, location, and the means of remote</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if any, by 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spacing w:after="0" w:line="179"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and for so long as the Company is a public company, 21 days;</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otherwise, 10 days.</w:t>
      </w:r>
    </w:p>
    <w:p>
      <w:pPr>
        <w:spacing w:after="0" w:line="223" w:lineRule="exact"/>
        <w:rPr>
          <w:sz w:val="20"/>
          <w:szCs w:val="20"/>
          <w:color w:val="auto"/>
        </w:rPr>
      </w:pPr>
    </w:p>
    <w:p>
      <w:pPr>
        <w:jc w:val="both"/>
        <w:ind w:firstLine="248"/>
        <w:spacing w:after="0" w:line="274" w:lineRule="auto"/>
        <w:rPr>
          <w:sz w:val="20"/>
          <w:szCs w:val="20"/>
          <w:color w:val="auto"/>
        </w:rPr>
      </w:pPr>
      <w:r>
        <w:rPr>
          <w:rFonts w:ascii="Arial" w:cs="Arial" w:eastAsia="Arial" w:hAnsi="Arial"/>
          <w:sz w:val="17"/>
          <w:szCs w:val="17"/>
          <w:color w:val="auto"/>
        </w:rPr>
        <w:t xml:space="preserve">Except as required by law, holders of Preferred Shares are not entitled to receive notice of any meeting of shareholders at which they are not entitled to vote.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any previously scheduled meeting of the shareholders may be postponed by resolution of the Board upon public notice given prior to the date previously scheduled for the meeting of shareholders.</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10.5 Record Date for Notice</w:t>
      </w:r>
      <w:r>
        <w:rPr>
          <w:rFonts w:ascii="Arial" w:cs="Arial" w:eastAsia="Arial" w:hAnsi="Arial"/>
          <w:sz w:val="17"/>
          <w:szCs w:val="17"/>
          <w:color w:val="auto"/>
        </w:rPr>
        <w:t>. The directors may set a date as the record date for the purpose of determining shareholders entitled to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by more than four months. The record date must not precede the date on which the meeting is held by fewer than:</w:t>
      </w:r>
    </w:p>
    <w:p>
      <w:pPr>
        <w:spacing w:after="0" w:line="192"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and for so long as the Company is a public company, 21 days;</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otherwise, 10 days.</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If no record date is set, the record date is 5 p.m. pacific time on the day immediately preceding the first date on which the notice is sent or, if no notice is sent, the beginning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1285240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10.6 Record Date for Voting</w:t>
      </w:r>
      <w:r>
        <w:rPr>
          <w:rFonts w:ascii="Arial" w:cs="Arial" w:eastAsia="Arial" w:hAnsi="Arial"/>
          <w:sz w:val="17"/>
          <w:szCs w:val="17"/>
          <w:color w:val="auto"/>
        </w:rPr>
        <w:t>. The directors may set a date as the record date for the purpose of determining shareholders entitled to vote at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of shareholders. The record date must not precede the date on which the meeting is to be held by less than 21 days or more than two months or, in the case of a general meeting requisitioned by shareholders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by more than four months. If no record date is set, the record date is 5 p.m. pacific time on the day immediately preceding the first date on which the notice is sent or, if no notice is sent, the beginning of the meeting. When a determination of shareholders entitled to vote 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spacing w:after="0" w:line="182"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b w:val="1"/>
          <w:bCs w:val="1"/>
          <w:color w:val="auto"/>
        </w:rPr>
        <w:t>10.7 Record Date for Other Purposes</w:t>
      </w:r>
      <w:r>
        <w:rPr>
          <w:rFonts w:ascii="Arial" w:cs="Arial" w:eastAsia="Arial" w:hAnsi="Arial"/>
          <w:sz w:val="17"/>
          <w:szCs w:val="17"/>
          <w:color w:val="auto"/>
        </w:rPr>
        <w:t>. The directors may set a date as the record date for the purpose of determining shareholders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The record date must not precede the date on which the meeting is to be held by less than 21 days or more than two months or, in the case of a general meeting requisitioned by shareholders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by more than four months. If no record date is set, the record date is 5 p.m. on the date on which the directors pass the resolution relating to the matter for which the record date is required.</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10.8 Failure to Give Notice and Waiver of Notice. </w:t>
      </w:r>
      <w:r>
        <w:rPr>
          <w:rFonts w:ascii="Arial" w:cs="Arial" w:eastAsia="Arial" w:hAnsi="Arial"/>
          <w:sz w:val="17"/>
          <w:szCs w:val="17"/>
          <w:color w:val="auto"/>
        </w:rPr>
        <w:t>The accidental omission to send notice of any meeting to, or the non-receipt of any notice by,</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persons entitled to notice does not invalidate any proceedings at that meeting. Any person entitled to notice of a meeting of shareholders may, in writing or otherwise, waive or reduce the period of notice of such meeting.</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10.9 Notice of Special Business at Meetings of Shareholders. </w:t>
      </w:r>
      <w:r>
        <w:rPr>
          <w:rFonts w:ascii="Arial" w:cs="Arial" w:eastAsia="Arial" w:hAnsi="Arial"/>
          <w:sz w:val="17"/>
          <w:szCs w:val="17"/>
          <w:color w:val="auto"/>
        </w:rPr>
        <w:t>If a meeting of shareholders is to consider special business within the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of Article 11.1, the notice of meeting must:</w:t>
      </w:r>
    </w:p>
    <w:p>
      <w:pPr>
        <w:spacing w:after="0" w:line="172"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state the general nature of the special business; and</w:t>
      </w:r>
    </w:p>
    <w:p>
      <w:pPr>
        <w:spacing w:after="0" w:line="223" w:lineRule="exact"/>
        <w:rPr>
          <w:rFonts w:ascii="Arial" w:cs="Arial" w:eastAsia="Arial" w:hAnsi="Arial"/>
          <w:sz w:val="17"/>
          <w:szCs w:val="17"/>
          <w:color w:val="auto"/>
        </w:rPr>
      </w:pPr>
    </w:p>
    <w:p>
      <w:pPr>
        <w:jc w:val="both"/>
        <w:ind w:left="660" w:hanging="4"/>
        <w:spacing w:after="0" w:line="260" w:lineRule="auto"/>
        <w:tabs>
          <w:tab w:leader="none" w:pos="1288"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be delivered during statutory business hours on any one or more specified days before the day set for the holding of the meeting.</w:t>
      </w:r>
    </w:p>
    <w:p>
      <w:pPr>
        <w:spacing w:after="0" w:line="23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10.10 Location of General Meetings</w:t>
      </w:r>
      <w:r>
        <w:rPr>
          <w:rFonts w:ascii="Arial" w:cs="Arial" w:eastAsia="Arial" w:hAnsi="Arial"/>
          <w:sz w:val="17"/>
          <w:szCs w:val="17"/>
          <w:color w:val="auto"/>
        </w:rPr>
        <w:t>. The Chairman of the Board, or the Board, by a resolution passed by a majority of the directors, may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the location of any meeting of shareholders, and such locations may be held outside of British Columbia.</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10.11</w:t>
        <w:tab/>
        <w:t>Notice of Shareholder Business and Nominations.</w:t>
      </w:r>
    </w:p>
    <w:p>
      <w:pPr>
        <w:spacing w:after="0" w:line="223"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Annual Meetings of Shareholders.</w:t>
      </w:r>
    </w:p>
    <w:p>
      <w:pPr>
        <w:spacing w:after="0" w:line="223" w:lineRule="exact"/>
        <w:rPr>
          <w:rFonts w:ascii="Arial" w:cs="Arial" w:eastAsia="Arial" w:hAnsi="Arial"/>
          <w:sz w:val="17"/>
          <w:szCs w:val="17"/>
          <w:color w:val="auto"/>
        </w:rPr>
      </w:pPr>
    </w:p>
    <w:p>
      <w:pPr>
        <w:jc w:val="both"/>
        <w:ind w:left="1220"/>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i. Nominations of persons for election to the Board and the proposal of business to be considered by the shareholders may be made at an annual meeting of shareholders (A) pursuant to the Company’s notice of meeting in accordance with Part 10 of these Articles, (B) by or at the direction of the Board, (C)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(D) pursuant to a requisition of the shareholders that complies with and is made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section 167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(E) by any shareholder of the Company who was a shareholder of record at the time the notice was delivered, who is entitled to vote at the meeting and who complies with the notice procedures set forth below. For greater certainty, this Section 10.11(a) shall not apply to nominations of persons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ind w:left="4420"/>
        <w:spacing w:after="0"/>
        <w:rPr>
          <w:sz w:val="20"/>
          <w:szCs w:val="20"/>
          <w:color w:val="auto"/>
        </w:rPr>
      </w:pPr>
      <w:r>
        <w:rPr>
          <w:rFonts w:ascii="Arial" w:cs="Arial" w:eastAsia="Arial" w:hAnsi="Arial"/>
          <w:sz w:val="16"/>
          <w:szCs w:val="16"/>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00"/>
        <w:spacing w:after="0" w:line="266" w:lineRule="auto"/>
        <w:rPr>
          <w:sz w:val="20"/>
          <w:szCs w:val="20"/>
          <w:color w:val="auto"/>
        </w:rPr>
      </w:pPr>
      <w:r>
        <w:rPr>
          <w:rFonts w:ascii="Arial" w:cs="Arial" w:eastAsia="Arial" w:hAnsi="Arial"/>
          <w:sz w:val="17"/>
          <w:szCs w:val="17"/>
          <w:color w:val="auto"/>
        </w:rPr>
        <w:t xml:space="preserve">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74" w:lineRule="exact"/>
        <w:rPr>
          <w:sz w:val="20"/>
          <w:szCs w:val="20"/>
          <w:color w:val="auto"/>
        </w:rPr>
      </w:pPr>
    </w:p>
    <w:p>
      <w:pPr>
        <w:jc w:val="both"/>
        <w:ind w:left="100" w:firstLine="3"/>
        <w:spacing w:after="0" w:line="255" w:lineRule="auto"/>
        <w:tabs>
          <w:tab w:leader="none" w:pos="817"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shareholder pursuant to paragraph (i)(E) of this Section 10.11(a), the shareholder must have given timely notice thereof in writing to the Secretary of the Company in accordance with this Section 10.11(a) and, in the case of business other than nominations, such other business must otherwise be a proper matter for shareholder action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To be considered timely, a shareholder’s notice shall be delivered to the Secretary at the principal 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The number of nominees a shareholder may nominate for election at the annual meeting (or in the case of a shareholder giving the notice on behalf of a beneficial owner, the number of nominees a shareholder may nominate for election at the annual meeting on behalf of the beneficial owner) shall not exceed the number of directors to be elected at such annual meeting. In no event shall the public announcement of an adjournment of an annual meeting commence a new time period for the giving of a shareholder’s notice as described above.</w:t>
      </w:r>
    </w:p>
    <w:p>
      <w:pPr>
        <w:spacing w:after="0" w:line="183" w:lineRule="exact"/>
        <w:rPr>
          <w:rFonts w:ascii="Arial" w:cs="Arial" w:eastAsia="Arial" w:hAnsi="Arial"/>
          <w:sz w:val="17"/>
          <w:szCs w:val="17"/>
          <w:color w:val="auto"/>
        </w:rPr>
      </w:pPr>
    </w:p>
    <w:p>
      <w:pPr>
        <w:ind w:left="820" w:hanging="717"/>
        <w:spacing w:after="0"/>
        <w:tabs>
          <w:tab w:leader="none" w:pos="8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shareholder’s notice shall set forth:</w:t>
      </w:r>
    </w:p>
    <w:p>
      <w:pPr>
        <w:spacing w:after="0" w:line="223" w:lineRule="exact"/>
        <w:rPr>
          <w:rFonts w:ascii="Arial" w:cs="Arial" w:eastAsia="Arial" w:hAnsi="Arial"/>
          <w:sz w:val="17"/>
          <w:szCs w:val="17"/>
          <w:color w:val="auto"/>
        </w:rPr>
      </w:pPr>
    </w:p>
    <w:p>
      <w:pPr>
        <w:jc w:val="both"/>
        <w:ind w:left="1480" w:hanging="648"/>
        <w:spacing w:after="0" w:line="254" w:lineRule="auto"/>
        <w:tabs>
          <w:tab w:leader="none" w:pos="1466" w:val="left"/>
        </w:tabs>
        <w:numPr>
          <w:ilvl w:val="1"/>
          <w:numId w:val="99"/>
        </w:numPr>
        <w:rPr>
          <w:rFonts w:ascii="Arial" w:cs="Arial" w:eastAsia="Arial" w:hAnsi="Arial"/>
          <w:sz w:val="17"/>
          <w:szCs w:val="17"/>
          <w:color w:val="auto"/>
        </w:rPr>
      </w:pPr>
      <w:r>
        <w:rPr>
          <w:rFonts w:ascii="Arial" w:cs="Arial" w:eastAsia="Arial" w:hAnsi="Arial"/>
          <w:sz w:val="17"/>
          <w:szCs w:val="17"/>
          <w:color w:val="auto"/>
        </w:rPr>
        <w:t>to each person whom the shareholder proposes to nominate for election or re-election as a director, (i) all information relating to such person that is required to be disclosed in solicitations of proxies for election of directors and (ii) a written representation and agreement, which shall be signed by such person and pursuant to which such person shall represent and agree that such person (a) consents to being named in a proxy statement and form of proxy as a nominee and to serving as a director if elected; (b) is not and will not become a party to any agreement, arrangement or understanding with, and has not given any commitment or assurance to, any person or entity as to how the person, if elected as a director, will act or vote on any issue or question that has not been disclosed to the Company or that could limit or interfere with the person’s ability to comply, if elected as a director, with such person’s fiduciary duties under applicable law; (c) is not and will not become a party to any agreement, arrangement or understanding with any person or entity other than the Company with respect to any direct or indirect compensation, reimbursement or indemnification in connection with service or action as a director or nominee that has not been disclosed to the Company; and (d) if elected as a director, will comply with all of the Company’s corporate governance policies and guidelines related to conflict of interest, confidentiality, stock ownership and trading policies and guidelines, and any other policies and guidelines applicable to directors (which will be promptly provided following a request therefor);</w:t>
      </w:r>
    </w:p>
    <w:p>
      <w:pPr>
        <w:spacing w:after="0" w:line="190" w:lineRule="exact"/>
        <w:rPr>
          <w:rFonts w:ascii="Arial" w:cs="Arial" w:eastAsia="Arial" w:hAnsi="Arial"/>
          <w:sz w:val="17"/>
          <w:szCs w:val="17"/>
          <w:color w:val="auto"/>
        </w:rPr>
      </w:pPr>
    </w:p>
    <w:p>
      <w:pPr>
        <w:jc w:val="both"/>
        <w:ind w:left="1480" w:hanging="648"/>
        <w:spacing w:after="0" w:line="260" w:lineRule="auto"/>
        <w:tabs>
          <w:tab w:leader="none" w:pos="1479" w:val="left"/>
        </w:tabs>
        <w:numPr>
          <w:ilvl w:val="1"/>
          <w:numId w:val="99"/>
        </w:numPr>
        <w:rPr>
          <w:rFonts w:ascii="Arial" w:cs="Arial" w:eastAsia="Arial" w:hAnsi="Arial"/>
          <w:sz w:val="17"/>
          <w:szCs w:val="17"/>
          <w:color w:val="auto"/>
        </w:rPr>
      </w:pPr>
      <w:r>
        <w:rPr>
          <w:rFonts w:ascii="Arial" w:cs="Arial" w:eastAsia="Arial" w:hAnsi="Arial"/>
          <w:sz w:val="17"/>
          <w:szCs w:val="17"/>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1006475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93" w:name="page94"/>
    <w:bookmarkEnd w:id="93"/>
    <w:p>
      <w:pPr>
        <w:ind w:left="4420"/>
        <w:spacing w:after="0"/>
        <w:rPr>
          <w:sz w:val="20"/>
          <w:szCs w:val="20"/>
          <w:color w:val="auto"/>
        </w:rPr>
      </w:pPr>
      <w:r>
        <w:rPr>
          <w:rFonts w:ascii="Arial" w:cs="Arial" w:eastAsia="Arial" w:hAnsi="Arial"/>
          <w:sz w:val="16"/>
          <w:szCs w:val="16"/>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480"/>
        <w:spacing w:after="0" w:line="284" w:lineRule="auto"/>
        <w:rPr>
          <w:sz w:val="20"/>
          <w:szCs w:val="20"/>
          <w:color w:val="auto"/>
        </w:rPr>
      </w:pPr>
      <w:r>
        <w:rPr>
          <w:rFonts w:ascii="Arial" w:cs="Arial" w:eastAsia="Arial" w:hAnsi="Arial"/>
          <w:sz w:val="17"/>
          <w:szCs w:val="17"/>
          <w:color w:val="auto"/>
        </w:rPr>
        <w:t>meeting and any material interest in such business of such shareholder and the beneficial owner, if any, on whose behalf the proposal is made; and</w:t>
      </w:r>
    </w:p>
    <w:p>
      <w:pPr>
        <w:spacing w:after="0" w:line="158" w:lineRule="exact"/>
        <w:rPr>
          <w:sz w:val="20"/>
          <w:szCs w:val="20"/>
          <w:color w:val="auto"/>
        </w:rPr>
      </w:pPr>
    </w:p>
    <w:p>
      <w:pPr>
        <w:jc w:val="both"/>
        <w:ind w:left="1480" w:hanging="648"/>
        <w:spacing w:after="0" w:line="252" w:lineRule="auto"/>
        <w:tabs>
          <w:tab w:leader="none" w:pos="14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to the shareholder giving the notice and the beneficial owner, if any, on whose behalf the nomination or proposal is made, and if such shareholder or beneficial owner is an entity, as to each individual who is a director, executive officer, general partner or managing member of such entity or of any other entity that has or shares control of such entity (any such individual or entity, a “control person”) (i) the name and address of such shareholder, as they appear on the Company’s books, and of such beneficial owner, (ii) the class or series and number of shares of the Company held of record and beneficially by such shareholder, such beneficial owner and any control person,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such beneficial owners or any control person, the effect or intent of which is to mitigate loss to, manage risk or benefit of share price changes for, or increase or decrease the voting power of, such shareholder or such beneficial owner, with respect to shares of the Company, (v) the name in which all such shares are 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 (vii) a representation as to whether the shareholder, the beneficial owner, if any, any control person or any other participant (as defined in Item 4 of Schedule 14A under the Exchange Act) will engage in a solicitation with respect to such nomination or proposal and, if so, whether or not such solicitation will be conducted as an exempt solicitation under Rule 14a-2(b) under the Exchange Act, the name of each participant in such solicitation and (a) in the case of a proposal of business other than nominations, whether such person or group intends to deliver, through means satisfying each of the conditions that would be applicable to the Company under either Exchange Act Rule 14a-16(a) or Exchange Act Rule 14a-16(n), a proxy statement and form of proxy to holders (including any beneficial owners pursuant to Rule 14b-1 and Rule 14b-2 under the Exchange Act) of at least the percentage of the Company's outstanding share capital required under applicable law to approve or adopt the proposal or (b) in the case of any solicitation that is subject to Rule 14a-19 under the Exchange Act, confirming that such person or group will deliver, through means satisfying each of the conditions that would be applicable to the Company under either Exchange Act Rule 14a-16(a) or Exchange Act Rule 14a-16(n), a proxy statement and form of proxy to holders (including any beneficial owners pursuant to Rule 14b-1 and Rule 14b-2 under the Exchange Act) of at least 67% of the voting power of the Company’s outstanding share capital entitled to vote generally in the election of directors, (viii) a representation that immediately after soliciting proxies from the percentage of shareholders referred to in the representation required under the immediately preceding clause (vii)(b), and no later than the 10th day before such meeting of shareholders, such shareholder or beneficial owner will provide the Company with documents, which may take the form of a certified statement and documentation from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1027430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233" w:right="339" w:bottom="1440" w:gutter="0" w:footer="0" w:header="0"/>
        </w:sectPr>
      </w:pPr>
    </w:p>
    <w:bookmarkStart w:id="94" w:name="page95"/>
    <w:bookmarkEnd w:id="94"/>
    <w:p>
      <w:pPr>
        <w:ind w:left="4884"/>
        <w:spacing w:after="0"/>
        <w:rPr>
          <w:sz w:val="20"/>
          <w:szCs w:val="20"/>
          <w:color w:val="auto"/>
        </w:rPr>
      </w:pPr>
      <w:r>
        <w:rPr>
          <w:rFonts w:ascii="Arial" w:cs="Arial" w:eastAsia="Arial" w:hAnsi="Arial"/>
          <w:sz w:val="16"/>
          <w:szCs w:val="16"/>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944"/>
        <w:spacing w:after="0" w:line="260" w:lineRule="auto"/>
        <w:rPr>
          <w:sz w:val="20"/>
          <w:szCs w:val="20"/>
          <w:color w:val="auto"/>
        </w:rPr>
      </w:pPr>
      <w:r>
        <w:rPr>
          <w:rFonts w:ascii="Arial" w:cs="Arial" w:eastAsia="Arial" w:hAnsi="Arial"/>
          <w:sz w:val="17"/>
          <w:szCs w:val="17"/>
          <w:color w:val="auto"/>
        </w:rPr>
        <w:t>proxy solicitor, specifically demonstrating that the necessary steps have been taken to deliver a proxy statement and form of proxy to holders of such percentage of the Company’s outstanding share capital and (ix) all other information relating to the proposed business or nomination which may be required to be disclosed under applicable law.</w:t>
      </w:r>
    </w:p>
    <w:p>
      <w:pPr>
        <w:spacing w:after="0" w:line="179" w:lineRule="exact"/>
        <w:rPr>
          <w:sz w:val="20"/>
          <w:szCs w:val="20"/>
          <w:color w:val="auto"/>
        </w:rPr>
      </w:pPr>
    </w:p>
    <w:p>
      <w:pPr>
        <w:jc w:val="both"/>
        <w:ind w:left="644"/>
        <w:spacing w:after="0" w:line="258" w:lineRule="auto"/>
        <w:rPr>
          <w:sz w:val="20"/>
          <w:szCs w:val="20"/>
          <w:color w:val="auto"/>
        </w:rPr>
      </w:pPr>
      <w:r>
        <w:rPr>
          <w:rFonts w:ascii="Arial" w:cs="Arial" w:eastAsia="Arial" w:hAnsi="Arial"/>
          <w:sz w:val="17"/>
          <w:szCs w:val="17"/>
          <w:color w:val="auto"/>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Rule 14a-8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 such proposed nominee to serve as a director of the Company, including, without limitation, a written questionnaire with respect to the background and qualification of any proposed nominee in the form required by the Company.</w:t>
      </w:r>
    </w:p>
    <w:p>
      <w:pPr>
        <w:spacing w:after="0" w:line="182" w:lineRule="exact"/>
        <w:rPr>
          <w:sz w:val="20"/>
          <w:szCs w:val="20"/>
          <w:color w:val="auto"/>
        </w:rPr>
      </w:pPr>
    </w:p>
    <w:p>
      <w:pPr>
        <w:jc w:val="both"/>
        <w:ind w:left="564" w:firstLine="3"/>
        <w:spacing w:after="0" w:line="257" w:lineRule="auto"/>
        <w:tabs>
          <w:tab w:leader="none" w:pos="127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spacing w:after="0" w:line="181" w:lineRule="exact"/>
        <w:rPr>
          <w:rFonts w:ascii="Arial" w:cs="Arial" w:eastAsia="Arial" w:hAnsi="Arial"/>
          <w:sz w:val="17"/>
          <w:szCs w:val="17"/>
          <w:color w:val="auto"/>
        </w:rPr>
      </w:pPr>
    </w:p>
    <w:p>
      <w:pPr>
        <w:ind w:left="624" w:hanging="624"/>
        <w:spacing w:after="0"/>
        <w:tabs>
          <w:tab w:leader="none" w:pos="62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Special Meetings of the Shareholders.</w:t>
      </w:r>
    </w:p>
    <w:p>
      <w:pPr>
        <w:spacing w:after="0" w:line="223" w:lineRule="exact"/>
        <w:rPr>
          <w:rFonts w:ascii="Arial" w:cs="Arial" w:eastAsia="Arial" w:hAnsi="Arial"/>
          <w:sz w:val="17"/>
          <w:szCs w:val="17"/>
          <w:color w:val="auto"/>
        </w:rPr>
      </w:pPr>
    </w:p>
    <w:p>
      <w:pPr>
        <w:jc w:val="both"/>
        <w:ind w:left="1304" w:hanging="656"/>
        <w:spacing w:after="0" w:line="259" w:lineRule="auto"/>
        <w:tabs>
          <w:tab w:leader="none" w:pos="1295" w:val="left"/>
        </w:tabs>
        <w:numPr>
          <w:ilvl w:val="1"/>
          <w:numId w:val="102"/>
        </w:numPr>
        <w:rPr>
          <w:rFonts w:ascii="Arial" w:cs="Arial" w:eastAsia="Arial" w:hAnsi="Arial"/>
          <w:sz w:val="17"/>
          <w:szCs w:val="17"/>
          <w:color w:val="auto"/>
        </w:rPr>
      </w:pPr>
      <w:r>
        <w:rPr>
          <w:rFonts w:ascii="Arial" w:cs="Arial" w:eastAsia="Arial" w:hAnsi="Arial"/>
          <w:sz w:val="17"/>
          <w:szCs w:val="17"/>
          <w:color w:val="auto"/>
        </w:rPr>
        <w:t xml:space="preserve">Only such business shall be conducted at a special meeting of shareholders as shall have been brought before the meeting (A) by or at the direction of the Board pursuant to the Company's notice of meeting under Section 10.4 of these Articles, (B)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w:t>
      </w:r>
      <w:r>
        <w:rPr>
          <w:rFonts w:ascii="Arial" w:cs="Arial" w:eastAsia="Arial" w:hAnsi="Arial"/>
          <w:sz w:val="17"/>
          <w:szCs w:val="17"/>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or (C) pursuant to a requisition of the shareholders that complies with and is made in accordance with section 167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jc w:val="both"/>
        <w:ind w:left="1304" w:hanging="656"/>
        <w:spacing w:after="0" w:line="255" w:lineRule="auto"/>
        <w:tabs>
          <w:tab w:leader="none" w:pos="1292" w:val="left"/>
        </w:tabs>
        <w:numPr>
          <w:ilvl w:val="2"/>
          <w:numId w:val="102"/>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may be made at a special meeting of shareholders at which directors are to be elected (A) by or at the direction of the Board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(C) pursuant to a requisition of the shareholders that complies with and is made in accordance with section 167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or (D) by any shareholder of the Company who is a shareholder of record at the time of giving of notice 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1010920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95" w:name="page96"/>
    <w:bookmarkEnd w:id="95"/>
    <w:p>
      <w:pPr>
        <w:ind w:left="4884"/>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304"/>
        <w:spacing w:after="0" w:line="255" w:lineRule="auto"/>
        <w:rPr>
          <w:sz w:val="20"/>
          <w:szCs w:val="20"/>
          <w:color w:val="auto"/>
        </w:rPr>
      </w:pPr>
      <w:r>
        <w:rPr>
          <w:rFonts w:ascii="Arial" w:cs="Arial" w:eastAsia="Arial" w:hAnsi="Arial"/>
          <w:sz w:val="17"/>
          <w:szCs w:val="17"/>
          <w:color w:val="auto"/>
        </w:rPr>
        <w:t>paragraph (a)(iii)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The number of nominees a shareholder may nominate for election at the special meeting (or in the case of a shareholder giving the notice on behalf of a beneficial owner, the number of nominees a shareholder may nominate for election at the special meeting on behalf of such beneficial owner) shall not exceed the number of directors to be elected at such special meeting. In no event shall the public announcement of an adjournment of a special meeting commence a new time period for the giving of a shareholder’s notice as described above.</w:t>
      </w:r>
    </w:p>
    <w:p>
      <w:pPr>
        <w:spacing w:after="0" w:line="390" w:lineRule="exact"/>
        <w:rPr>
          <w:sz w:val="20"/>
          <w:szCs w:val="20"/>
          <w:color w:val="auto"/>
        </w:rPr>
      </w:pPr>
    </w:p>
    <w:p>
      <w:pPr>
        <w:ind w:left="644" w:hanging="644"/>
        <w:spacing w:after="0"/>
        <w:tabs>
          <w:tab w:leader="none" w:pos="64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General.</w:t>
      </w:r>
    </w:p>
    <w:p>
      <w:pPr>
        <w:spacing w:after="0" w:line="223" w:lineRule="exact"/>
        <w:rPr>
          <w:rFonts w:ascii="Arial" w:cs="Arial" w:eastAsia="Arial" w:hAnsi="Arial"/>
          <w:sz w:val="17"/>
          <w:szCs w:val="17"/>
          <w:color w:val="auto"/>
        </w:rPr>
      </w:pPr>
    </w:p>
    <w:p>
      <w:pPr>
        <w:jc w:val="both"/>
        <w:ind w:left="1304" w:hanging="656"/>
        <w:spacing w:after="0" w:line="256" w:lineRule="auto"/>
        <w:tabs>
          <w:tab w:leader="none" w:pos="1295" w:val="left"/>
        </w:tabs>
        <w:numPr>
          <w:ilvl w:val="1"/>
          <w:numId w:val="103"/>
        </w:numPr>
        <w:rPr>
          <w:rFonts w:ascii="Arial" w:cs="Arial" w:eastAsia="Arial" w:hAnsi="Arial"/>
          <w:sz w:val="17"/>
          <w:szCs w:val="17"/>
          <w:color w:val="auto"/>
        </w:rPr>
      </w:pPr>
      <w:r>
        <w:rPr>
          <w:rFonts w:ascii="Arial" w:cs="Arial" w:eastAsia="Arial" w:hAnsi="Arial"/>
          <w:sz w:val="17"/>
          <w:szCs w:val="17"/>
          <w:color w:val="auto"/>
        </w:rPr>
        <w:t>Only the persons who are nominated in accordance with the procedures set forth in this Article are eligible to serve as directors and only such business shall be conducted at a meeting of 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(including whether a shareholder or beneficial owner complied or did not comply with the requirements of Rule 14a-19 under the Exchange Act) and, if any proposed nomination or business in not in compliance with this Article and/or Rule 14a-19 under the Exchange Act, shall declare that the defective proposal or nomination will be disregarded, notwithstanding that votes and proxies in respect of any such nomination or other business have been received by the Company.</w:t>
      </w:r>
    </w:p>
    <w:p>
      <w:pPr>
        <w:spacing w:after="0" w:line="182" w:lineRule="exact"/>
        <w:rPr>
          <w:rFonts w:ascii="Arial" w:cs="Arial" w:eastAsia="Arial" w:hAnsi="Arial"/>
          <w:sz w:val="17"/>
          <w:szCs w:val="17"/>
          <w:color w:val="auto"/>
        </w:rPr>
      </w:pPr>
    </w:p>
    <w:p>
      <w:pPr>
        <w:jc w:val="both"/>
        <w:ind w:left="1304" w:hanging="656"/>
        <w:spacing w:after="0" w:line="266" w:lineRule="auto"/>
        <w:tabs>
          <w:tab w:leader="none" w:pos="129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For purposes of this Section 10.11, “public announcement” shall mean disclosure in a press release reported by a comparable US or Canadian national news service or in a document publicly filed by the Company with the Securities and Exchange Commission, and the Toronto Stock Exchange and “close of business” shall mean 5:00 p.m. (New York City time) on any calendar day, whether or not the day is a business day.</w:t>
      </w:r>
    </w:p>
    <w:p>
      <w:pPr>
        <w:spacing w:after="0" w:line="172" w:lineRule="exact"/>
        <w:rPr>
          <w:rFonts w:ascii="Arial" w:cs="Arial" w:eastAsia="Arial" w:hAnsi="Arial"/>
          <w:sz w:val="17"/>
          <w:szCs w:val="17"/>
          <w:color w:val="auto"/>
        </w:rPr>
      </w:pPr>
    </w:p>
    <w:p>
      <w:pPr>
        <w:jc w:val="both"/>
        <w:ind w:left="1304" w:hanging="656"/>
        <w:spacing w:after="0" w:line="257" w:lineRule="auto"/>
        <w:tabs>
          <w:tab w:leader="none" w:pos="129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Notwithstanding the foregoing provisions, shareholders shall also comply with all applicable requirements of the Exchange Act and the rules and regulations thereunder with respect to the matters set forth in this Section 10.11; provided however, that any references in these Articles to the Exchange Act or the rules and regulations promulgated thereunder are not intended to and shall not limit any requirements applicable to nominations or proposals as to any other business to be considered pursuant to this Section 10.11. Nothing in this Section 10.11 shall be deemed to affect any rights (A) of shareholders to request inclusion of proposals in the Company’s proxy statement pursuant to Rule 14a-8 under the Exchange Act or (B) of the holders of any series of Preferred Shares to elect directors under an applicable Designation of Series of Class A Preferred Shares or Designation of Series of Class B Preferred Shares (as defined in Part 26 and 28 of these Articles).</w:t>
      </w:r>
    </w:p>
    <w:p>
      <w:pPr>
        <w:spacing w:after="0" w:line="181" w:lineRule="exact"/>
        <w:rPr>
          <w:rFonts w:ascii="Arial" w:cs="Arial" w:eastAsia="Arial" w:hAnsi="Arial"/>
          <w:sz w:val="17"/>
          <w:szCs w:val="17"/>
          <w:color w:val="auto"/>
        </w:rPr>
      </w:pPr>
    </w:p>
    <w:p>
      <w:pPr>
        <w:ind w:left="1304" w:hanging="656"/>
        <w:spacing w:after="0" w:line="284" w:lineRule="auto"/>
        <w:tabs>
          <w:tab w:leader="none" w:pos="1286"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Any shareholder directly or indirectly soliciting proxies from other shareholders must use a proxy card color other than white, which shall be reserved for the exclusive use for solicitation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993775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233"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6"/>
          <w:szCs w:val="16"/>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PART 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PROCEEDINGS AT MEETINGS OF SHAREHOLDERS</w:t>
      </w:r>
    </w:p>
    <w:p>
      <w:pPr>
        <w:spacing w:after="0" w:line="20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11.1</w:t>
        <w:tab/>
        <w:t xml:space="preserve">Special Business. </w:t>
      </w:r>
      <w:r>
        <w:rPr>
          <w:rFonts w:ascii="Arial" w:cs="Arial" w:eastAsia="Arial" w:hAnsi="Arial"/>
          <w:sz w:val="17"/>
          <w:szCs w:val="17"/>
          <w:color w:val="auto"/>
        </w:rPr>
        <w:t>At a meeting of shareholders, the following business is special business:</w:t>
      </w:r>
    </w:p>
    <w:p>
      <w:pPr>
        <w:spacing w:after="0" w:line="223" w:lineRule="exact"/>
        <w:rPr>
          <w:sz w:val="20"/>
          <w:szCs w:val="20"/>
          <w:color w:val="auto"/>
        </w:rPr>
      </w:pPr>
    </w:p>
    <w:p>
      <w:pPr>
        <w:ind w:left="1220" w:hanging="564"/>
        <w:spacing w:after="0" w:line="284" w:lineRule="auto"/>
        <w:tabs>
          <w:tab w:leader="none" w:pos="121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a meeting of shareholders that is not an annual general meeting, all business is special business except business relating to the conduct of or voting at the meeting;</w:t>
      </w:r>
    </w:p>
    <w:p>
      <w:pPr>
        <w:spacing w:after="0" w:line="158" w:lineRule="exact"/>
        <w:rPr>
          <w:rFonts w:ascii="Arial" w:cs="Arial" w:eastAsia="Arial" w:hAnsi="Arial"/>
          <w:sz w:val="17"/>
          <w:szCs w:val="17"/>
          <w:color w:val="auto"/>
        </w:rPr>
      </w:pPr>
    </w:p>
    <w:p>
      <w:pPr>
        <w:ind w:left="1200" w:hanging="544"/>
        <w:spacing w:after="0"/>
        <w:tabs>
          <w:tab w:leader="none" w:pos="12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at an annual general meeting, all business is special business except for the following:</w:t>
      </w:r>
    </w:p>
    <w:p>
      <w:pPr>
        <w:spacing w:after="0" w:line="236"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business relating to the conduct of or voting at the meeting;</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consideration of any financial statements of the Company presented to the meeting;</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consideration of any reports of the directors or auditor;</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setting or changing of the number of directors;</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election or appointment of directors;</w:t>
      </w:r>
    </w:p>
    <w:p>
      <w:pPr>
        <w:spacing w:after="0" w:line="236" w:lineRule="exact"/>
        <w:rPr>
          <w:rFonts w:ascii="Arial" w:cs="Arial" w:eastAsia="Arial" w:hAnsi="Arial"/>
          <w:sz w:val="17"/>
          <w:szCs w:val="17"/>
          <w:color w:val="auto"/>
        </w:rPr>
      </w:pPr>
    </w:p>
    <w:p>
      <w:pPr>
        <w:ind w:left="1960" w:right="20" w:hanging="656"/>
        <w:spacing w:after="0" w:line="284" w:lineRule="auto"/>
        <w:tabs>
          <w:tab w:leader="none" w:pos="195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compensation and remuneration of directors and officers, including "say-on-pay" and "say-when-on-pay" votes regarding director or officer compensation and any plans or programs regarding such compensation;</w:t>
      </w:r>
    </w:p>
    <w:p>
      <w:pPr>
        <w:spacing w:after="0" w:line="158"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appointment of an auditor or the ratification of the Company's appointment of an auditor;</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setting of the remuneration of an auditor;</w:t>
      </w:r>
    </w:p>
    <w:p>
      <w:pPr>
        <w:spacing w:after="0" w:line="223" w:lineRule="exact"/>
        <w:rPr>
          <w:rFonts w:ascii="Arial" w:cs="Arial" w:eastAsia="Arial" w:hAnsi="Arial"/>
          <w:sz w:val="17"/>
          <w:szCs w:val="17"/>
          <w:color w:val="auto"/>
        </w:rPr>
      </w:pPr>
    </w:p>
    <w:p>
      <w:pPr>
        <w:ind w:left="1960" w:hanging="656"/>
        <w:spacing w:after="0" w:line="301" w:lineRule="auto"/>
        <w:tabs>
          <w:tab w:leader="none" w:pos="1955" w:val="left"/>
        </w:tabs>
        <w:numPr>
          <w:ilvl w:val="1"/>
          <w:numId w:val="104"/>
        </w:numPr>
        <w:rPr>
          <w:rFonts w:ascii="Arial" w:cs="Arial" w:eastAsia="Arial" w:hAnsi="Arial"/>
          <w:sz w:val="17"/>
          <w:szCs w:val="17"/>
          <w:color w:val="auto"/>
        </w:rPr>
      </w:pPr>
      <w:r>
        <w:rPr>
          <w:rFonts w:ascii="Arial" w:cs="Arial" w:eastAsia="Arial" w:hAnsi="Arial"/>
          <w:sz w:val="17"/>
          <w:szCs w:val="17"/>
          <w:color w:val="auto"/>
        </w:rPr>
        <w:t>business arising out of a report of the directors not requiring the passing of a special resolution or an exceptional resolution; and</w:t>
      </w:r>
    </w:p>
    <w:p>
      <w:pPr>
        <w:spacing w:after="0" w:line="144" w:lineRule="exact"/>
        <w:rPr>
          <w:rFonts w:ascii="Arial" w:cs="Arial" w:eastAsia="Arial" w:hAnsi="Arial"/>
          <w:sz w:val="17"/>
          <w:szCs w:val="17"/>
          <w:color w:val="auto"/>
        </w:rPr>
      </w:pPr>
    </w:p>
    <w:p>
      <w:pPr>
        <w:ind w:left="1960" w:hanging="656"/>
        <w:spacing w:after="0" w:line="284" w:lineRule="auto"/>
        <w:tabs>
          <w:tab w:leader="none" w:pos="1958"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any other business which, under these Articles or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may be transacted at a meeting of shareholders without prior notice of the business being given to the shareholders.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11.2 Business Approval. </w:t>
      </w:r>
      <w:r>
        <w:rPr>
          <w:rFonts w:ascii="Arial" w:cs="Arial" w:eastAsia="Arial" w:hAnsi="Arial"/>
          <w:sz w:val="17"/>
          <w:szCs w:val="17"/>
          <w:color w:val="auto"/>
        </w:rPr>
        <w:t>Except as otherwise required by these Articles or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by a resolution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shareholders approved by the majority of the votes cast by shareholders voting shares that carry the right to vote thereon approve any business to be considered by the shareholders, including special business, at any meeting of shareholders.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Exchange Act or any provision of the U.S. Internal Revenue Code of 1986, as amended (the “Internal Revenue Code”), in each case for which no higher voting requirement is specified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1302385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11.3 Actions Requiring a Special Resolution. </w:t>
      </w:r>
      <w:r>
        <w:rPr>
          <w:rFonts w:ascii="Arial" w:cs="Arial" w:eastAsia="Arial" w:hAnsi="Arial"/>
          <w:sz w:val="17"/>
          <w:szCs w:val="17"/>
          <w:color w:val="auto"/>
        </w:rPr>
        <w:t>The following actions that are required by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to be passed by a</w:t>
      </w:r>
      <w:r>
        <w:rPr>
          <w:rFonts w:ascii="Arial" w:cs="Arial" w:eastAsia="Arial" w:hAnsi="Arial"/>
          <w:sz w:val="17"/>
          <w:szCs w:val="17"/>
          <w:b w:val="1"/>
          <w:bCs w:val="1"/>
          <w:color w:val="auto"/>
        </w:rPr>
        <w:t xml:space="preserve"> </w:t>
      </w:r>
      <w:r>
        <w:rPr>
          <w:rFonts w:ascii="Arial" w:cs="Arial" w:eastAsia="Arial" w:hAnsi="Arial"/>
          <w:sz w:val="17"/>
          <w:szCs w:val="17"/>
          <w:color w:val="auto"/>
        </w:rPr>
        <w:t>special resolution 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11.4 Quorum. </w:t>
      </w:r>
      <w:r>
        <w:rPr>
          <w:rFonts w:ascii="Arial" w:cs="Arial" w:eastAsia="Arial" w:hAnsi="Arial"/>
          <w:sz w:val="17"/>
          <w:szCs w:val="17"/>
          <w:color w:val="auto"/>
        </w:rPr>
        <w:t>Except as otherwise provided by law, the Notice of Articles or these Articles, the holders of a majority of the voting power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spacing w:after="0" w:line="39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11.5</w:t>
        <w:tab/>
        <w:t xml:space="preserve">One Shareholder May Constitute Quorum. </w:t>
      </w:r>
      <w:r>
        <w:rPr>
          <w:rFonts w:ascii="Arial" w:cs="Arial" w:eastAsia="Arial" w:hAnsi="Arial"/>
          <w:sz w:val="17"/>
          <w:szCs w:val="17"/>
          <w:color w:val="auto"/>
        </w:rPr>
        <w:t>If there is only one shareholder entitled to vote at a meeting of shareholders:</w:t>
      </w:r>
    </w:p>
    <w:p>
      <w:pPr>
        <w:spacing w:after="0" w:line="223"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quorum is one person who is, or who represents by proxy, that shareholder, and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that shareholder, present in person or by proxy, may constitute the meeting.</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11.6 Other Persons May Attend. </w:t>
      </w:r>
      <w:r>
        <w:rPr>
          <w:rFonts w:ascii="Arial" w:cs="Arial" w:eastAsia="Arial" w:hAnsi="Arial"/>
          <w:sz w:val="17"/>
          <w:szCs w:val="17"/>
          <w:color w:val="auto"/>
        </w:rPr>
        <w:t>The directors, the president (if any), the secretary (if any), the assistant secretary (if any), any lawyer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7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11.7 Requirement of Quorum. </w:t>
      </w:r>
      <w:r>
        <w:rPr>
          <w:rFonts w:ascii="Arial" w:cs="Arial" w:eastAsia="Arial" w:hAnsi="Arial"/>
          <w:sz w:val="17"/>
          <w:szCs w:val="17"/>
          <w:color w:val="auto"/>
        </w:rPr>
        <w:t>No business, other than the adjournment of the meeting, may be transacted at any meeting of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a quorum of shareholders entitled to vote is present at the commencement of the meeting, but such quorum need not be present throughout the meeting.</w:t>
      </w:r>
    </w:p>
    <w:p>
      <w:pPr>
        <w:spacing w:after="0" w:line="18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11.8</w:t>
        <w:tab/>
        <w:t xml:space="preserve">Lack of Quorum. </w:t>
      </w:r>
      <w:r>
        <w:rPr>
          <w:rFonts w:ascii="Arial" w:cs="Arial" w:eastAsia="Arial" w:hAnsi="Arial"/>
          <w:sz w:val="17"/>
          <w:szCs w:val="17"/>
          <w:color w:val="auto"/>
        </w:rPr>
        <w:t>If, within one-half hour from the time set for the holding of a meeting of shareholders, a quorum is not present:</w:t>
      </w:r>
    </w:p>
    <w:p>
      <w:pPr>
        <w:spacing w:after="0" w:line="223"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case of a general meeting requisitioned by shareholders, the meeting is dissolved, and</w:t>
      </w:r>
    </w:p>
    <w:p>
      <w:pPr>
        <w:spacing w:after="0" w:line="223"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 the case of any other meeting of shareholders, the meeting stands adjourned to the same day in the next week at the same time and place.</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11.9 Quorum Required at Succeeding Meeting. </w:t>
      </w:r>
      <w:r>
        <w:rPr>
          <w:rFonts w:ascii="Arial" w:cs="Arial" w:eastAsia="Arial" w:hAnsi="Arial"/>
          <w:sz w:val="17"/>
          <w:szCs w:val="17"/>
          <w:color w:val="auto"/>
        </w:rPr>
        <w:t>No business may be transacted at any adjourned meeting of shareholders referred to in Article</w:t>
      </w:r>
      <w:r>
        <w:rPr>
          <w:rFonts w:ascii="Arial" w:cs="Arial" w:eastAsia="Arial" w:hAnsi="Arial"/>
          <w:sz w:val="17"/>
          <w:szCs w:val="17"/>
          <w:b w:val="1"/>
          <w:bCs w:val="1"/>
          <w:color w:val="auto"/>
        </w:rPr>
        <w:t xml:space="preserve"> </w:t>
      </w:r>
      <w:r>
        <w:rPr>
          <w:rFonts w:ascii="Arial" w:cs="Arial" w:eastAsia="Arial" w:hAnsi="Arial"/>
          <w:sz w:val="17"/>
          <w:szCs w:val="17"/>
          <w:color w:val="auto"/>
        </w:rPr>
        <w:t>11.8(b) unless a quorum of shareholders entitled to vote is present at the commencement of the meeting, but such quorum need not be present throughout the meeting.</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11.10 Chair. </w:t>
      </w:r>
      <w:r>
        <w:rPr>
          <w:rFonts w:ascii="Arial" w:cs="Arial" w:eastAsia="Arial" w:hAnsi="Arial"/>
          <w:sz w:val="17"/>
          <w:szCs w:val="17"/>
          <w:color w:val="auto"/>
        </w:rPr>
        <w:t>The chair of the shareholders' meetings shall be the Chairman of the Board, failing him/her, the then Chief Executive Officer, failing</w:t>
      </w:r>
      <w:r>
        <w:rPr>
          <w:rFonts w:ascii="Arial" w:cs="Arial" w:eastAsia="Arial" w:hAnsi="Arial"/>
          <w:sz w:val="17"/>
          <w:szCs w:val="17"/>
          <w:b w:val="1"/>
          <w:bCs w:val="1"/>
          <w:color w:val="auto"/>
        </w:rPr>
        <w:t xml:space="preserve"> </w:t>
      </w:r>
      <w:r>
        <w:rPr>
          <w:rFonts w:ascii="Arial" w:cs="Arial" w:eastAsia="Arial" w:hAnsi="Arial"/>
          <w:sz w:val="17"/>
          <w:szCs w:val="17"/>
          <w:color w:val="auto"/>
        </w:rPr>
        <w:t>him/her, whomever the Chairman of the Board appoints is entitled to chair the shareholders' meetings.</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11.11 Inspectors of Elections; Opening and Closing the Polls. </w:t>
      </w:r>
      <w:r>
        <w:rPr>
          <w:rFonts w:ascii="Arial" w:cs="Arial" w:eastAsia="Arial" w:hAnsi="Arial"/>
          <w:sz w:val="17"/>
          <w:szCs w:val="17"/>
          <w:color w:val="auto"/>
        </w:rPr>
        <w:t>The Board by resolution shall appoint, or shall authorize an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appoint, one or more inspectors, which inspector or inspectors may include individuals who serve the Company in other capacities, including, without limitation, as officers, employees, agents or representatives, to act at the meetings of shareholders and make a written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11.12 Conduct of Meetings. </w:t>
      </w:r>
      <w:r>
        <w:rPr>
          <w:rFonts w:ascii="Arial" w:cs="Arial" w:eastAsia="Arial" w:hAnsi="Arial"/>
          <w:sz w:val="17"/>
          <w:szCs w:val="17"/>
          <w:color w:val="auto"/>
        </w:rPr>
        <w:t>The Board may to the extent not prohibited by law adopt such rules and regulations for the conduct of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11.13 Adjournments. </w:t>
      </w:r>
      <w:r>
        <w:rPr>
          <w:rFonts w:ascii="Arial" w:cs="Arial" w:eastAsia="Arial" w:hAnsi="Arial"/>
          <w:sz w:val="17"/>
          <w:szCs w:val="17"/>
          <w:color w:val="auto"/>
        </w:rPr>
        <w:t>The chair of a meeting of shareholders may, and if so directed by the meeting must, adjourn the meeting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and from place to place, but no business may be transacted at any adjourned meeting other than the business left unfinished at the meeting from which the adjournment took place.</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11.14 Notice of Adjourned Meeting. </w:t>
      </w:r>
      <w:r>
        <w:rPr>
          <w:rFonts w:ascii="Arial" w:cs="Arial" w:eastAsia="Arial" w:hAnsi="Arial"/>
          <w:sz w:val="17"/>
          <w:szCs w:val="17"/>
          <w:color w:val="auto"/>
        </w:rPr>
        <w:t>It is not necessary to give any notice of an adjourned meeting or of the business to be transacted at an</w:t>
      </w:r>
      <w:r>
        <w:rPr>
          <w:rFonts w:ascii="Arial" w:cs="Arial" w:eastAsia="Arial" w:hAnsi="Arial"/>
          <w:sz w:val="17"/>
          <w:szCs w:val="17"/>
          <w:b w:val="1"/>
          <w:bCs w:val="1"/>
          <w:color w:val="auto"/>
        </w:rPr>
        <w:t xml:space="preserve"> </w:t>
      </w:r>
      <w:r>
        <w:rPr>
          <w:rFonts w:ascii="Arial" w:cs="Arial" w:eastAsia="Arial" w:hAnsi="Arial"/>
          <w:sz w:val="17"/>
          <w:szCs w:val="17"/>
          <w:color w:val="auto"/>
        </w:rPr>
        <w:t>adjourned meeting of shareholders except that, when a meeting is adjourned for 30 days or more, notice of the adjourned meeting must be given as in the case of the original meeting.</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11.15 Decision by Show of Hands or Poll.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every motion put to a vote at a meeting of shareholders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decided on a show of hands unless a poll, before or on the declaration of the result of the vote by show of hands, is directed by the chair or demanded by at least one shareholder entitled to vote who is present in person or by proxy.</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11.16 Declaration of Result. </w:t>
      </w:r>
      <w:r>
        <w:rPr>
          <w:rFonts w:ascii="Arial" w:cs="Arial" w:eastAsia="Arial" w:hAnsi="Arial"/>
          <w:sz w:val="17"/>
          <w:szCs w:val="17"/>
          <w:color w:val="auto"/>
        </w:rPr>
        <w:t>The chair of a meeting of shareholders must declare to the meeting the decision on every question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spacing w:after="0" w:line="17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11.17 Motion Need Not be Seconded. </w:t>
      </w:r>
      <w:r>
        <w:rPr>
          <w:rFonts w:ascii="Arial" w:cs="Arial" w:eastAsia="Arial" w:hAnsi="Arial"/>
          <w:sz w:val="17"/>
          <w:szCs w:val="17"/>
          <w:color w:val="auto"/>
        </w:rPr>
        <w:t>No motion proposed at a meeting of shareholders need be seconded unless the chair of the meeting rules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and the chair of any meeting of shareholders is entitled to propose or second a motion.</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11.18</w:t>
        <w:tab/>
        <w:t xml:space="preserve">Casting Vote. </w:t>
      </w:r>
      <w:r>
        <w:rPr>
          <w:rFonts w:ascii="Arial" w:cs="Arial" w:eastAsia="Arial" w:hAnsi="Arial"/>
          <w:sz w:val="17"/>
          <w:szCs w:val="17"/>
          <w:color w:val="auto"/>
        </w:rPr>
        <w:t>In case of an equality of votes, the chair of a meeting of shareholders does not have a second or casting vote.</w:t>
      </w:r>
    </w:p>
    <w:p>
      <w:pPr>
        <w:spacing w:after="0" w:line="22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11.19 Meetings by Remote Communication. </w:t>
      </w:r>
      <w:r>
        <w:rPr>
          <w:rFonts w:ascii="Arial" w:cs="Arial" w:eastAsia="Arial" w:hAnsi="Arial"/>
          <w:sz w:val="17"/>
          <w:szCs w:val="17"/>
          <w:color w:val="auto"/>
        </w:rPr>
        <w:t>If authorized by the Board, and subject to any guidelines and procedures that the Board may adopt,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and proxy holders not physically present at a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PART 12</w:t>
      </w:r>
    </w:p>
    <w:p>
      <w:pPr>
        <w:spacing w:after="0" w:line="115"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VOTES OF SHAREHOLDERS</w:t>
      </w:r>
    </w:p>
    <w:p>
      <w:pPr>
        <w:spacing w:after="0" w:line="200" w:lineRule="exact"/>
        <w:rPr>
          <w:sz w:val="20"/>
          <w:szCs w:val="20"/>
          <w:color w:val="auto"/>
        </w:rPr>
      </w:pPr>
    </w:p>
    <w:p>
      <w:pPr>
        <w:spacing w:after="0" w:line="28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12.1 Number of Votes by Shareholder or by Shares. </w:t>
      </w:r>
      <w:r>
        <w:rPr>
          <w:rFonts w:ascii="Arial" w:cs="Arial" w:eastAsia="Arial" w:hAnsi="Arial"/>
          <w:sz w:val="17"/>
          <w:szCs w:val="17"/>
          <w:color w:val="auto"/>
        </w:rPr>
        <w:t>Subject to any special rights or restrictions attached to any shares and to the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imposed on joint shareholders under Article 12.3:</w:t>
      </w:r>
    </w:p>
    <w:p>
      <w:pPr>
        <w:spacing w:after="0" w:line="158" w:lineRule="exact"/>
        <w:rPr>
          <w:sz w:val="20"/>
          <w:szCs w:val="20"/>
          <w:color w:val="auto"/>
        </w:rPr>
      </w:pPr>
    </w:p>
    <w:p>
      <w:pPr>
        <w:ind w:left="1300" w:hanging="563"/>
        <w:spacing w:after="0" w:line="284" w:lineRule="auto"/>
        <w:tabs>
          <w:tab w:leader="none" w:pos="129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a vote by show of hands, every person present who is a shareholder or proxy holder and entitled to vote on the matter has one vote; and</w:t>
      </w:r>
    </w:p>
    <w:p>
      <w:pPr>
        <w:spacing w:after="0" w:line="158" w:lineRule="exact"/>
        <w:rPr>
          <w:rFonts w:ascii="Arial" w:cs="Arial" w:eastAsia="Arial" w:hAnsi="Arial"/>
          <w:sz w:val="17"/>
          <w:szCs w:val="17"/>
          <w:color w:val="auto"/>
        </w:rPr>
      </w:pPr>
    </w:p>
    <w:p>
      <w:pPr>
        <w:ind w:left="1300" w:hanging="563"/>
        <w:spacing w:after="0" w:line="301" w:lineRule="auto"/>
        <w:tabs>
          <w:tab w:leader="none" w:pos="12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12.2 Votes of Persons in Representative Capacity. </w:t>
      </w:r>
      <w:r>
        <w:rPr>
          <w:rFonts w:ascii="Arial" w:cs="Arial" w:eastAsia="Arial" w:hAnsi="Arial"/>
          <w:sz w:val="17"/>
          <w:szCs w:val="17"/>
          <w:color w:val="auto"/>
        </w:rPr>
        <w:t>A person who is not a shareholder may vote at a meeting of shareholders, whether on a</w:t>
      </w:r>
      <w:r>
        <w:rPr>
          <w:rFonts w:ascii="Arial" w:cs="Arial" w:eastAsia="Arial" w:hAnsi="Arial"/>
          <w:sz w:val="17"/>
          <w:szCs w:val="17"/>
          <w:b w:val="1"/>
          <w:bCs w:val="1"/>
          <w:color w:val="auto"/>
        </w:rPr>
        <w:t xml:space="preserve"> </w:t>
      </w:r>
      <w:r>
        <w:rPr>
          <w:rFonts w:ascii="Arial" w:cs="Arial" w:eastAsia="Arial" w:hAnsi="Arial"/>
          <w:sz w:val="17"/>
          <w:szCs w:val="17"/>
          <w:color w:val="auto"/>
        </w:rPr>
        <w:t>show of 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12.3</w:t>
        <w:tab/>
        <w:t xml:space="preserve">Votes by Joint Holders. </w:t>
      </w:r>
      <w:r>
        <w:rPr>
          <w:rFonts w:ascii="Arial" w:cs="Arial" w:eastAsia="Arial" w:hAnsi="Arial"/>
          <w:sz w:val="17"/>
          <w:szCs w:val="17"/>
          <w:color w:val="auto"/>
        </w:rPr>
        <w:t>If there are joint shareholders registered in respect of any share:</w:t>
      </w:r>
    </w:p>
    <w:p>
      <w:pPr>
        <w:spacing w:after="0" w:line="223" w:lineRule="exact"/>
        <w:rPr>
          <w:sz w:val="20"/>
          <w:szCs w:val="20"/>
          <w:color w:val="auto"/>
        </w:rPr>
      </w:pPr>
    </w:p>
    <w:p>
      <w:pPr>
        <w:ind w:left="1300" w:hanging="563"/>
        <w:spacing w:after="0" w:line="301" w:lineRule="auto"/>
        <w:tabs>
          <w:tab w:leader="none" w:pos="129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any one of the joint shareholders may vote at any meeting, either personally or by proxy, in respect of the share as if that joint shareholder were solely entitled to it; or</w:t>
      </w:r>
    </w:p>
    <w:p>
      <w:pPr>
        <w:spacing w:after="0" w:line="144" w:lineRule="exact"/>
        <w:rPr>
          <w:rFonts w:ascii="Arial" w:cs="Arial" w:eastAsia="Arial" w:hAnsi="Arial"/>
          <w:sz w:val="17"/>
          <w:szCs w:val="17"/>
          <w:color w:val="auto"/>
        </w:rPr>
      </w:pPr>
    </w:p>
    <w:p>
      <w:pPr>
        <w:jc w:val="both"/>
        <w:ind w:left="1300" w:hanging="563"/>
        <w:spacing w:after="0" w:line="266" w:lineRule="auto"/>
        <w:tabs>
          <w:tab w:leader="none" w:pos="12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74"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12.4 Legal Personal Representatives as Joint Shareholders</w:t>
      </w:r>
      <w:r>
        <w:rPr>
          <w:rFonts w:ascii="Arial" w:cs="Arial" w:eastAsia="Arial" w:hAnsi="Arial"/>
          <w:sz w:val="17"/>
          <w:szCs w:val="17"/>
          <w:color w:val="auto"/>
        </w:rPr>
        <w:t>. Two or more legal personal representatives of a shareholder in whose sole</w:t>
      </w:r>
      <w:r>
        <w:rPr>
          <w:rFonts w:ascii="Arial" w:cs="Arial" w:eastAsia="Arial" w:hAnsi="Arial"/>
          <w:sz w:val="17"/>
          <w:szCs w:val="17"/>
          <w:b w:val="1"/>
          <w:bCs w:val="1"/>
          <w:color w:val="auto"/>
        </w:rPr>
        <w:t xml:space="preserve"> </w:t>
      </w:r>
      <w:r>
        <w:rPr>
          <w:rFonts w:ascii="Arial" w:cs="Arial" w:eastAsia="Arial" w:hAnsi="Arial"/>
          <w:sz w:val="17"/>
          <w:szCs w:val="17"/>
          <w:color w:val="auto"/>
        </w:rPr>
        <w:t>name any share is registered are, for the purposes of Article 12.3, deemed to be joint shareholders.</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 xml:space="preserve">12.5 Representative of a Corporate Shareholder. </w:t>
      </w:r>
      <w:r>
        <w:rPr>
          <w:rFonts w:ascii="Arial" w:cs="Arial" w:eastAsia="Arial" w:hAnsi="Arial"/>
          <w:sz w:val="17"/>
          <w:szCs w:val="17"/>
          <w:color w:val="auto"/>
        </w:rPr>
        <w:t>If an entity that is not an individual and that is not a subsidiary of the Company is a</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that entity may appoint a person to act as its representative at any meeting of shareholders of the Company, and:</w:t>
      </w:r>
    </w:p>
    <w:p>
      <w:pPr>
        <w:spacing w:after="0" w:line="158" w:lineRule="exact"/>
        <w:rPr>
          <w:sz w:val="20"/>
          <w:szCs w:val="20"/>
          <w:color w:val="auto"/>
        </w:rPr>
      </w:pPr>
    </w:p>
    <w:p>
      <w:pPr>
        <w:ind w:left="1300" w:hanging="563"/>
        <w:spacing w:after="0"/>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for that purpose, the instrument appointing a representative must:</w:t>
      </w:r>
    </w:p>
    <w:p>
      <w:pPr>
        <w:spacing w:after="0" w:line="223" w:lineRule="exact"/>
        <w:rPr>
          <w:rFonts w:ascii="Arial" w:cs="Arial" w:eastAsia="Arial" w:hAnsi="Arial"/>
          <w:sz w:val="17"/>
          <w:szCs w:val="17"/>
          <w:color w:val="auto"/>
        </w:rPr>
      </w:pPr>
    </w:p>
    <w:p>
      <w:pPr>
        <w:ind w:left="1960" w:hanging="656"/>
        <w:spacing w:after="0" w:line="301" w:lineRule="auto"/>
        <w:tabs>
          <w:tab w:leader="none" w:pos="1951" w:val="left"/>
        </w:tabs>
        <w:numPr>
          <w:ilvl w:val="1"/>
          <w:numId w:val="109"/>
        </w:numPr>
        <w:rPr>
          <w:rFonts w:ascii="Arial" w:cs="Arial" w:eastAsia="Arial" w:hAnsi="Arial"/>
          <w:sz w:val="17"/>
          <w:szCs w:val="17"/>
          <w:color w:val="auto"/>
        </w:rPr>
      </w:pPr>
      <w:r>
        <w:rPr>
          <w:rFonts w:ascii="Arial" w:cs="Arial" w:eastAsia="Arial" w:hAnsi="Arial"/>
          <w:sz w:val="17"/>
          <w:szCs w:val="17"/>
          <w:color w:val="auto"/>
        </w:rPr>
        <w:t>be received at the registered office of the Company or at any other place specified, in the notice calling the meeting, for the receipt of proxies, at least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960"/>
        <w:spacing w:after="0" w:line="284" w:lineRule="auto"/>
        <w:rPr>
          <w:sz w:val="20"/>
          <w:szCs w:val="20"/>
          <w:color w:val="auto"/>
        </w:rPr>
      </w:pPr>
      <w:r>
        <w:rPr>
          <w:rFonts w:ascii="Arial" w:cs="Arial" w:eastAsia="Arial" w:hAnsi="Arial"/>
          <w:sz w:val="17"/>
          <w:szCs w:val="17"/>
          <w:color w:val="auto"/>
        </w:rPr>
        <w:t>business days specified in the notice for the receipt of proxies, or if no number of days is specified, two business days before the day set for the holding of the meeting; or</w:t>
      </w:r>
    </w:p>
    <w:p>
      <w:pPr>
        <w:spacing w:after="0" w:line="158" w:lineRule="exact"/>
        <w:rPr>
          <w:sz w:val="20"/>
          <w:szCs w:val="20"/>
          <w:color w:val="auto"/>
        </w:rPr>
      </w:pPr>
    </w:p>
    <w:p>
      <w:pPr>
        <w:ind w:left="1940" w:hanging="636"/>
        <w:spacing w:after="0"/>
        <w:tabs>
          <w:tab w:leader="none" w:pos="194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be provided, at the meeting, to the chair of the meeting or to a person designated by the chair of the meeting;</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a representative is appointed under this Article 12.5:</w:t>
      </w:r>
    </w:p>
    <w:p>
      <w:pPr>
        <w:spacing w:after="0" w:line="223" w:lineRule="exact"/>
        <w:rPr>
          <w:rFonts w:ascii="Arial" w:cs="Arial" w:eastAsia="Arial" w:hAnsi="Arial"/>
          <w:sz w:val="17"/>
          <w:szCs w:val="17"/>
          <w:color w:val="auto"/>
        </w:rPr>
      </w:pPr>
    </w:p>
    <w:p>
      <w:pPr>
        <w:jc w:val="both"/>
        <w:ind w:left="1960" w:hanging="656"/>
        <w:spacing w:after="0" w:line="274" w:lineRule="auto"/>
        <w:tabs>
          <w:tab w:leader="none" w:pos="1951"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representative is entitled to exercise in respect of and at that meeting the same rights on behalf of the entity that the representative represents as that corporation could exercise if it were a shareholder who is an individual, including, without limitation, the right to appoint a proxy holder; and</w:t>
      </w:r>
    </w:p>
    <w:p>
      <w:pPr>
        <w:spacing w:after="0" w:line="168" w:lineRule="exact"/>
        <w:rPr>
          <w:sz w:val="20"/>
          <w:szCs w:val="20"/>
          <w:color w:val="auto"/>
        </w:rPr>
      </w:pPr>
    </w:p>
    <w:p>
      <w:pPr>
        <w:ind w:left="1960" w:hanging="656"/>
        <w:spacing w:after="0" w:line="284" w:lineRule="auto"/>
        <w:tabs>
          <w:tab w:leader="none" w:pos="194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representative, if present at the meeting, is to be counted for the purpose of forming a quorum and is deemed to be a shareholder present in person at the meeting.</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Evidence of the appointment of any such representative may be sent to the Company by written instrument, fax or any other method of transmitting legibly recorded messages.</w:t>
      </w:r>
    </w:p>
    <w:p>
      <w:pPr>
        <w:spacing w:after="0" w:line="17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12.6 Proxy Provisions Do Not Apply to All Companies. </w:t>
      </w:r>
      <w:r>
        <w:rPr>
          <w:rFonts w:ascii="Arial" w:cs="Arial" w:eastAsia="Arial" w:hAnsi="Arial"/>
          <w:sz w:val="17"/>
          <w:szCs w:val="17"/>
          <w:color w:val="auto"/>
        </w:rPr>
        <w:t>Articles 12.7 to 12.15 do not apply to the Company if and for so long as it is a public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within the meaning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12.7 Appointment of Proxy Holders</w:t>
      </w:r>
      <w:r>
        <w:rPr>
          <w:rFonts w:ascii="Arial" w:cs="Arial" w:eastAsia="Arial" w:hAnsi="Arial"/>
          <w:sz w:val="17"/>
          <w:szCs w:val="17"/>
          <w:color w:val="auto"/>
        </w:rPr>
        <w:t>. Every shareholder of the Company, including an entity that is a shareholder but not a subsidiary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entitled to vote at a meeting of shareholders of the Company may, by proxy, appoint one or more (but not more than five) proxy holders to attend and act at the meeting in the manner, to the extent and with the powers conferred by the proxy.</w:t>
      </w:r>
    </w:p>
    <w:p>
      <w:pPr>
        <w:spacing w:after="0" w:line="18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12.8</w:t>
        <w:tab/>
        <w:t>Alternate Proxy Holders</w:t>
      </w:r>
      <w:r>
        <w:rPr>
          <w:rFonts w:ascii="Arial" w:cs="Arial" w:eastAsia="Arial" w:hAnsi="Arial"/>
          <w:sz w:val="17"/>
          <w:szCs w:val="17"/>
          <w:color w:val="auto"/>
        </w:rPr>
        <w:t>. A shareholder may appoint one or more alternate proxy holders to act in the place of an absent proxy holder.</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12.9 When Proxy Holder Need Not Be Shareholder. </w:t>
      </w:r>
      <w:r>
        <w:rPr>
          <w:rFonts w:ascii="Arial" w:cs="Arial" w:eastAsia="Arial" w:hAnsi="Arial"/>
          <w:sz w:val="17"/>
          <w:szCs w:val="17"/>
          <w:color w:val="auto"/>
        </w:rPr>
        <w:t>A person must not be appointed as a proxy holder unless the person is a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a person who is not a shareholder may be appointed as a proxy holder if:</w:t>
      </w:r>
    </w:p>
    <w:p>
      <w:pPr>
        <w:spacing w:after="0" w:line="158"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person appointing the proxy holder is a corporation or a representative of a corporation appointed under Article 12.5;</w:t>
      </w:r>
    </w:p>
    <w:p>
      <w:pPr>
        <w:spacing w:after="0" w:line="223"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has at the time of the meeting for which the proxy holder is to be appointed only one shareholder entitled to vote at the meeting; or</w:t>
      </w:r>
    </w:p>
    <w:p>
      <w:pPr>
        <w:spacing w:after="0" w:line="171" w:lineRule="exact"/>
        <w:rPr>
          <w:rFonts w:ascii="Arial" w:cs="Arial" w:eastAsia="Arial" w:hAnsi="Arial"/>
          <w:sz w:val="17"/>
          <w:szCs w:val="17"/>
          <w:color w:val="auto"/>
        </w:rPr>
      </w:pPr>
    </w:p>
    <w:p>
      <w:pPr>
        <w:jc w:val="both"/>
        <w:ind w:left="1300" w:hanging="644"/>
        <w:spacing w:after="0" w:line="266" w:lineRule="auto"/>
        <w:tabs>
          <w:tab w:leader="none" w:pos="129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12.10</w:t>
        <w:tab/>
        <w:t>Deposit of Proxy</w:t>
      </w:r>
      <w:r>
        <w:rPr>
          <w:rFonts w:ascii="Arial" w:cs="Arial" w:eastAsia="Arial" w:hAnsi="Arial"/>
          <w:sz w:val="17"/>
          <w:szCs w:val="17"/>
          <w:color w:val="auto"/>
        </w:rPr>
        <w:t>. A proxy for a meeting of shareholders must:</w:t>
      </w:r>
    </w:p>
    <w:p>
      <w:pPr>
        <w:spacing w:after="0" w:line="223" w:lineRule="exact"/>
        <w:rPr>
          <w:sz w:val="20"/>
          <w:szCs w:val="20"/>
          <w:color w:val="auto"/>
        </w:rPr>
      </w:pPr>
    </w:p>
    <w:p>
      <w:pPr>
        <w:jc w:val="both"/>
        <w:ind w:left="1300" w:hanging="644"/>
        <w:spacing w:after="0" w:line="274" w:lineRule="auto"/>
        <w:tabs>
          <w:tab w:leader="none" w:pos="129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hanging="644"/>
        <w:spacing w:after="0" w:line="284" w:lineRule="auto"/>
        <w:tabs>
          <w:tab w:leader="none" w:pos="12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unless the notice provides otherwise, be provided, at the meeting, to the chair of the meeting or to a person designated by the chair of the meeting.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 proxy may be sent to the Company by written instrument, fax or any other method of transmitting legibly recorded messages.</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12.11 Validity of Proxy Vote. </w:t>
      </w:r>
      <w:r>
        <w:rPr>
          <w:rFonts w:ascii="Arial" w:cs="Arial" w:eastAsia="Arial" w:hAnsi="Arial"/>
          <w:sz w:val="17"/>
          <w:szCs w:val="17"/>
          <w:color w:val="auto"/>
        </w:rPr>
        <w:t>A vote given in accordance with the terms of a proxy is valid notwithstanding the death or incapacity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giving the proxy and despite the revocation of the proxy or the revocation of the authority under which the proxy is given, unless notice in writing of that death, incapacity or revocation is received:</w:t>
      </w:r>
    </w:p>
    <w:p>
      <w:pPr>
        <w:spacing w:after="0" w:line="187" w:lineRule="exact"/>
        <w:rPr>
          <w:sz w:val="20"/>
          <w:szCs w:val="20"/>
          <w:color w:val="auto"/>
        </w:rPr>
      </w:pPr>
    </w:p>
    <w:p>
      <w:pPr>
        <w:ind w:left="1300" w:hanging="644"/>
        <w:spacing w:after="0" w:line="284" w:lineRule="auto"/>
        <w:tabs>
          <w:tab w:leader="none" w:pos="129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at the registered office of the Company, at any time up to and including the last business day before the day set for the holding of the meeting at which the proxy is to be used; or</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by the chair of the meeting, before the vote is taken.</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 xml:space="preserve">12.12 Form of Proxy. </w:t>
      </w:r>
      <w:r>
        <w:rPr>
          <w:rFonts w:ascii="Arial" w:cs="Arial" w:eastAsia="Arial" w:hAnsi="Arial"/>
          <w:sz w:val="17"/>
          <w:szCs w:val="17"/>
          <w:color w:val="auto"/>
        </w:rPr>
        <w:t>A proxy, whether for a specified meeting or otherwise, must be either in the following form or in any other form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directors or the chair of the meeting: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Company]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being a shareholder of the above named Company, hereby appoints ______________, or, failing that person,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 , as proxy holder for the undersigned to attend, act and vote for and on behalf of the undersigned at the meeting of shareholders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the Company to be held on [ __ day of _______, 202__] and at any adjournment of that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Signed this ___ day of _________, 202__.</w:t>
      </w: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_________________________</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of shareholder</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_________________________</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Name of shareholder - printed</w:t>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12.13</w:t>
        <w:tab/>
        <w:t xml:space="preserve">Revocation of Proxy. </w:t>
      </w:r>
      <w:r>
        <w:rPr>
          <w:rFonts w:ascii="Arial" w:cs="Arial" w:eastAsia="Arial" w:hAnsi="Arial"/>
          <w:sz w:val="17"/>
          <w:szCs w:val="17"/>
          <w:color w:val="auto"/>
        </w:rPr>
        <w:t>Subject to Article 12.14, every proxy may be revoked by an instrument in writing that is:</w:t>
      </w:r>
    </w:p>
    <w:p>
      <w:pPr>
        <w:spacing w:after="0" w:line="223" w:lineRule="exact"/>
        <w:rPr>
          <w:sz w:val="20"/>
          <w:szCs w:val="20"/>
          <w:color w:val="auto"/>
        </w:rPr>
      </w:pPr>
    </w:p>
    <w:p>
      <w:pPr>
        <w:ind w:left="1300" w:hanging="644"/>
        <w:spacing w:after="0" w:line="301" w:lineRule="auto"/>
        <w:tabs>
          <w:tab w:leader="none" w:pos="129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received at the registered office of the Company at any time up to and including the last business day before the day set for the holding of the meeting at which the proxy is to be used; or</w:t>
      </w:r>
    </w:p>
    <w:p>
      <w:pPr>
        <w:spacing w:after="0" w:line="144" w:lineRule="exact"/>
        <w:rPr>
          <w:rFonts w:ascii="Arial" w:cs="Arial" w:eastAsia="Arial" w:hAnsi="Arial"/>
          <w:sz w:val="17"/>
          <w:szCs w:val="17"/>
          <w:color w:val="auto"/>
        </w:rPr>
      </w:pPr>
    </w:p>
    <w:p>
      <w:pPr>
        <w:ind w:left="1280" w:hanging="624"/>
        <w:spacing w:after="0"/>
        <w:tabs>
          <w:tab w:leader="none" w:pos="12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provided, at the meeting, to the chair of the meeting.</w:t>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12.14</w:t>
        <w:tab/>
        <w:t xml:space="preserve">Revocation of Proxy Must Be Signed. </w:t>
      </w:r>
      <w:r>
        <w:rPr>
          <w:rFonts w:ascii="Arial" w:cs="Arial" w:eastAsia="Arial" w:hAnsi="Arial"/>
          <w:sz w:val="17"/>
          <w:szCs w:val="17"/>
          <w:color w:val="auto"/>
        </w:rPr>
        <w:t>An instrument referred to in Article 12.13 must be signed as follows:</w:t>
      </w:r>
    </w:p>
    <w:p>
      <w:pPr>
        <w:spacing w:after="0" w:line="223" w:lineRule="exact"/>
        <w:rPr>
          <w:sz w:val="20"/>
          <w:szCs w:val="20"/>
          <w:color w:val="auto"/>
        </w:rPr>
      </w:pPr>
    </w:p>
    <w:p>
      <w:pPr>
        <w:ind w:left="1300" w:hanging="644"/>
        <w:spacing w:after="0" w:line="284" w:lineRule="auto"/>
        <w:tabs>
          <w:tab w:leader="none" w:pos="129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the shareholder for whom the proxy holder is appointed is an individual, the instrument must be signed by the shareholder or his or her legal personal representative or trustee in bankruptcy;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hanging="644"/>
        <w:spacing w:after="0" w:line="284" w:lineRule="auto"/>
        <w:tabs>
          <w:tab w:leader="none" w:pos="12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if the shareholder for whom the proxy holder is appointed is a corporation, the instrument must be signed by the corporation or by a representative appointed for the corporation under Article 12.5.</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12.15 Production of Evidence of Authority to Vote. </w:t>
      </w:r>
      <w:r>
        <w:rPr>
          <w:rFonts w:ascii="Arial" w:cs="Arial" w:eastAsia="Arial" w:hAnsi="Arial"/>
          <w:sz w:val="17"/>
          <w:szCs w:val="17"/>
          <w:color w:val="auto"/>
        </w:rPr>
        <w:t>The chair of any meeting of shareholders may, but need not, inquire into the authority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to vote at the meeting and may, but need not, demand from that person production of evidence as to the existence of the authority to vote.</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12.16 Appointment of Attorney or Agent to Cast Vote in any other Corporation. </w:t>
      </w:r>
      <w:r>
        <w:rPr>
          <w:rFonts w:ascii="Arial" w:cs="Arial" w:eastAsia="Arial" w:hAnsi="Arial"/>
          <w:sz w:val="17"/>
          <w:szCs w:val="17"/>
          <w:color w:val="auto"/>
        </w:rPr>
        <w:t>Unless otherwise provided by directors resolution,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13</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DIRECTORS</w:t>
      </w:r>
    </w:p>
    <w:p>
      <w:pPr>
        <w:spacing w:after="0" w:line="200" w:lineRule="exact"/>
        <w:rPr>
          <w:sz w:val="20"/>
          <w:szCs w:val="20"/>
          <w:color w:val="auto"/>
        </w:rPr>
      </w:pPr>
    </w:p>
    <w:p>
      <w:pPr>
        <w:spacing w:after="0" w:line="266"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b w:val="1"/>
          <w:bCs w:val="1"/>
          <w:color w:val="auto"/>
        </w:rPr>
        <w:t xml:space="preserve">13.1 First Directors; Number of Directors. </w:t>
      </w:r>
      <w:r>
        <w:rPr>
          <w:rFonts w:ascii="Arial" w:cs="Arial" w:eastAsia="Arial" w:hAnsi="Arial"/>
          <w:sz w:val="17"/>
          <w:szCs w:val="17"/>
          <w:color w:val="auto"/>
        </w:rPr>
        <w:t>The first directors are the persons designated as directors of the Company in the Notice of Articles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applies to the Company when it is recognized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number of directors, excluding additional directors appointed under Article 14.8, is set at:</w:t>
      </w:r>
    </w:p>
    <w:p>
      <w:pPr>
        <w:spacing w:after="0" w:line="60"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the Company is a public company, the greater of three and the most recently set of:</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number of directors as determined by the Board; and</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number of directors set under Article 14.5;</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the Company is not a public company, the most recently set of:</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number of directors as determined by the Board; and</w:t>
      </w:r>
    </w:p>
    <w:p>
      <w:pPr>
        <w:spacing w:after="0" w:line="236" w:lineRule="exact"/>
        <w:rPr>
          <w:rFonts w:ascii="Arial" w:cs="Arial" w:eastAsia="Arial" w:hAnsi="Arial"/>
          <w:sz w:val="17"/>
          <w:szCs w:val="17"/>
          <w:color w:val="auto"/>
        </w:rPr>
      </w:pPr>
    </w:p>
    <w:p>
      <w:pPr>
        <w:ind w:left="1940" w:hanging="636"/>
        <w:spacing w:after="0"/>
        <w:tabs>
          <w:tab w:leader="none" w:pos="19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the number of directors set under Article 14.5.</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13.2 Change in Number of Directors. </w:t>
      </w:r>
      <w:r>
        <w:rPr>
          <w:rFonts w:ascii="Arial" w:cs="Arial" w:eastAsia="Arial" w:hAnsi="Arial"/>
          <w:sz w:val="17"/>
          <w:szCs w:val="17"/>
          <w:color w:val="auto"/>
        </w:rPr>
        <w:t>If the number of directors is changed pursuant to Article 13.1, the majority of the directors during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meeting or if by written resolution, by unanimous written consent of the directors may appoint a director or directors, as the case may be, to accommodate any vacancies in the Board of directors resulting from the change in the number of directors set by the shareholders.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 xml:space="preserve">13.3 Directors' Acts Valid Despite Vacancy. </w:t>
      </w:r>
      <w:r>
        <w:rPr>
          <w:rFonts w:ascii="Arial" w:cs="Arial" w:eastAsia="Arial" w:hAnsi="Arial"/>
          <w:sz w:val="17"/>
          <w:szCs w:val="17"/>
          <w:color w:val="auto"/>
        </w:rPr>
        <w:t>An act or proceeding of the directors is not invalid merely because fewer than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set or otherwise required under these Articles is in office.</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13.4 Remuneration of Directors. </w:t>
      </w:r>
      <w:r>
        <w:rPr>
          <w:rFonts w:ascii="Arial" w:cs="Arial" w:eastAsia="Arial" w:hAnsi="Arial"/>
          <w:sz w:val="17"/>
          <w:szCs w:val="17"/>
          <w:color w:val="auto"/>
        </w:rPr>
        <w:t>The directors are entitled to the remuneration for acting as directors, if any, as the directors may 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13.5 Reimbursement of Expenses of Directors. </w:t>
      </w:r>
      <w:r>
        <w:rPr>
          <w:rFonts w:ascii="Arial" w:cs="Arial" w:eastAsia="Arial" w:hAnsi="Arial"/>
          <w:sz w:val="17"/>
          <w:szCs w:val="17"/>
          <w:color w:val="auto"/>
        </w:rPr>
        <w:t>The Company must reimburse each director for the reasonable expenses that he or she may</w:t>
      </w:r>
      <w:r>
        <w:rPr>
          <w:rFonts w:ascii="Arial" w:cs="Arial" w:eastAsia="Arial" w:hAnsi="Arial"/>
          <w:sz w:val="17"/>
          <w:szCs w:val="17"/>
          <w:b w:val="1"/>
          <w:bCs w:val="1"/>
          <w:color w:val="auto"/>
        </w:rPr>
        <w:t xml:space="preserve"> </w:t>
      </w:r>
      <w:r>
        <w:rPr>
          <w:rFonts w:ascii="Arial" w:cs="Arial" w:eastAsia="Arial" w:hAnsi="Arial"/>
          <w:sz w:val="17"/>
          <w:szCs w:val="17"/>
          <w:color w:val="auto"/>
        </w:rPr>
        <w:t>incur in and about the business of the Company.</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Special Remuneration for Directors. If any director performs any professional or other services for the Company that in the opinion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9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b w:val="1"/>
          <w:bCs w:val="1"/>
          <w:color w:val="auto"/>
        </w:rPr>
        <w:t xml:space="preserve">13.7 </w:t>
      </w:r>
      <w:r>
        <w:rPr>
          <w:rFonts w:ascii="Arial" w:cs="Arial" w:eastAsia="Arial" w:hAnsi="Arial"/>
          <w:sz w:val="17"/>
          <w:szCs w:val="17"/>
          <w:color w:val="auto"/>
        </w:rPr>
        <w:t>Gratuity, Pension or Allowance on Retirement of Director. Unless otherwise determined by ordinary resolution, the directors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pay a gratuity or pension or allowance on retirement to any director who has held any salaried office or place of profit with the Company or to his or her spouse or dependents and may make contributions to any fund and pay premiums for the purchase or provision of any such gratuity, pension or allowance.</w:t>
      </w:r>
    </w:p>
    <w:p>
      <w:pPr>
        <w:spacing w:after="0" w:line="7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14</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ELECTION AND REMOVAL OF DIRECTORS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14.1 Procedure for Election of Directors; Required Vote. </w:t>
      </w:r>
      <w:r>
        <w:rPr>
          <w:rFonts w:ascii="Arial" w:cs="Arial" w:eastAsia="Arial" w:hAnsi="Arial"/>
          <w:sz w:val="17"/>
          <w:szCs w:val="17"/>
          <w:color w:val="auto"/>
        </w:rPr>
        <w:t>Election of directors at all meetings of the shareholders at which directors are to be</w:t>
      </w:r>
      <w:r>
        <w:rPr>
          <w:rFonts w:ascii="Arial" w:cs="Arial" w:eastAsia="Arial" w:hAnsi="Arial"/>
          <w:sz w:val="17"/>
          <w:szCs w:val="17"/>
          <w:b w:val="1"/>
          <w:bCs w:val="1"/>
          <w:color w:val="auto"/>
        </w:rPr>
        <w:t xml:space="preserve"> </w:t>
      </w:r>
      <w:r>
        <w:rPr>
          <w:rFonts w:ascii="Arial" w:cs="Arial" w:eastAsia="Arial" w:hAnsi="Arial"/>
          <w:sz w:val="17"/>
          <w:szCs w:val="17"/>
          <w:color w:val="auto"/>
        </w:rPr>
        <w:t>elected need 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14.2 Election and Rotation at Annual General Meeting. </w:t>
      </w:r>
      <w:r>
        <w:rPr>
          <w:rFonts w:ascii="Arial" w:cs="Arial" w:eastAsia="Arial" w:hAnsi="Arial"/>
          <w:sz w:val="17"/>
          <w:szCs w:val="17"/>
          <w:color w:val="auto"/>
        </w:rPr>
        <w:t>The directors of the Company shall be elected and divided into three classes, 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nearly equal in number as is ratably possible: Class I directors, Class II directors and Class III directors </w:t>
      </w:r>
      <w:r>
        <w:rPr>
          <w:rFonts w:ascii="Arial" w:cs="Arial" w:eastAsia="Arial" w:hAnsi="Arial"/>
          <w:sz w:val="17"/>
          <w:szCs w:val="17"/>
          <w:b w:val="1"/>
          <w:bCs w:val="1"/>
          <w:color w:val="EE2724"/>
          <w:strike w:val="1"/>
        </w:rPr>
        <w:t>and shall retire in rotation such that each</w:t>
      </w:r>
      <w:r>
        <w:rPr>
          <w:rFonts w:ascii="Arial" w:cs="Arial" w:eastAsia="Arial" w:hAnsi="Arial"/>
          <w:sz w:val="17"/>
          <w:szCs w:val="17"/>
          <w:color w:val="auto"/>
        </w:rPr>
        <w:t xml:space="preserve"> </w:t>
      </w:r>
      <w:r>
        <w:rPr>
          <w:rFonts w:ascii="Arial" w:cs="Arial" w:eastAsia="Arial" w:hAnsi="Arial"/>
          <w:sz w:val="17"/>
          <w:szCs w:val="17"/>
          <w:b w:val="1"/>
          <w:bCs w:val="1"/>
          <w:color w:val="EE2724"/>
          <w:strike w:val="1"/>
        </w:rPr>
        <w:t>director is always appointed for a three-year term.</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FF0000"/>
          <w:strike w:val="1"/>
        </w:rPr>
        <w:t xml:space="preserve">Each director shall serve for a term ending on the third annual meeting following the annual meeting of shareholders at which such director was elected; provided, however, that the directors first elected to Class I shall serve for a term expiring at the next annual meeting of shareholders following the end </w:t>
      </w:r>
      <w:r>
        <w:rPr>
          <w:rFonts w:ascii="Arial" w:cs="Arial" w:eastAsia="Arial" w:hAnsi="Arial"/>
          <w:sz w:val="17"/>
          <w:szCs w:val="17"/>
          <w:b w:val="1"/>
          <w:bCs w:val="1"/>
          <w:color w:val="0000FF"/>
          <w:strike w:val="1"/>
        </w:rPr>
        <w:t>The terms</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of the</w:t>
      </w:r>
      <w:r>
        <w:rPr>
          <w:rFonts w:ascii="Arial" w:cs="Arial" w:eastAsia="Arial" w:hAnsi="Arial"/>
          <w:sz w:val="17"/>
          <w:szCs w:val="17"/>
          <w:b w:val="1"/>
          <w:bCs w:val="1"/>
          <w:color w:val="FF0000"/>
          <w:strike w:val="1"/>
        </w:rPr>
        <w:t xml:space="preserve"> 2017 calendar year,</w:t>
      </w:r>
      <w:r>
        <w:rPr>
          <w:rFonts w:ascii="Arial" w:cs="Arial" w:eastAsia="Arial" w:hAnsi="Arial"/>
          <w:sz w:val="17"/>
          <w:szCs w:val="17"/>
          <w:b w:val="1"/>
          <w:bCs w:val="1"/>
          <w:color w:val="0000FF"/>
          <w:strike w:val="1"/>
        </w:rPr>
        <w:t>class designated as</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the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Class II</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directors</w:t>
      </w:r>
      <w:r>
        <w:rPr>
          <w:rFonts w:ascii="Arial" w:cs="Arial" w:eastAsia="Arial" w:hAnsi="Arial"/>
          <w:sz w:val="17"/>
          <w:szCs w:val="17"/>
          <w:b w:val="1"/>
          <w:bCs w:val="1"/>
          <w:color w:val="FF0000"/>
          <w:strike w:val="1"/>
        </w:rPr>
        <w:t xml:space="preserve"> first elected to Class II </w:t>
      </w:r>
      <w:r>
        <w:rPr>
          <w:rFonts w:ascii="Arial" w:cs="Arial" w:eastAsia="Arial" w:hAnsi="Arial"/>
          <w:sz w:val="17"/>
          <w:szCs w:val="17"/>
          <w:b w:val="1"/>
          <w:bCs w:val="1"/>
          <w:color w:val="000000"/>
          <w:strike w:val="1"/>
        </w:rPr>
        <w:t>shall</w:t>
      </w:r>
      <w:r>
        <w:rPr>
          <w:rFonts w:ascii="Arial" w:cs="Arial" w:eastAsia="Arial" w:hAnsi="Arial"/>
          <w:sz w:val="17"/>
          <w:szCs w:val="17"/>
          <w:b w:val="1"/>
          <w:bCs w:val="1"/>
          <w:color w:val="FF0000"/>
          <w:strike w:val="1"/>
        </w:rPr>
        <w:t xml:space="preserve"> serve for a term expiring </w:t>
      </w:r>
      <w:r>
        <w:rPr>
          <w:rFonts w:ascii="Arial" w:cs="Arial" w:eastAsia="Arial" w:hAnsi="Arial"/>
          <w:sz w:val="17"/>
          <w:szCs w:val="17"/>
          <w:b w:val="1"/>
          <w:bCs w:val="1"/>
          <w:color w:val="0000FF"/>
          <w:strike w:val="1"/>
        </w:rPr>
        <w:t>expire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at the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2025</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annual meeting of shareholders</w:t>
      </w:r>
      <w:r>
        <w:rPr>
          <w:rFonts w:ascii="Arial" w:cs="Arial" w:eastAsia="Arial" w:hAnsi="Arial"/>
          <w:sz w:val="17"/>
          <w:szCs w:val="17"/>
          <w:b w:val="1"/>
          <w:bCs w:val="1"/>
          <w:color w:val="FF0000"/>
          <w:strike w:val="1"/>
        </w:rPr>
        <w:t xml:space="preserve"> following the end</w:t>
      </w:r>
      <w:r>
        <w:rPr>
          <w:rFonts w:ascii="Arial" w:cs="Arial" w:eastAsia="Arial" w:hAnsi="Arial"/>
          <w:sz w:val="17"/>
          <w:szCs w:val="17"/>
          <w:b w:val="1"/>
          <w:bCs w:val="1"/>
          <w:color w:val="0000FF"/>
          <w:strike w:val="1"/>
        </w:rPr>
        <w:t>, the terms</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of the</w:t>
      </w:r>
      <w:r>
        <w:rPr>
          <w:rFonts w:ascii="Arial" w:cs="Arial" w:eastAsia="Arial" w:hAnsi="Arial"/>
          <w:sz w:val="17"/>
          <w:szCs w:val="17"/>
          <w:b w:val="1"/>
          <w:bCs w:val="1"/>
          <w:color w:val="FF0000"/>
          <w:strike w:val="1"/>
        </w:rPr>
        <w:t xml:space="preserve"> 2015 calendar year, and the directors first elected to </w:t>
      </w:r>
      <w:r>
        <w:rPr>
          <w:rFonts w:ascii="Arial" w:cs="Arial" w:eastAsia="Arial" w:hAnsi="Arial"/>
          <w:sz w:val="17"/>
          <w:szCs w:val="17"/>
          <w:b w:val="1"/>
          <w:bCs w:val="1"/>
          <w:color w:val="0000FF"/>
          <w:strike w:val="1"/>
        </w:rPr>
        <w:t>class designated as the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Class III</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directors</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shall</w:t>
      </w:r>
      <w:r>
        <w:rPr>
          <w:rFonts w:ascii="Arial" w:cs="Arial" w:eastAsia="Arial" w:hAnsi="Arial"/>
          <w:sz w:val="17"/>
          <w:szCs w:val="17"/>
          <w:b w:val="1"/>
          <w:bCs w:val="1"/>
          <w:color w:val="FF0000"/>
          <w:strike w:val="1"/>
        </w:rPr>
        <w:t xml:space="preserve"> serve for a term expiring </w:t>
      </w:r>
      <w:r>
        <w:rPr>
          <w:rFonts w:ascii="Arial" w:cs="Arial" w:eastAsia="Arial" w:hAnsi="Arial"/>
          <w:sz w:val="17"/>
          <w:szCs w:val="17"/>
          <w:b w:val="1"/>
          <w:bCs w:val="1"/>
          <w:color w:val="0000FF"/>
          <w:strike w:val="1"/>
        </w:rPr>
        <w:t>expire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at the</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2026</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annual</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00"/>
          <w:strike w:val="1"/>
        </w:rPr>
        <w:t xml:space="preserve">meeting of shareholders </w:t>
      </w:r>
      <w:r>
        <w:rPr>
          <w:rFonts w:ascii="Arial" w:cs="Arial" w:eastAsia="Arial" w:hAnsi="Arial"/>
          <w:sz w:val="17"/>
          <w:szCs w:val="17"/>
          <w:b w:val="1"/>
          <w:bCs w:val="1"/>
          <w:color w:val="FF0000"/>
          <w:strike w:val="1"/>
        </w:rPr>
        <w:t>following</w:t>
      </w:r>
      <w:r>
        <w:rPr>
          <w:rFonts w:ascii="Arial" w:cs="Arial" w:eastAsia="Arial" w:hAnsi="Arial"/>
          <w:sz w:val="17"/>
          <w:szCs w:val="17"/>
          <w:b w:val="1"/>
          <w:bCs w:val="1"/>
          <w:color w:val="0000FF"/>
          <w:strike w:val="1"/>
        </w:rPr>
        <w:t>, and</w:t>
      </w:r>
      <w:r>
        <w:rPr>
          <w:rFonts w:ascii="Arial" w:cs="Arial" w:eastAsia="Arial" w:hAnsi="Arial"/>
          <w:sz w:val="17"/>
          <w:szCs w:val="17"/>
          <w:b w:val="1"/>
          <w:bCs w:val="1"/>
          <w:color w:val="000000"/>
          <w:strike w:val="1"/>
        </w:rPr>
        <w:t xml:space="preserve"> the </w:t>
      </w:r>
      <w:r>
        <w:rPr>
          <w:rFonts w:ascii="Arial" w:cs="Arial" w:eastAsia="Arial" w:hAnsi="Arial"/>
          <w:sz w:val="17"/>
          <w:szCs w:val="17"/>
          <w:b w:val="1"/>
          <w:bCs w:val="1"/>
          <w:color w:val="FF0000"/>
          <w:strike w:val="1"/>
        </w:rPr>
        <w:t>end</w:t>
      </w:r>
      <w:r>
        <w:rPr>
          <w:rFonts w:ascii="Arial" w:cs="Arial" w:eastAsia="Arial" w:hAnsi="Arial"/>
          <w:sz w:val="17"/>
          <w:szCs w:val="17"/>
          <w:b w:val="1"/>
          <w:bCs w:val="1"/>
          <w:color w:val="000000"/>
          <w:strike w:val="1"/>
        </w:rPr>
        <w:t xml:space="preserve"> </w:t>
      </w:r>
      <w:r>
        <w:rPr>
          <w:rFonts w:ascii="Arial" w:cs="Arial" w:eastAsia="Arial" w:hAnsi="Arial"/>
          <w:sz w:val="17"/>
          <w:szCs w:val="17"/>
          <w:b w:val="1"/>
          <w:bCs w:val="1"/>
          <w:color w:val="0000FF"/>
          <w:strike w:val="1"/>
        </w:rPr>
        <w:t>terms</w:t>
      </w:r>
      <w:r>
        <w:rPr>
          <w:rFonts w:ascii="Arial" w:cs="Arial" w:eastAsia="Arial" w:hAnsi="Arial"/>
          <w:sz w:val="17"/>
          <w:szCs w:val="17"/>
          <w:b w:val="1"/>
          <w:bCs w:val="1"/>
          <w:color w:val="000000"/>
          <w:strike w:val="1"/>
        </w:rPr>
        <w:t xml:space="preserve"> of the </w:t>
      </w:r>
      <w:r>
        <w:rPr>
          <w:rFonts w:ascii="Arial" w:cs="Arial" w:eastAsia="Arial" w:hAnsi="Arial"/>
          <w:sz w:val="17"/>
          <w:szCs w:val="17"/>
          <w:b w:val="1"/>
          <w:bCs w:val="1"/>
          <w:color w:val="FF0000"/>
          <w:strike w:val="1"/>
        </w:rPr>
        <w:t>2016 calendar year. Each director shall hold office until the</w:t>
      </w:r>
      <w:r>
        <w:rPr>
          <w:rFonts w:ascii="Arial" w:cs="Arial" w:eastAsia="Arial" w:hAnsi="Arial"/>
          <w:sz w:val="17"/>
          <w:szCs w:val="17"/>
          <w:b w:val="1"/>
          <w:bCs w:val="1"/>
          <w:color w:val="000000"/>
          <w:strike w:val="1"/>
        </w:rPr>
        <w:t xml:space="preserve"> </w:t>
      </w:r>
      <w:r>
        <w:rPr>
          <w:rFonts w:ascii="Arial" w:cs="Arial" w:eastAsia="Arial" w:hAnsi="Arial"/>
          <w:sz w:val="17"/>
          <w:szCs w:val="17"/>
          <w:b w:val="1"/>
          <w:bCs w:val="1"/>
          <w:color w:val="0000FF"/>
          <w:strike w:val="1"/>
        </w:rPr>
        <w:t>class designated</w:t>
      </w:r>
      <w:r>
        <w:rPr>
          <w:rFonts w:ascii="Arial" w:cs="Arial" w:eastAsia="Arial" w:hAnsi="Arial"/>
          <w:sz w:val="17"/>
          <w:szCs w:val="17"/>
          <w:b w:val="1"/>
          <w:bCs w:val="1"/>
          <w:color w:val="000000"/>
          <w:strike w:val="1"/>
        </w:rPr>
        <w:t xml:space="preserve"> </w:t>
      </w:r>
      <w:r>
        <w:rPr>
          <w:rFonts w:ascii="Arial" w:cs="Arial" w:eastAsia="Arial" w:hAnsi="Arial"/>
          <w:sz w:val="17"/>
          <w:szCs w:val="17"/>
          <w:b w:val="1"/>
          <w:bCs w:val="1"/>
          <w:color w:val="0000FF"/>
          <w:strike w:val="1"/>
        </w:rPr>
        <w:t xml:space="preserve">as the Class I directors shall expire at the 2027 annual meeting of shareholders; provided that such division of directors into classes shall terminate upon the election of directors at the 2027 annual meeting of shareholders. Each director elected by the shareholders at the 2025 annual meeting of stockholders and thereafter shall serve for a term expiring at the next succeeding </w:t>
      </w:r>
      <w:r>
        <w:rPr>
          <w:rFonts w:ascii="Arial" w:cs="Arial" w:eastAsia="Arial" w:hAnsi="Arial"/>
          <w:sz w:val="17"/>
          <w:szCs w:val="17"/>
          <w:b w:val="1"/>
          <w:bCs w:val="1"/>
          <w:color w:val="000000"/>
          <w:strike w:val="1"/>
        </w:rPr>
        <w:t>annual meeting of shareholders</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at</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which such director's term expires and, the foregoing notwithstanding, shall serve until his or her successor shall</w:t>
      </w:r>
      <w:r>
        <w:rPr>
          <w:rFonts w:ascii="Arial" w:cs="Arial" w:eastAsia="Arial" w:hAnsi="Arial"/>
          <w:sz w:val="17"/>
          <w:szCs w:val="17"/>
          <w:b w:val="1"/>
          <w:bCs w:val="1"/>
          <w:color w:val="0000FF"/>
          <w:strike w:val="1"/>
        </w:rPr>
        <w:t>. Directors shall hold</w:t>
      </w:r>
      <w:r>
        <w:rPr>
          <w:rFonts w:ascii="Arial" w:cs="Arial" w:eastAsia="Arial" w:hAnsi="Arial"/>
          <w:sz w:val="17"/>
          <w:szCs w:val="17"/>
          <w:b w:val="1"/>
          <w:bCs w:val="1"/>
          <w:color w:val="FF0000"/>
          <w:strike w:val="1"/>
        </w:rPr>
        <w:t xml:space="preserve"> </w:t>
      </w:r>
      <w:r>
        <w:rPr>
          <w:rFonts w:ascii="Arial" w:cs="Arial" w:eastAsia="Arial" w:hAnsi="Arial"/>
          <w:sz w:val="17"/>
          <w:szCs w:val="17"/>
          <w:b w:val="1"/>
          <w:bCs w:val="1"/>
          <w:color w:val="0000FF"/>
          <w:strike w:val="1"/>
        </w:rPr>
        <w:t xml:space="preserve">office until </w:t>
      </w:r>
      <w:r>
        <w:rPr>
          <w:rFonts w:ascii="Arial" w:cs="Arial" w:eastAsia="Arial" w:hAnsi="Arial"/>
          <w:sz w:val="17"/>
          <w:szCs w:val="17"/>
          <w:b w:val="1"/>
          <w:bCs w:val="1"/>
          <w:color w:val="FF0000"/>
          <w:strike w:val="1"/>
        </w:rPr>
        <w:t>the</w:t>
      </w:r>
      <w:r>
        <w:rPr>
          <w:rFonts w:ascii="Arial" w:cs="Arial" w:eastAsia="Arial" w:hAnsi="Arial"/>
          <w:sz w:val="17"/>
          <w:szCs w:val="17"/>
          <w:b w:val="1"/>
          <w:bCs w:val="1"/>
          <w:color w:val="0000FF"/>
          <w:strike w:val="1"/>
        </w:rPr>
        <w:t xml:space="preserve">their successors </w:t>
      </w:r>
      <w:r>
        <w:rPr>
          <w:rFonts w:ascii="Arial" w:cs="Arial" w:eastAsia="Arial" w:hAnsi="Arial"/>
          <w:sz w:val="17"/>
          <w:szCs w:val="17"/>
          <w:b w:val="1"/>
          <w:bCs w:val="1"/>
          <w:color w:val="000000"/>
          <w:strike w:val="1"/>
        </w:rPr>
        <w:t>have been duly elected and qualified</w:t>
      </w:r>
      <w:r>
        <w:rPr>
          <w:rFonts w:ascii="Arial" w:cs="Arial" w:eastAsia="Arial" w:hAnsi="Arial"/>
          <w:sz w:val="17"/>
          <w:szCs w:val="17"/>
          <w:b w:val="1"/>
          <w:bCs w:val="1"/>
          <w:color w:val="0000FF"/>
          <w:strike w:val="1"/>
        </w:rPr>
        <w:t xml:space="preserve"> </w:t>
      </w:r>
      <w:r>
        <w:rPr>
          <w:rFonts w:ascii="Arial" w:cs="Arial" w:eastAsia="Arial" w:hAnsi="Arial"/>
          <w:sz w:val="17"/>
          <w:szCs w:val="17"/>
          <w:b w:val="1"/>
          <w:bCs w:val="1"/>
          <w:color w:val="FF0000"/>
          <w:strike w:val="1"/>
        </w:rPr>
        <w:t>or until his or her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4597400</wp:posOffset>
            </wp:positionH>
            <wp:positionV relativeFrom="paragraph">
              <wp:posOffset>-1381760</wp:posOffset>
            </wp:positionV>
            <wp:extent cx="469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6990" cy="8255"/>
                    </a:xfrm>
                    <a:prstGeom prst="rect">
                      <a:avLst/>
                    </a:prstGeom>
                    <a:noFill/>
                  </pic:spPr>
                </pic:pic>
              </a:graphicData>
            </a:graphic>
          </wp:anchor>
        </w:drawing>
        <w:drawing>
          <wp:anchor simplePos="0" relativeHeight="251657728" behindDoc="1" locked="0" layoutInCell="0" allowOverlap="1">
            <wp:simplePos x="0" y="0"/>
            <wp:positionH relativeFrom="column">
              <wp:posOffset>6998970</wp:posOffset>
            </wp:positionH>
            <wp:positionV relativeFrom="paragraph">
              <wp:posOffset>-335915</wp:posOffset>
            </wp:positionV>
            <wp:extent cx="1352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5255" cy="8890"/>
                    </a:xfrm>
                    <a:prstGeom prst="rect">
                      <a:avLst/>
                    </a:prstGeom>
                    <a:noFill/>
                  </pic:spPr>
                </pic:pic>
              </a:graphicData>
            </a:graphic>
          </wp:anchor>
        </w:drawing>
        <w:drawing>
          <wp:anchor simplePos="0" relativeHeight="251657728" behindDoc="1" locked="0" layoutInCell="0" allowOverlap="1">
            <wp:simplePos x="0" y="0"/>
            <wp:positionH relativeFrom="column">
              <wp:posOffset>3525520</wp:posOffset>
            </wp:positionH>
            <wp:positionV relativeFrom="paragraph">
              <wp:posOffset>-78740</wp:posOffset>
            </wp:positionV>
            <wp:extent cx="2857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57500" cy="8890"/>
                    </a:xfrm>
                    <a:prstGeom prst="rect">
                      <a:avLst/>
                    </a:prstGeom>
                    <a:noFill/>
                  </pic:spPr>
                </pic:pic>
              </a:graphicData>
            </a:graphic>
          </wp:anchor>
        </w:drawing>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FF0000"/>
          <w:strike w:val="1"/>
        </w:rPr>
        <w:t>At such annual</w:t>
      </w:r>
      <w:r>
        <w:rPr>
          <w:rFonts w:ascii="Arial" w:cs="Arial" w:eastAsia="Arial" w:hAnsi="Arial"/>
          <w:sz w:val="17"/>
          <w:szCs w:val="17"/>
          <w:b w:val="1"/>
          <w:bCs w:val="1"/>
          <w:color w:val="0000FF"/>
        </w:rPr>
        <w:t>, subject however, to prior death, resignation, disqualification or removal from office. Until the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election</w:t>
      </w:r>
      <w:r>
        <w:rPr>
          <w:rFonts w:ascii="Arial" w:cs="Arial" w:eastAsia="Arial" w:hAnsi="Arial"/>
          <w:sz w:val="17"/>
          <w:szCs w:val="17"/>
          <w:b w:val="1"/>
          <w:bCs w:val="1"/>
          <w:color w:val="FF0000"/>
          <w:strike w:val="1"/>
        </w:rPr>
        <w:t>, the directors</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chosen to succeed those whose terms then expire shall be of the same class as the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FF"/>
        </w:rPr>
        <w:t>of</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directors</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they succeed, unless, by reason of any</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intervening changes</w:t>
      </w:r>
      <w:r>
        <w:rPr>
          <w:rFonts w:ascii="Arial" w:cs="Arial" w:eastAsia="Arial" w:hAnsi="Arial"/>
          <w:sz w:val="17"/>
          <w:szCs w:val="17"/>
          <w:b w:val="1"/>
          <w:bCs w:val="1"/>
          <w:color w:val="0000FF"/>
        </w:rPr>
        <w:t>at the 2027 annual meeting of shareholders, in case of any increase or decrease, from time to time,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in the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authorized</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 xml:space="preserve">number of directors, the </w:t>
      </w:r>
      <w:r>
        <w:rPr>
          <w:rFonts w:ascii="Arial" w:cs="Arial" w:eastAsia="Arial" w:hAnsi="Arial"/>
          <w:sz w:val="17"/>
          <w:szCs w:val="17"/>
          <w:b w:val="1"/>
          <w:bCs w:val="1"/>
          <w:color w:val="FF0000"/>
          <w:strike w:val="1"/>
        </w:rPr>
        <w:t>Board shall have designated one or more directorships whose terms then expire as directorships of another</w:t>
      </w:r>
      <w:r>
        <w:rPr>
          <w:rFonts w:ascii="Arial" w:cs="Arial" w:eastAsia="Arial" w:hAnsi="Arial"/>
          <w:sz w:val="17"/>
          <w:szCs w:val="17"/>
          <w:b w:val="1"/>
          <w:bCs w:val="1"/>
          <w:color w:val="000000"/>
        </w:rPr>
        <w:t xml:space="preserve"> </w:t>
      </w:r>
      <w:r>
        <w:rPr>
          <w:rFonts w:ascii="Arial" w:cs="Arial" w:eastAsia="Arial" w:hAnsi="Arial"/>
          <w:sz w:val="17"/>
          <w:szCs w:val="17"/>
          <w:b w:val="1"/>
          <w:bCs w:val="1"/>
          <w:color w:val="FF0000"/>
          <w:strike w:val="1"/>
        </w:rPr>
        <w:t>class in order to more nearly achieve equality of</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number of directors</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among the classes. In the event of any changes in the authorized</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number of directors, each director then continuing to serve shall nevertheless continue as a director of the class of which he or she is a member until the expiration of his or her current term, or his or her prior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-82550</wp:posOffset>
            </wp:positionV>
            <wp:extent cx="2984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color w:val="FF0000"/>
          <w:strike w:val="1"/>
        </w:rPr>
        <w:t>The Board, or shareholders, as applicable, shall specify the class to which a newly created directorship</w:t>
      </w:r>
      <w:r>
        <w:rPr>
          <w:rFonts w:ascii="Arial" w:cs="Arial" w:eastAsia="Arial" w:hAnsi="Arial"/>
          <w:sz w:val="17"/>
          <w:szCs w:val="17"/>
          <w:b w:val="1"/>
          <w:bCs w:val="1"/>
          <w:color w:val="0000FF"/>
        </w:rPr>
        <w:t>in each class</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000000"/>
        </w:rPr>
        <w:t>shall be</w:t>
      </w:r>
      <w:r>
        <w:rPr>
          <w:rFonts w:ascii="Arial" w:cs="Arial" w:eastAsia="Arial" w:hAnsi="Arial"/>
          <w:sz w:val="17"/>
          <w:szCs w:val="17"/>
          <w:b w:val="1"/>
          <w:bCs w:val="1"/>
          <w:color w:val="FF0000"/>
        </w:rPr>
        <w:t xml:space="preserve"> </w:t>
      </w:r>
      <w:r>
        <w:rPr>
          <w:rFonts w:ascii="Arial" w:cs="Arial" w:eastAsia="Arial" w:hAnsi="Arial"/>
          <w:sz w:val="17"/>
          <w:szCs w:val="17"/>
          <w:b w:val="1"/>
          <w:bCs w:val="1"/>
          <w:color w:val="FF0000"/>
          <w:strike w:val="1"/>
        </w:rPr>
        <w:t>allocated</w:t>
      </w:r>
      <w:r>
        <w:rPr>
          <w:rFonts w:ascii="Arial" w:cs="Arial" w:eastAsia="Arial" w:hAnsi="Arial"/>
          <w:sz w:val="17"/>
          <w:szCs w:val="17"/>
          <w:b w:val="1"/>
          <w:bCs w:val="1"/>
          <w:color w:val="0000FF"/>
        </w:rPr>
        <w:t>apportioned in the manner determined by the Board of Directors</w:t>
      </w:r>
      <w:r>
        <w:rPr>
          <w:rFonts w:ascii="Arial" w:cs="Arial" w:eastAsia="Arial" w:hAnsi="Arial"/>
          <w:sz w:val="17"/>
          <w:szCs w:val="17"/>
          <w:b w:val="1"/>
          <w:bCs w:val="1"/>
          <w:color w:val="000000"/>
        </w:rPr>
        <w:t>.</w:t>
      </w:r>
    </w:p>
    <w:p>
      <w:pPr>
        <w:spacing w:after="0" w:line="1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14.3</w:t>
        <w:tab/>
        <w:t xml:space="preserve">Consent to be a Director. </w:t>
      </w:r>
      <w:r>
        <w:rPr>
          <w:rFonts w:ascii="Arial" w:cs="Arial" w:eastAsia="Arial" w:hAnsi="Arial"/>
          <w:sz w:val="17"/>
          <w:szCs w:val="17"/>
          <w:color w:val="auto"/>
        </w:rPr>
        <w:t>No election, appointment or designation of an individual as a director is valid unless:</w:t>
      </w:r>
    </w:p>
    <w:p>
      <w:pPr>
        <w:spacing w:after="0" w:line="223"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that individual consents to be a director in the manner provided for in the </w:t>
      </w:r>
      <w:r>
        <w:rPr>
          <w:rFonts w:ascii="Arial" w:cs="Arial" w:eastAsia="Arial" w:hAnsi="Arial"/>
          <w:sz w:val="17"/>
          <w:szCs w:val="17"/>
          <w:i w:val="1"/>
          <w:iCs w:val="1"/>
          <w:color w:val="auto"/>
        </w:rPr>
        <w:t>Business Corporations Act;</w:t>
      </w:r>
    </w:p>
    <w:p>
      <w:pPr>
        <w:spacing w:after="0" w:line="223" w:lineRule="exact"/>
        <w:rPr>
          <w:rFonts w:ascii="Arial" w:cs="Arial" w:eastAsia="Arial" w:hAnsi="Arial"/>
          <w:sz w:val="17"/>
          <w:szCs w:val="17"/>
          <w:color w:val="auto"/>
        </w:rPr>
      </w:pPr>
    </w:p>
    <w:p>
      <w:pPr>
        <w:ind w:left="1300" w:right="20" w:hanging="644"/>
        <w:spacing w:after="0" w:line="284" w:lineRule="auto"/>
        <w:tabs>
          <w:tab w:leader="none" w:pos="12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that individual is elected or appointed at a meeting at which the individual is present and the individual does not refuse, at the meeting, to be a director; or</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with respect to first directors, the designation is otherwise valid under the </w:t>
      </w:r>
      <w:r>
        <w:rPr>
          <w:rFonts w:ascii="Arial" w:cs="Arial" w:eastAsia="Arial" w:hAnsi="Arial"/>
          <w:sz w:val="17"/>
          <w:szCs w:val="17"/>
          <w:i w:val="1"/>
          <w:iCs w:val="1"/>
          <w:color w:val="auto"/>
        </w:rPr>
        <w:t>Business Corporations Act.</w:t>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14.4</w:t>
        <w:tab/>
        <w:t xml:space="preserve">Failure to Elect or Appoint Directors. </w:t>
      </w:r>
      <w:r>
        <w:rPr>
          <w:rFonts w:ascii="Arial" w:cs="Arial" w:eastAsia="Arial" w:hAnsi="Arial"/>
          <w:sz w:val="17"/>
          <w:szCs w:val="17"/>
          <w:color w:val="auto"/>
        </w:rPr>
        <w:t>If:</w:t>
      </w:r>
    </w:p>
    <w:p>
      <w:pPr>
        <w:spacing w:after="0" w:line="223" w:lineRule="exact"/>
        <w:rPr>
          <w:sz w:val="20"/>
          <w:szCs w:val="20"/>
          <w:color w:val="auto"/>
        </w:rPr>
      </w:pPr>
    </w:p>
    <w:p>
      <w:pPr>
        <w:ind w:left="1300" w:right="20" w:hanging="644"/>
        <w:spacing w:after="0" w:line="284" w:lineRule="auto"/>
        <w:tabs>
          <w:tab w:leader="none" w:pos="1294"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Company fails to hold an annual general meeting, on or before the date by which the annual general meeting is required to be held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or</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shareholders fail, at the annual general meeting, to elect or appoint any directors;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then each director then in office continues to hold office until the earlier of:</w:t>
      </w:r>
    </w:p>
    <w:p>
      <w:pPr>
        <w:spacing w:after="0" w:line="223"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date on which his or her successor is elected or appointed; and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the date on which he or she otherwise ceases to hold office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14.5 Places of Retiring Directors Not Filled. </w:t>
      </w:r>
      <w:r>
        <w:rPr>
          <w:rFonts w:ascii="Arial" w:cs="Arial" w:eastAsia="Arial" w:hAnsi="Arial"/>
          <w:sz w:val="17"/>
          <w:szCs w:val="17"/>
          <w:color w:val="auto"/>
        </w:rPr>
        <w:t>If, at any meeting of shareholders at which there should be an election of directors, the places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14.6 Directors May Fill Vacancies. </w:t>
      </w:r>
      <w:r>
        <w:rPr>
          <w:rFonts w:ascii="Arial" w:cs="Arial" w:eastAsia="Arial" w:hAnsi="Arial"/>
          <w:sz w:val="17"/>
          <w:szCs w:val="17"/>
          <w:color w:val="auto"/>
        </w:rPr>
        <w:t>Any vacancy occurring in the Board may only be filled by a majority of the directors during a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meeting or if by written resolution, by unanimous written consent of the directors. </w:t>
      </w:r>
      <w:r>
        <w:rPr>
          <w:rFonts w:ascii="Arial" w:cs="Arial" w:eastAsia="Arial" w:hAnsi="Arial"/>
          <w:sz w:val="17"/>
          <w:szCs w:val="17"/>
          <w:b w:val="1"/>
          <w:bCs w:val="1"/>
          <w:u w:val="single" w:color="auto"/>
          <w:color w:val="0000FF"/>
        </w:rPr>
        <w:t>Any director so chosen shall hold office until the next election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of the class for which such director (whose vacancy is being filled)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14.7 Remaining Directors Power to Act. </w:t>
      </w:r>
      <w:r>
        <w:rPr>
          <w:rFonts w:ascii="Arial" w:cs="Arial" w:eastAsia="Arial" w:hAnsi="Arial"/>
          <w:sz w:val="17"/>
          <w:szCs w:val="17"/>
          <w:color w:val="auto"/>
        </w:rPr>
        <w:t>The directors may act notwithstanding any vacancy in the Board, but if the Company has fewer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in office 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 xml:space="preserve">14.8 Additional Directors. </w:t>
      </w:r>
      <w:r>
        <w:rPr>
          <w:rFonts w:ascii="Arial" w:cs="Arial" w:eastAsia="Arial" w:hAnsi="Arial"/>
          <w:sz w:val="17"/>
          <w:szCs w:val="17"/>
          <w:color w:val="auto"/>
        </w:rPr>
        <w:t>Notwithstanding Articles 13.1 and 13.2, between annual general meetings, a majority of the directors may appoint</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additional directors, but the number of additional directors appointed under this Article 14.8 must not at any time exceed:</w:t>
      </w:r>
    </w:p>
    <w:p>
      <w:pPr>
        <w:spacing w:after="0" w:line="158" w:lineRule="exact"/>
        <w:rPr>
          <w:sz w:val="20"/>
          <w:szCs w:val="20"/>
          <w:color w:val="auto"/>
        </w:rPr>
      </w:pPr>
    </w:p>
    <w:p>
      <w:pPr>
        <w:ind w:left="1300" w:right="20" w:hanging="644"/>
        <w:spacing w:after="0" w:line="284" w:lineRule="auto"/>
        <w:tabs>
          <w:tab w:leader="none" w:pos="129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one-third of the number of first directors, if, at the time of the appointments, one or more of the first directors have not yet completed their first term of office; or</w:t>
      </w:r>
    </w:p>
    <w:p>
      <w:pPr>
        <w:spacing w:after="0" w:line="158" w:lineRule="exact"/>
        <w:rPr>
          <w:rFonts w:ascii="Arial" w:cs="Arial" w:eastAsia="Arial" w:hAnsi="Arial"/>
          <w:sz w:val="17"/>
          <w:szCs w:val="17"/>
          <w:color w:val="auto"/>
        </w:rPr>
      </w:pPr>
    </w:p>
    <w:p>
      <w:pPr>
        <w:ind w:left="1300" w:right="20" w:hanging="644"/>
        <w:spacing w:after="0" w:line="284" w:lineRule="auto"/>
        <w:tabs>
          <w:tab w:leader="none" w:pos="12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any other case, one-third of the number of the current directors who were elected or appointed as directors other than under this Article 14.8.</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14.9</w:t>
        <w:tab/>
        <w:t xml:space="preserve">Ceasing to be a Director. </w:t>
      </w:r>
      <w:r>
        <w:rPr>
          <w:rFonts w:ascii="Arial" w:cs="Arial" w:eastAsia="Arial" w:hAnsi="Arial"/>
          <w:sz w:val="17"/>
          <w:szCs w:val="17"/>
          <w:color w:val="auto"/>
        </w:rPr>
        <w:t>A director ceases to be a director when:</w:t>
      </w:r>
    </w:p>
    <w:p>
      <w:pPr>
        <w:spacing w:after="0" w:line="223"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term of office of the director expires;</w:t>
      </w:r>
    </w:p>
    <w:p>
      <w:pPr>
        <w:spacing w:after="0" w:line="236" w:lineRule="exact"/>
        <w:rPr>
          <w:rFonts w:ascii="Arial" w:cs="Arial" w:eastAsia="Arial" w:hAnsi="Arial"/>
          <w:sz w:val="17"/>
          <w:szCs w:val="17"/>
          <w:color w:val="auto"/>
        </w:rPr>
      </w:pPr>
    </w:p>
    <w:p>
      <w:pPr>
        <w:ind w:left="1280" w:hanging="624"/>
        <w:spacing w:after="0"/>
        <w:tabs>
          <w:tab w:leader="none" w:pos="12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director dies;</w:t>
      </w:r>
    </w:p>
    <w:p>
      <w:pPr>
        <w:spacing w:after="0" w:line="223" w:lineRule="exact"/>
        <w:rPr>
          <w:rFonts w:ascii="Arial" w:cs="Arial" w:eastAsia="Arial" w:hAnsi="Arial"/>
          <w:sz w:val="17"/>
          <w:szCs w:val="17"/>
          <w:color w:val="auto"/>
        </w:rPr>
      </w:pPr>
    </w:p>
    <w:p>
      <w:pPr>
        <w:ind w:left="1300" w:right="20" w:hanging="644"/>
        <w:spacing w:after="0" w:line="284" w:lineRule="auto"/>
        <w:tabs>
          <w:tab w:leader="none" w:pos="129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director resigns as a director by notice in writing or by electronic submission provided to the Company or a lawyer for the Company; or</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director is removed from office pursuant to Articles 14.10 or 14.11.</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14.10 Removal of Director by Shareholders. </w:t>
      </w:r>
      <w:r>
        <w:rPr>
          <w:rFonts w:ascii="Arial" w:cs="Arial" w:eastAsia="Arial" w:hAnsi="Arial"/>
          <w:sz w:val="17"/>
          <w:szCs w:val="17"/>
          <w:color w:val="auto"/>
        </w:rPr>
        <w:t>Pursuant to this Article 14.10, the shareholders may remove any director before the expiration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his or her 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 </w:t>
      </w:r>
      <w:r>
        <w:rPr>
          <w:rFonts w:ascii="Arial" w:cs="Arial" w:eastAsia="Arial" w:hAnsi="Arial"/>
          <w:sz w:val="17"/>
          <w:szCs w:val="17"/>
          <w:b w:val="1"/>
          <w:bCs w:val="1"/>
          <w:u w:val="single" w:color="auto"/>
          <w:color w:val="0000FF"/>
        </w:rPr>
        <w:t>Any director so chosen to fill such a resulting vacancy shall hold office until the next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election of the class for which such removed director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14.11 Removal of Director by Directors. </w:t>
      </w:r>
      <w:r>
        <w:rPr>
          <w:rFonts w:ascii="Arial" w:cs="Arial" w:eastAsia="Arial" w:hAnsi="Arial"/>
          <w:sz w:val="17"/>
          <w:szCs w:val="17"/>
          <w:color w:val="auto"/>
        </w:rPr>
        <w:t>The directors may remove any director before the expiration of his or her term of office if the director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convicted of an indictable offence, or if the director ceases to be qualified to act as a director of a company and does not promptly resign, and only the directors may appoint a director to fill the resulting vacancy. </w:t>
      </w:r>
      <w:r>
        <w:rPr>
          <w:rFonts w:ascii="Arial" w:cs="Arial" w:eastAsia="Arial" w:hAnsi="Arial"/>
          <w:sz w:val="17"/>
          <w:szCs w:val="17"/>
          <w:b w:val="1"/>
          <w:bCs w:val="1"/>
          <w:u w:val="single" w:color="auto"/>
          <w:color w:val="0000FF"/>
        </w:rPr>
        <w:t>Any director so chosen to fill such a resulting vacancy shall hold office until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the next election of the class for which such removed director shall have been originally chosen and until his or her successor shall have been duly elected and qualified, provided, however, that, each director so chosen after the election of directors at the 2027 annual meeting of shareholders shall serve for a term expiring at the next succeeding annual meeting of shareholders and until his or her successor shall have been duly elected and qualified.</w:t>
      </w:r>
    </w:p>
    <w:p>
      <w:pPr>
        <w:spacing w:after="0" w:line="170"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PART 15</w:t>
      </w:r>
    </w:p>
    <w:p>
      <w:pPr>
        <w:spacing w:after="0" w:line="115"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POWERS AND DUTIES OF DIRECTORS</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color w:val="auto"/>
        </w:rPr>
        <w:t xml:space="preserve">15.1 Powers of Management. </w:t>
      </w:r>
      <w:r>
        <w:rPr>
          <w:rFonts w:ascii="Arial" w:cs="Arial" w:eastAsia="Arial" w:hAnsi="Arial"/>
          <w:sz w:val="17"/>
          <w:szCs w:val="17"/>
          <w:color w:val="auto"/>
        </w:rPr>
        <w:t>The directors must, 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these Articles, manage or supervise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management of the business and affairs of the Company and have the authority to exercise all such powers of the Company as are not, by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or by these Articles, required to be exercised by the shareholders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15.2 Appointment of Attorney of Company. </w:t>
      </w:r>
      <w:r>
        <w:rPr>
          <w:rFonts w:ascii="Arial" w:cs="Arial" w:eastAsia="Arial" w:hAnsi="Arial"/>
          <w:sz w:val="17"/>
          <w:szCs w:val="17"/>
          <w:color w:val="auto"/>
        </w:rPr>
        <w:t>The directors may from time to time, by power of attorney or other instrument, under seal if so</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390"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16</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DISCLOSURE OF INTEREST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16.1 Obligation to Account for Profits</w:t>
      </w:r>
      <w:r>
        <w:rPr>
          <w:rFonts w:ascii="Arial" w:cs="Arial" w:eastAsia="Arial" w:hAnsi="Arial"/>
          <w:sz w:val="17"/>
          <w:szCs w:val="17"/>
          <w:color w:val="auto"/>
        </w:rPr>
        <w:t>. A director or senior officer who holds a disclosable interest (as that term is used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Corporations Act) </w:t>
      </w:r>
      <w:r>
        <w:rPr>
          <w:rFonts w:ascii="Arial" w:cs="Arial" w:eastAsia="Arial" w:hAnsi="Arial"/>
          <w:sz w:val="17"/>
          <w:szCs w:val="17"/>
          <w:color w:val="auto"/>
        </w:rPr>
        <w:t>in a contract or transaction into which the Company has entered or proposes to enter is liable to account to the Company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profit that accrues to the director or senior officer under or as a result of the contract or transaction only if and to the extent provided in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Corporations Act.</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16.2 Restrictions on Voting by Reason of Interest. </w:t>
      </w:r>
      <w:r>
        <w:rPr>
          <w:rFonts w:ascii="Arial" w:cs="Arial" w:eastAsia="Arial" w:hAnsi="Arial"/>
          <w:sz w:val="17"/>
          <w:szCs w:val="17"/>
          <w:color w:val="auto"/>
        </w:rPr>
        <w:t>A director who holds a disclosable interest in a contract or transaction into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color w:val="auto"/>
        </w:rPr>
        <w:t>Interested Director Counted in Quorum. A director who holds a disclosable interest in a contract or transaction into which the Company has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16.4 Disclosure of Conflict of Interest or Property. </w:t>
      </w:r>
      <w:r>
        <w:rPr>
          <w:rFonts w:ascii="Arial" w:cs="Arial" w:eastAsia="Arial" w:hAnsi="Arial"/>
          <w:sz w:val="17"/>
          <w:szCs w:val="17"/>
          <w:color w:val="auto"/>
        </w:rPr>
        <w:t>A director or senior officer who holds any office or possesses any property, right or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could 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7"/>
          <w:szCs w:val="17"/>
          <w:i w:val="1"/>
          <w:iCs w:val="1"/>
          <w:color w:val="auto"/>
        </w:rPr>
        <w:t>Business Corporations Act.</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16.5 Director Holding Other Office in the Company. </w:t>
      </w:r>
      <w:r>
        <w:rPr>
          <w:rFonts w:ascii="Arial" w:cs="Arial" w:eastAsia="Arial" w:hAnsi="Arial"/>
          <w:sz w:val="17"/>
          <w:szCs w:val="17"/>
          <w:color w:val="auto"/>
        </w:rPr>
        <w:t>A director may hold any office or place of profit with the Company, other than the office of</w:t>
      </w:r>
      <w:r>
        <w:rPr>
          <w:rFonts w:ascii="Arial" w:cs="Arial" w:eastAsia="Arial" w:hAnsi="Arial"/>
          <w:sz w:val="17"/>
          <w:szCs w:val="17"/>
          <w:b w:val="1"/>
          <w:bCs w:val="1"/>
          <w:color w:val="auto"/>
        </w:rPr>
        <w:t xml:space="preserve"> </w:t>
      </w:r>
      <w:r>
        <w:rPr>
          <w:rFonts w:ascii="Arial" w:cs="Arial" w:eastAsia="Arial" w:hAnsi="Arial"/>
          <w:sz w:val="17"/>
          <w:szCs w:val="17"/>
          <w:color w:val="auto"/>
        </w:rPr>
        <w:t>auditor of the Company, in addition to his or her office of director for the period and on the terms (as to remuneration or otherwise) that the directors may determine.</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16.6 No Disqualification. </w:t>
      </w:r>
      <w:r>
        <w:rPr>
          <w:rFonts w:ascii="Arial" w:cs="Arial" w:eastAsia="Arial" w:hAnsi="Arial"/>
          <w:sz w:val="17"/>
          <w:szCs w:val="17"/>
          <w:color w:val="auto"/>
        </w:rPr>
        <w:t>No director or intended director is disqualified by his or her office from contracting with the Company either with regard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16.7 Professional Services by Director or Officer.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or officer, or any person in which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or 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16.8 Director or Officer in Other Corporations. </w:t>
      </w:r>
      <w:r>
        <w:rPr>
          <w:rFonts w:ascii="Arial" w:cs="Arial" w:eastAsia="Arial" w:hAnsi="Arial"/>
          <w:sz w:val="17"/>
          <w:szCs w:val="17"/>
          <w:color w:val="auto"/>
        </w:rPr>
        <w:t>A director or officer may be or become a director, officer or employee of, or otherwise interested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any person in which the Company may be interested as a shareholder or otherwise, and,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director or officer is not accountable to the Company for any remuneration or other benefits received by him or her as director, officer or employee of, or from his or her interest in, such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PROCEEDINGS OF DIRECTORS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color w:val="auto"/>
        </w:rPr>
        <w:t>17.1 Regular Meetings of Directors</w:t>
      </w:r>
      <w:r>
        <w:rPr>
          <w:rFonts w:ascii="Arial" w:cs="Arial" w:eastAsia="Arial" w:hAnsi="Arial"/>
          <w:sz w:val="17"/>
          <w:szCs w:val="17"/>
          <w:color w:val="auto"/>
        </w:rPr>
        <w:t>. The directors may meet together for the conduct of business, adjourn and otherwise regulate their</w:t>
      </w:r>
      <w:r>
        <w:rPr>
          <w:rFonts w:ascii="Arial" w:cs="Arial" w:eastAsia="Arial" w:hAnsi="Arial"/>
          <w:sz w:val="17"/>
          <w:szCs w:val="17"/>
          <w:b w:val="1"/>
          <w:bCs w:val="1"/>
          <w:color w:val="auto"/>
        </w:rPr>
        <w:t xml:space="preserve"> </w:t>
      </w:r>
      <w:r>
        <w:rPr>
          <w:rFonts w:ascii="Arial" w:cs="Arial" w:eastAsia="Arial" w:hAnsi="Arial"/>
          <w:sz w:val="17"/>
          <w:szCs w:val="17"/>
          <w:color w:val="auto"/>
        </w:rPr>
        <w:t>meetings as they think fit, and meetings of the directors held at regular intervals may be held at the place, at the time and on the notice, if any, as the directors may from 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spacing w:after="0" w:line="3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17.2 Special Meetings of Directors</w:t>
      </w:r>
      <w:r>
        <w:rPr>
          <w:rFonts w:ascii="Arial" w:cs="Arial" w:eastAsia="Arial" w:hAnsi="Arial"/>
          <w:sz w:val="17"/>
          <w:szCs w:val="17"/>
          <w:color w:val="auto"/>
        </w:rPr>
        <w:t>. A special meeting of the directors may be called at any time at the request of (a) the Chairman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or (b) any four directors. The place of any special meeting shall be the corporate headquarters of the Company unless otherwise agreed by a majority of the directors.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17.3 Voting at Meetings</w:t>
      </w:r>
      <w:r>
        <w:rPr>
          <w:rFonts w:ascii="Arial" w:cs="Arial" w:eastAsia="Arial" w:hAnsi="Arial"/>
          <w:sz w:val="17"/>
          <w:szCs w:val="17"/>
          <w:color w:val="auto"/>
        </w:rPr>
        <w:t>. Questions arising at any meeting of directors are to be decided by a majority of votes at which a quorum is present</w:t>
      </w:r>
      <w:r>
        <w:rPr>
          <w:rFonts w:ascii="Arial" w:cs="Arial" w:eastAsia="Arial" w:hAnsi="Arial"/>
          <w:sz w:val="17"/>
          <w:szCs w:val="17"/>
          <w:b w:val="1"/>
          <w:bCs w:val="1"/>
          <w:color w:val="auto"/>
        </w:rPr>
        <w:t xml:space="preserve"> </w:t>
      </w:r>
      <w:r>
        <w:rPr>
          <w:rFonts w:ascii="Arial" w:cs="Arial" w:eastAsia="Arial" w:hAnsi="Arial"/>
          <w:sz w:val="17"/>
          <w:szCs w:val="17"/>
          <w:color w:val="auto"/>
        </w:rPr>
        <w:t>and, in the case of an equality of votes, the chair of the meeting does not have a second or casting vote.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17.4 Chair of Meetings</w:t>
      </w:r>
      <w:r>
        <w:rPr>
          <w:rFonts w:ascii="Arial" w:cs="Arial" w:eastAsia="Arial" w:hAnsi="Arial"/>
          <w:sz w:val="17"/>
          <w:szCs w:val="17"/>
          <w:color w:val="auto"/>
        </w:rPr>
        <w:t>. The Chairman of the Board shall preside at all meetings of the shareholders and of the Board. He shall make reports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17.5 Meetings by Telephone or Other Communications Medium</w:t>
      </w:r>
      <w:r>
        <w:rPr>
          <w:rFonts w:ascii="Arial" w:cs="Arial" w:eastAsia="Arial" w:hAnsi="Arial"/>
          <w:sz w:val="17"/>
          <w:szCs w:val="17"/>
          <w:color w:val="auto"/>
        </w:rPr>
        <w:t>. A director may participate in a meeting of the directors or of any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w:t>
      </w:r>
    </w:p>
    <w:p>
      <w:pPr>
        <w:spacing w:after="0" w:line="39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17.6 Notice of Meetings</w:t>
      </w:r>
      <w:r>
        <w:rPr>
          <w:rFonts w:ascii="Arial" w:cs="Arial" w:eastAsia="Arial" w:hAnsi="Arial"/>
          <w:sz w:val="17"/>
          <w:szCs w:val="17"/>
          <w:color w:val="auto"/>
        </w:rPr>
        <w:t>. Other than for meetings held at regular intervals as determined by the directors pursuant to Article 17.1,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each regular and special meetings of the directors, specifying the 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17.7</w:t>
        <w:tab/>
        <w:t xml:space="preserve">When Notice Not Required. </w:t>
      </w:r>
      <w:r>
        <w:rPr>
          <w:rFonts w:ascii="Arial" w:cs="Arial" w:eastAsia="Arial" w:hAnsi="Arial"/>
          <w:sz w:val="17"/>
          <w:szCs w:val="17"/>
          <w:color w:val="auto"/>
        </w:rPr>
        <w:t>It is not necessary to give notice of a meeting of the directors to a director if:</w:t>
      </w:r>
    </w:p>
    <w:p>
      <w:pPr>
        <w:spacing w:after="0" w:line="223" w:lineRule="exact"/>
        <w:rPr>
          <w:sz w:val="20"/>
          <w:szCs w:val="20"/>
          <w:color w:val="auto"/>
        </w:rPr>
      </w:pPr>
    </w:p>
    <w:p>
      <w:pPr>
        <w:ind w:left="1300" w:hanging="644"/>
        <w:spacing w:after="0" w:line="284" w:lineRule="auto"/>
        <w:tabs>
          <w:tab w:leader="none" w:pos="1294"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meeting is to be held immediately following a meeting of shareholders at which directors are elected, or is the meeting of the directors at which that director is appointed; or</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director has waived notice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17.8 Meeting Valid Despite Failure to Give Notice</w:t>
      </w:r>
      <w:r>
        <w:rPr>
          <w:rFonts w:ascii="Arial" w:cs="Arial" w:eastAsia="Arial" w:hAnsi="Arial"/>
          <w:sz w:val="17"/>
          <w:szCs w:val="17"/>
          <w:color w:val="auto"/>
        </w:rPr>
        <w:t>. The accidental omission to give notice of any meeting of directors to, or the non-receipt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by, any director does not invalidate any proceedings at that meeting.</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17.9 Waiver of Notice of Meetings</w:t>
      </w:r>
      <w:r>
        <w:rPr>
          <w:rFonts w:ascii="Arial" w:cs="Arial" w:eastAsia="Arial" w:hAnsi="Arial"/>
          <w:sz w:val="17"/>
          <w:szCs w:val="17"/>
          <w:color w:val="auto"/>
        </w:rPr>
        <w:t>. Any director may send to the Company a document signed by him or her waiving notice of any past, present</w:t>
      </w:r>
      <w:r>
        <w:rPr>
          <w:rFonts w:ascii="Arial" w:cs="Arial" w:eastAsia="Arial" w:hAnsi="Arial"/>
          <w:sz w:val="17"/>
          <w:szCs w:val="17"/>
          <w:b w:val="1"/>
          <w:bCs w:val="1"/>
          <w:color w:val="auto"/>
        </w:rPr>
        <w:t xml:space="preserve"> </w:t>
      </w:r>
      <w:r>
        <w:rPr>
          <w:rFonts w:ascii="Arial" w:cs="Arial" w:eastAsia="Arial" w:hAnsi="Arial"/>
          <w:sz w:val="17"/>
          <w:szCs w:val="17"/>
          <w:color w:val="auto"/>
        </w:rPr>
        <w:t>or 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b w:val="1"/>
          <w:bCs w:val="1"/>
          <w:color w:val="auto"/>
        </w:rPr>
        <w:t xml:space="preserve">17.10 Quorum. </w:t>
      </w:r>
      <w:r>
        <w:rPr>
          <w:rFonts w:ascii="Arial" w:cs="Arial" w:eastAsia="Arial" w:hAnsi="Arial"/>
          <w:sz w:val="17"/>
          <w:szCs w:val="17"/>
          <w:color w:val="auto"/>
        </w:rPr>
        <w:t>The quorum necessary for the transaction of the business of the directors is deemed to be set at a majority of the entire Board</w:t>
      </w:r>
      <w:r>
        <w:rPr>
          <w:rFonts w:ascii="Arial" w:cs="Arial" w:eastAsia="Arial" w:hAnsi="Arial"/>
          <w:sz w:val="17"/>
          <w:szCs w:val="17"/>
          <w:b w:val="1"/>
          <w:bCs w:val="1"/>
          <w:color w:val="auto"/>
        </w:rPr>
        <w:t xml:space="preserve"> </w:t>
      </w:r>
      <w:r>
        <w:rPr>
          <w:rFonts w:ascii="Arial" w:cs="Arial" w:eastAsia="Arial" w:hAnsi="Arial"/>
          <w:sz w:val="17"/>
          <w:szCs w:val="17"/>
          <w:color w:val="auto"/>
        </w:rPr>
        <w:t>who are 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17.11 Validity of Acts Where Appointment Defective.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an act of a director or officer is not invalid</w:t>
      </w:r>
      <w:r>
        <w:rPr>
          <w:rFonts w:ascii="Arial" w:cs="Arial" w:eastAsia="Arial" w:hAnsi="Arial"/>
          <w:sz w:val="17"/>
          <w:szCs w:val="17"/>
          <w:b w:val="1"/>
          <w:bCs w:val="1"/>
          <w:color w:val="auto"/>
        </w:rPr>
        <w:t xml:space="preserve"> </w:t>
      </w:r>
      <w:r>
        <w:rPr>
          <w:rFonts w:ascii="Arial" w:cs="Arial" w:eastAsia="Arial" w:hAnsi="Arial"/>
          <w:sz w:val="17"/>
          <w:szCs w:val="17"/>
          <w:color w:val="auto"/>
        </w:rPr>
        <w:t>merely because of an irregularity in the election or appointment or a defect in the qualification of that director or officer.</w:t>
      </w:r>
    </w:p>
    <w:p>
      <w:pPr>
        <w:spacing w:after="0" w:line="15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17.12 Action by Consent of Board. </w:t>
      </w:r>
      <w:r>
        <w:rPr>
          <w:rFonts w:ascii="Arial" w:cs="Arial" w:eastAsia="Arial" w:hAnsi="Arial"/>
          <w:sz w:val="17"/>
          <w:szCs w:val="17"/>
          <w:color w:val="auto"/>
        </w:rPr>
        <w:t>To the extent permitted by applicable law, the Board and any committee thereof may act without a meeting so</w:t>
      </w:r>
      <w:r>
        <w:rPr>
          <w:rFonts w:ascii="Arial" w:cs="Arial" w:eastAsia="Arial" w:hAnsi="Arial"/>
          <w:sz w:val="17"/>
          <w:szCs w:val="17"/>
          <w:b w:val="1"/>
          <w:bCs w:val="1"/>
          <w:color w:val="auto"/>
        </w:rPr>
        <w:t xml:space="preserve"> </w:t>
      </w:r>
      <w:r>
        <w:rPr>
          <w:rFonts w:ascii="Arial" w:cs="Arial" w:eastAsia="Arial" w:hAnsi="Arial"/>
          <w:sz w:val="17"/>
          <w:szCs w:val="17"/>
          <w:color w:val="auto"/>
        </w:rPr>
        <w:t>long as all members of the Board or committee have delivered, in writing or by electronic transmission, a consent with respect to any Board action taken in lieu of a meeting.</w:t>
      </w:r>
    </w:p>
    <w:p>
      <w:pPr>
        <w:spacing w:after="0" w:line="168"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18</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EXECUTIVE AND OTHER COMMITTEES</w:t>
      </w:r>
    </w:p>
    <w:p>
      <w:pPr>
        <w:spacing w:after="0" w:line="200" w:lineRule="exact"/>
        <w:rPr>
          <w:sz w:val="20"/>
          <w:szCs w:val="20"/>
          <w:color w:val="auto"/>
        </w:rPr>
      </w:pPr>
    </w:p>
    <w:p>
      <w:pPr>
        <w:spacing w:after="0" w:line="2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18.1 Appointment and Powers of Executive Committee. </w:t>
      </w:r>
      <w:r>
        <w:rPr>
          <w:rFonts w:ascii="Arial" w:cs="Arial" w:eastAsia="Arial" w:hAnsi="Arial"/>
          <w:sz w:val="17"/>
          <w:szCs w:val="17"/>
          <w:color w:val="auto"/>
        </w:rPr>
        <w:t>The directors may, by resolution, appoint an executive committee consisting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or directors that they consider appropriate, and this committee has, during the intervals between meetings of the Board, all of the directors' powers, except:</w:t>
      </w:r>
    </w:p>
    <w:p>
      <w:pPr>
        <w:spacing w:after="0" w:line="168"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power to fill vacancies in the Board;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power to remove a director;</w:t>
      </w:r>
    </w:p>
    <w:p>
      <w:pPr>
        <w:spacing w:after="0" w:line="223" w:lineRule="exact"/>
        <w:rPr>
          <w:rFonts w:ascii="Arial" w:cs="Arial" w:eastAsia="Arial" w:hAnsi="Arial"/>
          <w:sz w:val="17"/>
          <w:szCs w:val="17"/>
          <w:color w:val="auto"/>
        </w:rPr>
      </w:pPr>
    </w:p>
    <w:p>
      <w:pPr>
        <w:ind w:left="1300" w:hanging="644"/>
        <w:spacing w:after="0"/>
        <w:tabs>
          <w:tab w:leader="none" w:pos="13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power to change the membership of, or fill vacancies in, any committee of the directors; and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such other powers, if any, as may be set out in the resolution or any subsequent directors' resolution.</w:t>
      </w:r>
    </w:p>
    <w:p>
      <w:pPr>
        <w:spacing w:after="0" w:line="237"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18.2</w:t>
        <w:tab/>
        <w:t xml:space="preserve">Appointment and Powers of Other Committees. </w:t>
      </w:r>
      <w:r>
        <w:rPr>
          <w:rFonts w:ascii="Arial" w:cs="Arial" w:eastAsia="Arial" w:hAnsi="Arial"/>
          <w:sz w:val="17"/>
          <w:szCs w:val="17"/>
          <w:color w:val="auto"/>
        </w:rPr>
        <w:t>The directors may, by resolution:</w:t>
      </w:r>
    </w:p>
    <w:p>
      <w:pPr>
        <w:spacing w:after="0" w:line="223" w:lineRule="exact"/>
        <w:rPr>
          <w:sz w:val="20"/>
          <w:szCs w:val="20"/>
          <w:color w:val="auto"/>
        </w:rPr>
      </w:pPr>
    </w:p>
    <w:p>
      <w:pPr>
        <w:ind w:left="1300" w:hanging="644"/>
        <w:spacing w:after="0" w:line="284" w:lineRule="auto"/>
        <w:tabs>
          <w:tab w:leader="none" w:pos="129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appoint one or more committees (other than the executive committee) consisting of the director or directors that they consider appropriate;</w:t>
      </w:r>
    </w:p>
    <w:p>
      <w:pPr>
        <w:spacing w:after="0" w:line="158" w:lineRule="exact"/>
        <w:rPr>
          <w:rFonts w:ascii="Arial" w:cs="Arial" w:eastAsia="Arial" w:hAnsi="Arial"/>
          <w:sz w:val="17"/>
          <w:szCs w:val="17"/>
          <w:color w:val="auto"/>
        </w:rPr>
      </w:pPr>
    </w:p>
    <w:p>
      <w:pPr>
        <w:ind w:left="1280" w:hanging="624"/>
        <w:spacing w:after="0"/>
        <w:tabs>
          <w:tab w:leader="none" w:pos="12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delegate to a committee appointed under paragraph (a) any of the directors' powers, except:</w:t>
      </w:r>
    </w:p>
    <w:p>
      <w:pPr>
        <w:spacing w:after="0" w:line="223"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i.the power to fill vacancies in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940" w:hanging="636"/>
        <w:spacing w:after="0"/>
        <w:tabs>
          <w:tab w:leader="none" w:pos="19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power to remove a director;</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power to change the membership of, or fill vacancies in, any committee of the directors; and</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power to appoint or remove officers appointed by the directors; and</w:t>
      </w:r>
    </w:p>
    <w:p>
      <w:pPr>
        <w:spacing w:after="0" w:line="223" w:lineRule="exact"/>
        <w:rPr>
          <w:sz w:val="20"/>
          <w:szCs w:val="20"/>
          <w:color w:val="auto"/>
        </w:rPr>
      </w:pPr>
    </w:p>
    <w:p>
      <w:pPr>
        <w:ind w:left="1300" w:hanging="644"/>
        <w:spacing w:after="0" w:line="284" w:lineRule="auto"/>
        <w:tabs>
          <w:tab w:leader="none" w:pos="129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make any delegation referred to in paragraph (b) subject to the conditions set out in the resolution or any subsequent directors' resolution.</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18.3</w:t>
        <w:tab/>
        <w:t xml:space="preserve">Obligations of Committees. </w:t>
      </w:r>
      <w:r>
        <w:rPr>
          <w:rFonts w:ascii="Arial" w:cs="Arial" w:eastAsia="Arial" w:hAnsi="Arial"/>
          <w:sz w:val="17"/>
          <w:szCs w:val="17"/>
          <w:color w:val="auto"/>
        </w:rPr>
        <w:t>Any committee appointed under Articles 18.1 or 18.2, in the exercise of the powers delegated to it, must:</w:t>
      </w:r>
    </w:p>
    <w:p>
      <w:pPr>
        <w:spacing w:after="0" w:line="237"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conform to any rules that may from time to time be imposed on it by the directors; and</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report every act or thing done in exercise of those powers at such times as the directors may require.</w:t>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18.4</w:t>
        <w:tab/>
        <w:t xml:space="preserve">Powers of Board. </w:t>
      </w:r>
      <w:r>
        <w:rPr>
          <w:rFonts w:ascii="Arial" w:cs="Arial" w:eastAsia="Arial" w:hAnsi="Arial"/>
          <w:sz w:val="17"/>
          <w:szCs w:val="17"/>
          <w:color w:val="auto"/>
        </w:rPr>
        <w:t>The directors may, at any time, with respect to a committee appointed under Articles 18.1 or 18.2:</w:t>
      </w:r>
    </w:p>
    <w:p>
      <w:pPr>
        <w:spacing w:after="0" w:line="223" w:lineRule="exact"/>
        <w:rPr>
          <w:sz w:val="20"/>
          <w:szCs w:val="20"/>
          <w:color w:val="auto"/>
        </w:rPr>
      </w:pPr>
    </w:p>
    <w:p>
      <w:pPr>
        <w:ind w:left="1300" w:hanging="644"/>
        <w:spacing w:after="0" w:line="284" w:lineRule="auto"/>
        <w:tabs>
          <w:tab w:leader="none" w:pos="1294" w:val="left"/>
        </w:tabs>
        <w:numPr>
          <w:ilvl w:val="0"/>
          <w:numId w:val="132"/>
        </w:numPr>
        <w:rPr>
          <w:rFonts w:ascii="Arial" w:cs="Arial" w:eastAsia="Arial" w:hAnsi="Arial"/>
          <w:sz w:val="17"/>
          <w:szCs w:val="17"/>
          <w:color w:val="auto"/>
        </w:rPr>
      </w:pPr>
      <w:r>
        <w:rPr>
          <w:rFonts w:ascii="Arial" w:cs="Arial" w:eastAsia="Arial" w:hAnsi="Arial"/>
          <w:sz w:val="17"/>
          <w:szCs w:val="17"/>
          <w:color w:val="auto"/>
        </w:rPr>
        <w:t>revoke or alter the authority given to the committee, or override a decision made by the committee, except as to acts done before such revocation, alteration or overriding;</w:t>
      </w:r>
    </w:p>
    <w:p>
      <w:pPr>
        <w:spacing w:after="0" w:line="171" w:lineRule="exact"/>
        <w:rPr>
          <w:rFonts w:ascii="Arial" w:cs="Arial" w:eastAsia="Arial" w:hAnsi="Arial"/>
          <w:sz w:val="17"/>
          <w:szCs w:val="17"/>
          <w:color w:val="auto"/>
        </w:rPr>
      </w:pPr>
    </w:p>
    <w:p>
      <w:pPr>
        <w:ind w:left="1280" w:hanging="624"/>
        <w:spacing w:after="0"/>
        <w:tabs>
          <w:tab w:leader="none" w:pos="12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terminate the appointment of, or change the membership of, the committee; and</w:t>
      </w:r>
    </w:p>
    <w:p>
      <w:pPr>
        <w:spacing w:after="0" w:line="223" w:lineRule="exact"/>
        <w:rPr>
          <w:rFonts w:ascii="Arial" w:cs="Arial" w:eastAsia="Arial" w:hAnsi="Arial"/>
          <w:sz w:val="17"/>
          <w:szCs w:val="17"/>
          <w:color w:val="auto"/>
        </w:rPr>
      </w:pPr>
    </w:p>
    <w:p>
      <w:pPr>
        <w:ind w:left="1300" w:hanging="644"/>
        <w:spacing w:after="0"/>
        <w:tabs>
          <w:tab w:leader="none" w:pos="13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fill vacancies in the committee.</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 xml:space="preserve">18.5 Other Committee Matters. </w:t>
      </w:r>
      <w:r>
        <w:rPr>
          <w:rFonts w:ascii="Arial" w:cs="Arial" w:eastAsia="Arial" w:hAnsi="Arial"/>
          <w:sz w:val="17"/>
          <w:szCs w:val="17"/>
          <w:color w:val="auto"/>
        </w:rPr>
        <w:t>Subject to Article 18.3(a) and unless the directors otherwise provide in the resolution appointing the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or in any subsequent resolution, with respect to a committee appointed under Articles 18.1 or 18.2:</w:t>
      </w:r>
    </w:p>
    <w:p>
      <w:pPr>
        <w:spacing w:after="0" w:line="158" w:lineRule="exact"/>
        <w:rPr>
          <w:sz w:val="20"/>
          <w:szCs w:val="20"/>
          <w:color w:val="auto"/>
        </w:rPr>
      </w:pPr>
    </w:p>
    <w:p>
      <w:pPr>
        <w:ind w:left="1300" w:hanging="644"/>
        <w:spacing w:after="0"/>
        <w:tabs>
          <w:tab w:leader="none" w:pos="1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committee may meet and adjourn as it thinks proper;</w:t>
      </w:r>
    </w:p>
    <w:p>
      <w:pPr>
        <w:spacing w:after="0" w:line="236" w:lineRule="exact"/>
        <w:rPr>
          <w:rFonts w:ascii="Arial" w:cs="Arial" w:eastAsia="Arial" w:hAnsi="Arial"/>
          <w:sz w:val="17"/>
          <w:szCs w:val="17"/>
          <w:color w:val="auto"/>
        </w:rPr>
      </w:pPr>
    </w:p>
    <w:p>
      <w:pPr>
        <w:jc w:val="both"/>
        <w:ind w:left="1300" w:hanging="644"/>
        <w:spacing w:after="0" w:line="266" w:lineRule="auto"/>
        <w:tabs>
          <w:tab w:leader="none" w:pos="12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173" w:lineRule="exact"/>
        <w:rPr>
          <w:rFonts w:ascii="Arial" w:cs="Arial" w:eastAsia="Arial" w:hAnsi="Arial"/>
          <w:sz w:val="17"/>
          <w:szCs w:val="17"/>
          <w:color w:val="auto"/>
        </w:rPr>
      </w:pPr>
    </w:p>
    <w:p>
      <w:pPr>
        <w:ind w:left="1300" w:hanging="644"/>
        <w:spacing w:after="0"/>
        <w:tabs>
          <w:tab w:leader="none" w:pos="1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majority of the members of the committee constitutes a quorum of the committee;</w:t>
      </w:r>
    </w:p>
    <w:p>
      <w:pPr>
        <w:spacing w:after="0" w:line="223"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questions arising at any meeting of the committee are determined by a majority of votes of the members present, and in case of an equality of votes, the chair of the meeting does not have a second or casting vote; and</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committee may appoint such subcommittees as it deems necessary or desirable.</w:t>
      </w:r>
    </w:p>
    <w:p>
      <w:pPr>
        <w:spacing w:after="0" w:line="223"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19</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OFFICERS</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19.1 Directors May Appoint Officers. </w:t>
      </w:r>
      <w:r>
        <w:rPr>
          <w:rFonts w:ascii="Arial" w:cs="Arial" w:eastAsia="Arial" w:hAnsi="Arial"/>
          <w:sz w:val="17"/>
          <w:szCs w:val="17"/>
          <w:color w:val="auto"/>
        </w:rPr>
        <w:t>The elected officers of the Company shall be selected by, and serve at the pleasure of, the Board. Such</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shall 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19.2 Election and Term of Office</w:t>
      </w:r>
      <w:r>
        <w:rPr>
          <w:rFonts w:ascii="Arial" w:cs="Arial" w:eastAsia="Arial" w:hAnsi="Arial"/>
          <w:sz w:val="17"/>
          <w:szCs w:val="17"/>
          <w:color w:val="auto"/>
        </w:rPr>
        <w:t>. The elected officers of the Company shall be elected from time to time by the Board. Each officer shall hold</w:t>
      </w:r>
      <w:r>
        <w:rPr>
          <w:rFonts w:ascii="Arial" w:cs="Arial" w:eastAsia="Arial" w:hAnsi="Arial"/>
          <w:sz w:val="17"/>
          <w:szCs w:val="17"/>
          <w:b w:val="1"/>
          <w:bCs w:val="1"/>
          <w:color w:val="auto"/>
        </w:rPr>
        <w:t xml:space="preserve"> </w:t>
      </w:r>
      <w:r>
        <w:rPr>
          <w:rFonts w:ascii="Arial" w:cs="Arial" w:eastAsia="Arial" w:hAnsi="Arial"/>
          <w:sz w:val="17"/>
          <w:szCs w:val="17"/>
          <w:color w:val="auto"/>
        </w:rPr>
        <w:t>office until such person’s successor is duly elected and qualified or until such person’s death or until he or she resigns or is removed pursuant to these Articles.</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19.3 Chairman of the Board. </w:t>
      </w:r>
      <w:r>
        <w:rPr>
          <w:rFonts w:ascii="Arial" w:cs="Arial" w:eastAsia="Arial" w:hAnsi="Arial"/>
          <w:sz w:val="17"/>
          <w:szCs w:val="17"/>
          <w:color w:val="auto"/>
        </w:rPr>
        <w:t>The Chairman of the Board shall preside at all meetings of the shareholders and of the Board. He shall make</w:t>
      </w:r>
      <w:r>
        <w:rPr>
          <w:rFonts w:ascii="Arial" w:cs="Arial" w:eastAsia="Arial" w:hAnsi="Arial"/>
          <w:sz w:val="17"/>
          <w:szCs w:val="17"/>
          <w:b w:val="1"/>
          <w:bCs w:val="1"/>
          <w:color w:val="auto"/>
        </w:rPr>
        <w:t xml:space="preserve"> </w:t>
      </w:r>
      <w:r>
        <w:rPr>
          <w:rFonts w:ascii="Arial" w:cs="Arial" w:eastAsia="Arial" w:hAnsi="Arial"/>
          <w:sz w:val="17"/>
          <w:szCs w:val="17"/>
          <w:color w:val="auto"/>
        </w:rPr>
        <w:t>reports to 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19.4 Chief Executive Officer</w:t>
      </w:r>
      <w:r>
        <w:rPr>
          <w:rFonts w:ascii="Arial" w:cs="Arial" w:eastAsia="Arial" w:hAnsi="Arial"/>
          <w:sz w:val="17"/>
          <w:szCs w:val="17"/>
          <w:color w:val="auto"/>
        </w:rPr>
        <w:t>. The Chief Executive Officer shall be responsible for the general management of the affairs of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perform 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19.5 President. </w:t>
      </w:r>
      <w:r>
        <w:rPr>
          <w:rFonts w:ascii="Arial" w:cs="Arial" w:eastAsia="Arial" w:hAnsi="Arial"/>
          <w:sz w:val="17"/>
          <w:szCs w:val="17"/>
          <w:color w:val="auto"/>
        </w:rPr>
        <w:t>The President shall act in a general executive capacity and shall assist the Chief Executive Officer in the administration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 of the Company’s business and general supervision of its policies and affairs. The President shall have such other powers and shall perform such other duties as are assigned to him by the Board or the Chairman of the Board.</w:t>
      </w:r>
    </w:p>
    <w:p>
      <w:pPr>
        <w:spacing w:after="0" w:line="174"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b w:val="1"/>
          <w:bCs w:val="1"/>
          <w:color w:val="auto"/>
        </w:rPr>
        <w:t xml:space="preserve">19.6 Vice Presidents. </w:t>
      </w:r>
      <w:r>
        <w:rPr>
          <w:rFonts w:ascii="Arial" w:cs="Arial" w:eastAsia="Arial" w:hAnsi="Arial"/>
          <w:sz w:val="17"/>
          <w:szCs w:val="17"/>
          <w:color w:val="auto"/>
        </w:rPr>
        <w:t>Any Executive Vice President, Senior Vice President and Vice President shall have such powers and perform such duties</w:t>
      </w:r>
      <w:r>
        <w:rPr>
          <w:rFonts w:ascii="Arial" w:cs="Arial" w:eastAsia="Arial" w:hAnsi="Arial"/>
          <w:sz w:val="17"/>
          <w:szCs w:val="17"/>
          <w:b w:val="1"/>
          <w:bCs w:val="1"/>
          <w:color w:val="auto"/>
        </w:rPr>
        <w:t xml:space="preserve"> </w:t>
      </w:r>
      <w:r>
        <w:rPr>
          <w:rFonts w:ascii="Arial" w:cs="Arial" w:eastAsia="Arial" w:hAnsi="Arial"/>
          <w:sz w:val="17"/>
          <w:szCs w:val="17"/>
          <w:color w:val="auto"/>
        </w:rPr>
        <w:t>as are assigned to him by the Board or the Chairman of the Board.</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19.7 Treasurer</w:t>
      </w:r>
      <w:r>
        <w:rPr>
          <w:rFonts w:ascii="Arial" w:cs="Arial" w:eastAsia="Arial" w:hAnsi="Arial"/>
          <w:sz w:val="17"/>
          <w:szCs w:val="17"/>
          <w:color w:val="auto"/>
        </w:rPr>
        <w:t>. The Treasurer shall exercise general supervision over the receipt, custody and disbursement of corporate funds. The Treasurer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cause the 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19.8 Secretary. </w:t>
      </w:r>
      <w:r>
        <w:rPr>
          <w:rFonts w:ascii="Arial" w:cs="Arial" w:eastAsia="Arial" w:hAnsi="Arial"/>
          <w:sz w:val="17"/>
          <w:szCs w:val="17"/>
          <w:color w:val="auto"/>
        </w:rPr>
        <w:t>The Secretary shall keep or cause to be kept, in one or more books provided for that purpose, the minutes of all meetings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the committees of the Board and the shareholders. The Secretary shall see 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3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19.9 Assistant Secretaries. </w:t>
      </w:r>
      <w:r>
        <w:rPr>
          <w:rFonts w:ascii="Arial" w:cs="Arial" w:eastAsia="Arial" w:hAnsi="Arial"/>
          <w:sz w:val="17"/>
          <w:szCs w:val="17"/>
          <w:color w:val="auto"/>
        </w:rPr>
        <w:t>Assistant Secretaries shall have such of the authority and perform such of the duties of the Secretary as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these Articles or assigned to them by the Board,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19.10 Removal</w:t>
      </w:r>
      <w:r>
        <w:rPr>
          <w:rFonts w:ascii="Arial" w:cs="Arial" w:eastAsia="Arial" w:hAnsi="Arial"/>
          <w:sz w:val="17"/>
          <w:szCs w:val="17"/>
          <w:color w:val="auto"/>
        </w:rPr>
        <w:t>. Any officer elected, or agent appointed, by the Board may be removed by the affirmative vote of a majority of the Board or,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19.11 Vacancies. </w:t>
      </w:r>
      <w:r>
        <w:rPr>
          <w:rFonts w:ascii="Arial" w:cs="Arial" w:eastAsia="Arial" w:hAnsi="Arial"/>
          <w:sz w:val="17"/>
          <w:szCs w:val="17"/>
          <w:color w:val="auto"/>
        </w:rPr>
        <w:t>A newly created elected office and a vacancy in any elected office because of death, resignation or removal may be filled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the Company’s Chairman of the Board or any other officer upon whom such power may be conferred by the Board for the unexpired portion of the term.</w:t>
      </w:r>
    </w:p>
    <w:p>
      <w:pPr>
        <w:spacing w:after="0" w:line="16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19.12</w:t>
      </w:r>
      <w:r>
        <w:rPr>
          <w:sz w:val="20"/>
          <w:szCs w:val="20"/>
          <w:color w:val="auto"/>
        </w:rPr>
        <w:tab/>
      </w:r>
      <w:r>
        <w:rPr>
          <w:rFonts w:ascii="Arial" w:cs="Arial" w:eastAsia="Arial" w:hAnsi="Arial"/>
          <w:sz w:val="17"/>
          <w:szCs w:val="17"/>
          <w:color w:val="auto"/>
        </w:rPr>
        <w:t>Functions, Duties and Powers of Officers. The directors may, for each officer:</w:t>
      </w:r>
    </w:p>
    <w:p>
      <w:pPr>
        <w:spacing w:after="0" w:line="223"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determine the functions and duties of the officer;</w:t>
      </w:r>
    </w:p>
    <w:p>
      <w:pPr>
        <w:spacing w:after="0" w:line="223" w:lineRule="exact"/>
        <w:rPr>
          <w:rFonts w:ascii="Arial" w:cs="Arial" w:eastAsia="Arial" w:hAnsi="Arial"/>
          <w:sz w:val="17"/>
          <w:szCs w:val="17"/>
          <w:color w:val="auto"/>
        </w:rPr>
      </w:pPr>
    </w:p>
    <w:p>
      <w:pPr>
        <w:ind w:left="1300" w:right="20" w:hanging="644"/>
        <w:spacing w:after="0" w:line="284" w:lineRule="auto"/>
        <w:tabs>
          <w:tab w:leader="none" w:pos="12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entrust to and confer on the officer any of the powers exercisable by the directors on such terms and conditions and with such restrictions as the directors think fit; and</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revoke, withdraw, alter or vary all or any of the functions, duties and powers of the officer.</w:t>
      </w:r>
    </w:p>
    <w:p>
      <w:pPr>
        <w:spacing w:after="0" w:line="2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19.13 </w:t>
      </w:r>
      <w:r>
        <w:rPr>
          <w:rFonts w:ascii="Arial" w:cs="Arial" w:eastAsia="Arial" w:hAnsi="Arial"/>
          <w:sz w:val="17"/>
          <w:szCs w:val="17"/>
          <w:color w:val="auto"/>
        </w:rPr>
        <w:t>Qualifications. No officer may be appointed unless that officer is qualified in accordance with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One person</w:t>
      </w:r>
      <w:r>
        <w:rPr>
          <w:rFonts w:ascii="Arial" w:cs="Arial" w:eastAsia="Arial" w:hAnsi="Arial"/>
          <w:sz w:val="17"/>
          <w:szCs w:val="17"/>
          <w:b w:val="1"/>
          <w:bCs w:val="1"/>
          <w:color w:val="auto"/>
        </w:rPr>
        <w:t xml:space="preserve"> </w:t>
      </w:r>
      <w:r>
        <w:rPr>
          <w:rFonts w:ascii="Arial" w:cs="Arial" w:eastAsia="Arial" w:hAnsi="Arial"/>
          <w:sz w:val="17"/>
          <w:szCs w:val="17"/>
          <w:color w:val="auto"/>
        </w:rPr>
        <w:t>may hold more than one position as an officer of the Company. Any person appointed as the Chairman of the Board must be a director. Any other officer need not be a director.</w:t>
      </w:r>
    </w:p>
    <w:p>
      <w:pPr>
        <w:spacing w:after="0" w:line="174"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20</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INDEMNIFICATION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 xml:space="preserve">20.1 Right to Indemnification. </w:t>
      </w:r>
      <w:r>
        <w:rPr>
          <w:rFonts w:ascii="Arial" w:cs="Arial" w:eastAsia="Arial" w:hAnsi="Arial"/>
          <w:sz w:val="17"/>
          <w:szCs w:val="17"/>
          <w:color w:val="auto"/>
        </w:rPr>
        <w:t>Each person who was or is made a party to or is threatened to be made a party to or is involved in any 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suit or 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Company to the fullest extent authorized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as the same exists or may hereafter be amended (but, in the case of any such amendment, to the fullest extent permitted by law, only to the 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right to have the Company pay the expenses incurred in defending any such proceeding in advance of its final disposition, any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payments to be paid by the Company within 20 calendar days after the receipt by the Company of a statement or statements from the claimant requesting such advance or advances from time to time; provided, however, that, if and to the extent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requires, the payment of such expenses incurred by a director or officer in such person’s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20.2 Right of Claimant to Bring Suit. </w:t>
      </w:r>
      <w:r>
        <w:rPr>
          <w:rFonts w:ascii="Arial" w:cs="Arial" w:eastAsia="Arial" w:hAnsi="Arial"/>
          <w:sz w:val="17"/>
          <w:szCs w:val="17"/>
          <w:color w:val="auto"/>
        </w:rPr>
        <w:t>If a claim under Section 20.1 of these Articles is not paid in full by the Company within 60 calendar days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a written claim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20.3 Non-Exclusivity of Rights. </w:t>
      </w:r>
      <w:r>
        <w:rPr>
          <w:rFonts w:ascii="Arial" w:cs="Arial" w:eastAsia="Arial" w:hAnsi="Arial"/>
          <w:sz w:val="17"/>
          <w:szCs w:val="17"/>
          <w:color w:val="auto"/>
        </w:rPr>
        <w:t>The right to indemnification and the payment of expenses incurred in defending a proceeding in advance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final 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 xml:space="preserve">20.4 Indemnification of Other Persons. </w:t>
      </w:r>
      <w:r>
        <w:rPr>
          <w:rFonts w:ascii="Arial" w:cs="Arial" w:eastAsia="Arial" w:hAnsi="Arial"/>
          <w:sz w:val="17"/>
          <w:szCs w:val="17"/>
          <w:color w:val="auto"/>
        </w:rPr>
        <w:t>Subject to any restrictions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grant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and rights to have the Company pay the expenses incurred in defending any proceeding in advance of its final disposition to any person.</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 xml:space="preserve">20.5 Non-Compliance with Business Corporations Act. </w:t>
      </w:r>
      <w:r>
        <w:rPr>
          <w:rFonts w:ascii="Arial" w:cs="Arial" w:eastAsia="Arial" w:hAnsi="Arial"/>
          <w:sz w:val="17"/>
          <w:szCs w:val="17"/>
          <w:color w:val="auto"/>
        </w:rPr>
        <w:t>The failure of a director or officer of the Company to comply with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Corporations Act </w:t>
      </w:r>
      <w:r>
        <w:rPr>
          <w:rFonts w:ascii="Arial" w:cs="Arial" w:eastAsia="Arial" w:hAnsi="Arial"/>
          <w:sz w:val="17"/>
          <w:szCs w:val="17"/>
          <w:color w:val="auto"/>
        </w:rPr>
        <w:t>or these Articles does not invalidate any indemnity to which he or she is entitled under this Article 20.</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20.6 Company May Purchase Insurance. </w:t>
      </w:r>
      <w:r>
        <w:rPr>
          <w:rFonts w:ascii="Arial" w:cs="Arial" w:eastAsia="Arial" w:hAnsi="Arial"/>
          <w:sz w:val="17"/>
          <w:szCs w:val="17"/>
          <w:color w:val="auto"/>
        </w:rPr>
        <w:t>The Company may purchase and maintain insurance for the benefit of any person (or his or her heirs</w:t>
      </w:r>
      <w:r>
        <w:rPr>
          <w:rFonts w:ascii="Arial" w:cs="Arial" w:eastAsia="Arial" w:hAnsi="Arial"/>
          <w:sz w:val="17"/>
          <w:szCs w:val="17"/>
          <w:b w:val="1"/>
          <w:bCs w:val="1"/>
          <w:color w:val="auto"/>
        </w:rPr>
        <w:t xml:space="preserve"> </w:t>
      </w:r>
      <w:r>
        <w:rPr>
          <w:rFonts w:ascii="Arial" w:cs="Arial" w:eastAsia="Arial" w:hAnsi="Arial"/>
          <w:sz w:val="17"/>
          <w:szCs w:val="17"/>
          <w:color w:val="auto"/>
        </w:rPr>
        <w:t>or legal personal representatives) who:</w:t>
      </w:r>
    </w:p>
    <w:p>
      <w:pPr>
        <w:spacing w:after="0" w:line="158"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is or was a director, officer, employee or agent of the Company;</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is or was a director, officer, employee or agent of an entity at a time when the entity is or was an affiliate of the Company;</w:t>
      </w:r>
    </w:p>
    <w:p>
      <w:pPr>
        <w:spacing w:after="0" w:line="236" w:lineRule="exact"/>
        <w:rPr>
          <w:rFonts w:ascii="Arial" w:cs="Arial" w:eastAsia="Arial" w:hAnsi="Arial"/>
          <w:sz w:val="17"/>
          <w:szCs w:val="17"/>
          <w:color w:val="auto"/>
        </w:rPr>
      </w:pPr>
    </w:p>
    <w:p>
      <w:pPr>
        <w:ind w:left="1300" w:right="20" w:hanging="644"/>
        <w:spacing w:after="0" w:line="284" w:lineRule="auto"/>
        <w:tabs>
          <w:tab w:leader="none" w:pos="129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at the request of the Company, is or was a director, officer, employee or agent of an entity or of a partnership, trust, joint venture or other unincorporated entity;</w:t>
      </w:r>
    </w:p>
    <w:p>
      <w:pPr>
        <w:spacing w:after="0" w:line="158"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at the request of the Company, holds or held a position equivalent to that of a director or officer of a partnership, trust, joint venture or other unincorporated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against any liability incurred by him or her as such director, officer, employee or agent or person who holds or held such equivalent position.</w:t>
      </w:r>
    </w:p>
    <w:p>
      <w:pPr>
        <w:spacing w:after="0" w:line="22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20.7 </w:t>
      </w:r>
      <w:r>
        <w:rPr>
          <w:rFonts w:ascii="Arial" w:cs="Arial" w:eastAsia="Arial" w:hAnsi="Arial"/>
          <w:sz w:val="17"/>
          <w:szCs w:val="17"/>
          <w:color w:val="auto"/>
        </w:rPr>
        <w:t>Amendment, Repeal or Modification. Any amendment, repeal or modification of these provisions will be prospective only and would not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any limitation on liability of a director for acts or omissions that occurred prior to any such amendment, repeal or modification.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21</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DIVIDENDS</w:t>
      </w:r>
    </w:p>
    <w:p>
      <w:pPr>
        <w:spacing w:after="0" w:line="207"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b w:val="1"/>
          <w:bCs w:val="1"/>
          <w:color w:val="auto"/>
        </w:rPr>
        <w:t xml:space="preserve">21.1 Payment of Dividends Subject to Special Rights. </w:t>
      </w:r>
      <w:r>
        <w:rPr>
          <w:rFonts w:ascii="Arial" w:cs="Arial" w:eastAsia="Arial" w:hAnsi="Arial"/>
          <w:sz w:val="17"/>
          <w:szCs w:val="17"/>
          <w:color w:val="auto"/>
        </w:rPr>
        <w:t>The provisions of this Article 21 are subject to the rights, if any, of shareholders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with special rights as to dividends.</w:t>
      </w:r>
    </w:p>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21.2 Declaration of Dividends.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rights of the holders of issued shares of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from time to time declare and authorize payment of such dividends as they may deem advisable.</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21.3</w:t>
        <w:tab/>
        <w:t xml:space="preserve">No Notice Required. </w:t>
      </w:r>
      <w:r>
        <w:rPr>
          <w:rFonts w:ascii="Arial" w:cs="Arial" w:eastAsia="Arial" w:hAnsi="Arial"/>
          <w:sz w:val="17"/>
          <w:szCs w:val="17"/>
          <w:color w:val="auto"/>
        </w:rPr>
        <w:t>The directors need not give notice to any shareholder of any declaration under Article 21.2.</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21.4 Record Date. </w:t>
      </w:r>
      <w:r>
        <w:rPr>
          <w:rFonts w:ascii="Arial" w:cs="Arial" w:eastAsia="Arial" w:hAnsi="Arial"/>
          <w:sz w:val="17"/>
          <w:szCs w:val="17"/>
          <w:color w:val="auto"/>
        </w:rPr>
        <w:t>The directors may set a date as the record date for the purpose of determining shareholders entitled to receive payment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The record date must not precede the date on which the dividend is to be paid by more than two months. If no record date is set, the record date is 5 p.m. on the date on which the directors pass the resolution declaring the dividend.</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21.5 Manner of Paying Dividend</w:t>
      </w:r>
      <w:r>
        <w:rPr>
          <w:rFonts w:ascii="Arial" w:cs="Arial" w:eastAsia="Arial" w:hAnsi="Arial"/>
          <w:sz w:val="17"/>
          <w:szCs w:val="17"/>
          <w:color w:val="auto"/>
        </w:rPr>
        <w:t>. A resolution declaring a dividend may direct payment of the dividend wholly or partly by the distribution of</w:t>
      </w:r>
      <w:r>
        <w:rPr>
          <w:rFonts w:ascii="Arial" w:cs="Arial" w:eastAsia="Arial" w:hAnsi="Arial"/>
          <w:sz w:val="17"/>
          <w:szCs w:val="17"/>
          <w:b w:val="1"/>
          <w:bCs w:val="1"/>
          <w:color w:val="auto"/>
        </w:rPr>
        <w:t xml:space="preserve"> </w:t>
      </w:r>
      <w:r>
        <w:rPr>
          <w:rFonts w:ascii="Arial" w:cs="Arial" w:eastAsia="Arial" w:hAnsi="Arial"/>
          <w:sz w:val="17"/>
          <w:szCs w:val="17"/>
          <w:color w:val="auto"/>
        </w:rPr>
        <w:t>cash, of specific assets, of fully paid shares or of bonds, debentures or other securities of the Company, or in any one or more of those ways.</w:t>
      </w:r>
    </w:p>
    <w:p>
      <w:pPr>
        <w:spacing w:after="0" w:line="158"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b w:val="1"/>
          <w:bCs w:val="1"/>
          <w:color w:val="auto"/>
        </w:rPr>
        <w:t>21.6 Settlement of Difficulties</w:t>
      </w:r>
      <w:r>
        <w:rPr>
          <w:rFonts w:ascii="Arial" w:cs="Arial" w:eastAsia="Arial" w:hAnsi="Arial"/>
          <w:sz w:val="17"/>
          <w:szCs w:val="17"/>
          <w:color w:val="auto"/>
        </w:rPr>
        <w:t>. If any difficulty arises in regard to a distribution under Article 21.5, the directors may settle the difficulty as they</w:t>
      </w:r>
      <w:r>
        <w:rPr>
          <w:rFonts w:ascii="Arial" w:cs="Arial" w:eastAsia="Arial" w:hAnsi="Arial"/>
          <w:sz w:val="17"/>
          <w:szCs w:val="17"/>
          <w:b w:val="1"/>
          <w:bCs w:val="1"/>
          <w:color w:val="auto"/>
        </w:rPr>
        <w:t xml:space="preserve"> </w:t>
      </w:r>
      <w:r>
        <w:rPr>
          <w:rFonts w:ascii="Arial" w:cs="Arial" w:eastAsia="Arial" w:hAnsi="Arial"/>
          <w:sz w:val="17"/>
          <w:szCs w:val="17"/>
          <w:color w:val="auto"/>
        </w:rPr>
        <w:t>deem advisable, and, in particular, may:</w:t>
      </w:r>
    </w:p>
    <w:p>
      <w:pPr>
        <w:spacing w:after="0" w:line="144" w:lineRule="exact"/>
        <w:rPr>
          <w:sz w:val="20"/>
          <w:szCs w:val="20"/>
          <w:color w:val="auto"/>
        </w:rPr>
      </w:pPr>
    </w:p>
    <w:p>
      <w:pPr>
        <w:ind w:left="1300" w:hanging="644"/>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set the value for distribution of specific assets;</w:t>
      </w:r>
    </w:p>
    <w:p>
      <w:pPr>
        <w:spacing w:after="0" w:line="223" w:lineRule="exact"/>
        <w:rPr>
          <w:rFonts w:ascii="Arial" w:cs="Arial" w:eastAsia="Arial" w:hAnsi="Arial"/>
          <w:sz w:val="17"/>
          <w:szCs w:val="17"/>
          <w:color w:val="auto"/>
        </w:rPr>
      </w:pPr>
    </w:p>
    <w:p>
      <w:pPr>
        <w:ind w:left="1300" w:right="20" w:hanging="644"/>
        <w:spacing w:after="0" w:line="284" w:lineRule="auto"/>
        <w:tabs>
          <w:tab w:leader="none" w:pos="12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58" w:lineRule="exact"/>
        <w:rPr>
          <w:rFonts w:ascii="Arial" w:cs="Arial" w:eastAsia="Arial" w:hAnsi="Arial"/>
          <w:sz w:val="17"/>
          <w:szCs w:val="17"/>
          <w:color w:val="auto"/>
        </w:rPr>
      </w:pPr>
    </w:p>
    <w:p>
      <w:pPr>
        <w:ind w:left="1300" w:hanging="644"/>
        <w:spacing w:after="0"/>
        <w:tabs>
          <w:tab w:leader="none" w:pos="13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vest any such specific assets in trustees for the persons entitled to the dividend.</w:t>
      </w:r>
    </w:p>
    <w:p>
      <w:pPr>
        <w:spacing w:after="0" w:line="22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21.7</w:t>
        <w:tab/>
        <w:t>When Dividend Payable</w:t>
      </w:r>
      <w:r>
        <w:rPr>
          <w:rFonts w:ascii="Arial" w:cs="Arial" w:eastAsia="Arial" w:hAnsi="Arial"/>
          <w:sz w:val="17"/>
          <w:szCs w:val="17"/>
          <w:color w:val="auto"/>
        </w:rPr>
        <w:t>. Any dividend may be made payable on such date as is fixed by the directors.</w:t>
      </w:r>
    </w:p>
    <w:p>
      <w:pPr>
        <w:spacing w:after="0" w:line="23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 xml:space="preserve">21.8 Dividends to be Paid in Accordance with Number of Shares. </w:t>
      </w:r>
      <w:r>
        <w:rPr>
          <w:rFonts w:ascii="Arial" w:cs="Arial" w:eastAsia="Arial" w:hAnsi="Arial"/>
          <w:sz w:val="17"/>
          <w:szCs w:val="17"/>
          <w:color w:val="auto"/>
        </w:rPr>
        <w:t>All dividends on shares of any class or series of shares must be declared</w:t>
      </w:r>
      <w:r>
        <w:rPr>
          <w:rFonts w:ascii="Arial" w:cs="Arial" w:eastAsia="Arial" w:hAnsi="Arial"/>
          <w:sz w:val="17"/>
          <w:szCs w:val="17"/>
          <w:b w:val="1"/>
          <w:bCs w:val="1"/>
          <w:color w:val="auto"/>
        </w:rPr>
        <w:t xml:space="preserve"> </w:t>
      </w:r>
      <w:r>
        <w:rPr>
          <w:rFonts w:ascii="Arial" w:cs="Arial" w:eastAsia="Arial" w:hAnsi="Arial"/>
          <w:sz w:val="17"/>
          <w:szCs w:val="17"/>
          <w:color w:val="auto"/>
        </w:rPr>
        <w:t>and paid according to the number of such shares held.</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21.9 Receipt by Joint Shareholders</w:t>
      </w:r>
      <w:r>
        <w:rPr>
          <w:rFonts w:ascii="Arial" w:cs="Arial" w:eastAsia="Arial" w:hAnsi="Arial"/>
          <w:sz w:val="17"/>
          <w:szCs w:val="17"/>
          <w:color w:val="auto"/>
        </w:rPr>
        <w:t>. If several persons are joint shareholders of any share, any one of them may give an effective receipt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dividend, bonus or other money payable in respect of the share.</w:t>
      </w:r>
    </w:p>
    <w:p>
      <w:pPr>
        <w:spacing w:after="0" w:line="15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21.10</w:t>
        <w:tab/>
        <w:t>Dividend Bears No Interest</w:t>
      </w:r>
      <w:r>
        <w:rPr>
          <w:rFonts w:ascii="Arial" w:cs="Arial" w:eastAsia="Arial" w:hAnsi="Arial"/>
          <w:sz w:val="17"/>
          <w:szCs w:val="17"/>
          <w:color w:val="auto"/>
        </w:rPr>
        <w:t>. No dividend bears interest against the Company.</w:t>
      </w:r>
    </w:p>
    <w:p>
      <w:pPr>
        <w:spacing w:after="0" w:line="23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21.11 Fractional Dividends</w:t>
      </w:r>
      <w:r>
        <w:rPr>
          <w:rFonts w:ascii="Arial" w:cs="Arial" w:eastAsia="Arial" w:hAnsi="Arial"/>
          <w:sz w:val="17"/>
          <w:szCs w:val="17"/>
          <w:color w:val="auto"/>
        </w:rPr>
        <w:t>. If a dividend to which a shareholder is entitled includes a fraction of the smallest monetary unit of the currency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that fraction may be disregarded in making payment of the dividend and that payment represents full payment of the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21.12 Payment of Dividends</w:t>
      </w:r>
      <w:r>
        <w:rPr>
          <w:rFonts w:ascii="Arial" w:cs="Arial" w:eastAsia="Arial" w:hAnsi="Arial"/>
          <w:sz w:val="17"/>
          <w:szCs w:val="17"/>
          <w:color w:val="auto"/>
        </w:rPr>
        <w:t>. Any dividend or other distribution payable in cash in respect of shares may be paid by cheque, made payable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order 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98"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b w:val="1"/>
          <w:bCs w:val="1"/>
          <w:color w:val="auto"/>
        </w:rPr>
        <w:t>21.13 Capitalization of Surplus</w:t>
      </w:r>
      <w:r>
        <w:rPr>
          <w:rFonts w:ascii="Arial" w:cs="Arial" w:eastAsia="Arial" w:hAnsi="Arial"/>
          <w:sz w:val="17"/>
          <w:szCs w:val="17"/>
          <w:color w:val="auto"/>
        </w:rPr>
        <w:t>. Notwithstanding anything contained in these Articles, the directors may from time to time capitalize any surplus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and may from time to time issue, as fully paid, shares or any bonds, debentures or other securities of the Company as a dividend representing the surplus or any part of the surplus.</w:t>
      </w:r>
    </w:p>
    <w:p>
      <w:pPr>
        <w:spacing w:after="0" w:line="174"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22</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DOCUMENTS, RECORDS AND REPORTS</w:t>
      </w:r>
    </w:p>
    <w:p>
      <w:pPr>
        <w:spacing w:after="0" w:line="22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22.1 Recording of Financial Affairs. </w:t>
      </w:r>
      <w:r>
        <w:rPr>
          <w:rFonts w:ascii="Arial" w:cs="Arial" w:eastAsia="Arial" w:hAnsi="Arial"/>
          <w:sz w:val="17"/>
          <w:szCs w:val="17"/>
          <w:color w:val="auto"/>
        </w:rPr>
        <w:t>The directors must cause adequate accounting records to be kept to record properly the financial affairs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condition of the Company and to comply with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5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22.2 </w:t>
      </w:r>
      <w:r>
        <w:rPr>
          <w:rFonts w:ascii="Arial" w:cs="Arial" w:eastAsia="Arial" w:hAnsi="Arial"/>
          <w:sz w:val="17"/>
          <w:szCs w:val="17"/>
          <w:color w:val="auto"/>
        </w:rPr>
        <w:t>Inspection of Records. Upon receipt of a shareholder request, the directors may, but need not, determine that the shareholders are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inspect or obtain a copy of any accounting records of the Company, with such determination to be made by way of a directors' resolution.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23</w:t>
      </w:r>
    </w:p>
    <w:p>
      <w:pPr>
        <w:spacing w:after="0" w:line="37"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NOTICES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23.1 Method of Giving Notice</w:t>
      </w:r>
      <w:r>
        <w:rPr>
          <w:rFonts w:ascii="Arial" w:cs="Arial" w:eastAsia="Arial" w:hAnsi="Arial"/>
          <w:sz w:val="17"/>
          <w:szCs w:val="17"/>
          <w:color w:val="auto"/>
        </w:rPr>
        <w:t>. Unless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b w:val="1"/>
          <w:bCs w:val="1"/>
          <w:color w:val="auto"/>
        </w:rPr>
        <w:t xml:space="preserve"> </w:t>
      </w:r>
      <w:r>
        <w:rPr>
          <w:rFonts w:ascii="Arial" w:cs="Arial" w:eastAsia="Arial" w:hAnsi="Arial"/>
          <w:sz w:val="17"/>
          <w:szCs w:val="17"/>
          <w:color w:val="auto"/>
        </w:rPr>
        <w:t>or these Articles provides otherwise, a notice, statement, report,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waiver or other record required or permitted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 to be sent by or to a person may be sent by any one of the following methods:</w:t>
      </w:r>
    </w:p>
    <w:p>
      <w:pPr>
        <w:spacing w:after="0" w:line="174"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mail addressed to the person at the applicable address for that person as follows:</w:t>
      </w:r>
    </w:p>
    <w:p>
      <w:pPr>
        <w:spacing w:after="0" w:line="223" w:lineRule="exact"/>
        <w:rPr>
          <w:rFonts w:ascii="Arial" w:cs="Arial" w:eastAsia="Arial" w:hAnsi="Arial"/>
          <w:sz w:val="17"/>
          <w:szCs w:val="17"/>
          <w:color w:val="auto"/>
        </w:rPr>
      </w:pPr>
    </w:p>
    <w:p>
      <w:pPr>
        <w:ind w:left="1940" w:hanging="636"/>
        <w:spacing w:after="0"/>
        <w:tabs>
          <w:tab w:leader="none" w:pos="19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a record mailed to a shareholder, the shareholder's registered address;</w:t>
      </w:r>
    </w:p>
    <w:p>
      <w:pPr>
        <w:spacing w:after="0" w:line="236" w:lineRule="exact"/>
        <w:rPr>
          <w:rFonts w:ascii="Arial" w:cs="Arial" w:eastAsia="Arial" w:hAnsi="Arial"/>
          <w:sz w:val="17"/>
          <w:szCs w:val="17"/>
          <w:color w:val="auto"/>
        </w:rPr>
      </w:pPr>
    </w:p>
    <w:p>
      <w:pPr>
        <w:jc w:val="both"/>
        <w:ind w:left="1960" w:hanging="656"/>
        <w:spacing w:after="0" w:line="275" w:lineRule="auto"/>
        <w:tabs>
          <w:tab w:leader="none" w:pos="194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375" w:lineRule="exact"/>
        <w:rPr>
          <w:rFonts w:ascii="Arial" w:cs="Arial" w:eastAsia="Arial" w:hAnsi="Arial"/>
          <w:sz w:val="17"/>
          <w:szCs w:val="17"/>
          <w:color w:val="auto"/>
        </w:rPr>
      </w:pPr>
    </w:p>
    <w:p>
      <w:pPr>
        <w:ind w:left="1940" w:hanging="636"/>
        <w:spacing w:after="0"/>
        <w:tabs>
          <w:tab w:leader="none" w:pos="19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any other case, the mailing address of the intended recipient;</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delivery at the applicable address for that person as follows, addressed to the person:</w:t>
      </w:r>
    </w:p>
    <w:p>
      <w:pPr>
        <w:spacing w:after="0" w:line="236" w:lineRule="exact"/>
        <w:rPr>
          <w:rFonts w:ascii="Arial" w:cs="Arial" w:eastAsia="Arial" w:hAnsi="Arial"/>
          <w:sz w:val="17"/>
          <w:szCs w:val="17"/>
          <w:color w:val="auto"/>
        </w:rPr>
      </w:pPr>
    </w:p>
    <w:p>
      <w:pPr>
        <w:ind w:left="1940" w:hanging="636"/>
        <w:spacing w:after="0"/>
        <w:tabs>
          <w:tab w:leader="none" w:pos="19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a record delivered to a shareholder, the shareholder's registered address;</w:t>
      </w:r>
    </w:p>
    <w:p>
      <w:pPr>
        <w:spacing w:after="0" w:line="223" w:lineRule="exact"/>
        <w:rPr>
          <w:rFonts w:ascii="Arial" w:cs="Arial" w:eastAsia="Arial" w:hAnsi="Arial"/>
          <w:sz w:val="17"/>
          <w:szCs w:val="17"/>
          <w:color w:val="auto"/>
        </w:rPr>
      </w:pPr>
    </w:p>
    <w:p>
      <w:pPr>
        <w:jc w:val="both"/>
        <w:ind w:left="1960" w:hanging="656"/>
        <w:spacing w:after="0" w:line="266" w:lineRule="auto"/>
        <w:tabs>
          <w:tab w:leader="none" w:pos="194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73" w:lineRule="exact"/>
        <w:rPr>
          <w:rFonts w:ascii="Arial" w:cs="Arial" w:eastAsia="Arial" w:hAnsi="Arial"/>
          <w:sz w:val="17"/>
          <w:szCs w:val="17"/>
          <w:color w:val="auto"/>
        </w:rPr>
      </w:pPr>
    </w:p>
    <w:p>
      <w:pPr>
        <w:ind w:left="1940" w:hanging="636"/>
        <w:spacing w:after="0"/>
        <w:tabs>
          <w:tab w:leader="none" w:pos="19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any other case, the delivery address of the intended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hanging="644"/>
        <w:spacing w:after="0" w:line="262" w:lineRule="auto"/>
        <w:tabs>
          <w:tab w:leader="none" w:pos="129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sending the record by email to the email address provided by the intended recipient for the sending of that record or records of that class;</w:t>
      </w:r>
    </w:p>
    <w:p>
      <w:pPr>
        <w:spacing w:after="0" w:line="158" w:lineRule="exact"/>
        <w:rPr>
          <w:rFonts w:ascii="Arial" w:cs="Arial" w:eastAsia="Arial" w:hAnsi="Arial"/>
          <w:sz w:val="17"/>
          <w:szCs w:val="17"/>
          <w:color w:val="auto"/>
        </w:rPr>
      </w:pPr>
    </w:p>
    <w:p>
      <w:pPr>
        <w:ind w:left="1300" w:hanging="644"/>
        <w:spacing w:after="0"/>
        <w:tabs>
          <w:tab w:leader="none" w:pos="13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physical delivery to the intended recipient; or</w:t>
      </w:r>
    </w:p>
    <w:p>
      <w:pPr>
        <w:spacing w:after="0" w:line="223" w:lineRule="exact"/>
        <w:rPr>
          <w:rFonts w:ascii="Arial" w:cs="Arial" w:eastAsia="Arial" w:hAnsi="Arial"/>
          <w:sz w:val="17"/>
          <w:szCs w:val="17"/>
          <w:color w:val="auto"/>
        </w:rPr>
      </w:pPr>
    </w:p>
    <w:p>
      <w:pPr>
        <w:jc w:val="both"/>
        <w:ind w:left="1300" w:hanging="644"/>
        <w:spacing w:after="0" w:line="266" w:lineRule="auto"/>
        <w:tabs>
          <w:tab w:leader="none" w:pos="128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23.2 Deemed Receipt of Mailing</w:t>
      </w:r>
      <w:r>
        <w:rPr>
          <w:rFonts w:ascii="Arial" w:cs="Arial" w:eastAsia="Arial" w:hAnsi="Arial"/>
          <w:sz w:val="17"/>
          <w:szCs w:val="17"/>
          <w:color w:val="auto"/>
        </w:rPr>
        <w:t>. A record that is mailed to a person by ordinary mail to the applicable address for that person referred to in</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23.1 is deemed to be received by the person to whom it was mailed on the day, Saturdays, Sundays and holidays excepted, following the date of mailing.</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23.3 Certificate of Sending</w:t>
      </w:r>
      <w:r>
        <w:rPr>
          <w:rFonts w:ascii="Arial" w:cs="Arial" w:eastAsia="Arial" w:hAnsi="Arial"/>
          <w:sz w:val="17"/>
          <w:szCs w:val="17"/>
          <w:color w:val="auto"/>
        </w:rPr>
        <w:t>. A certificate signed by the secretary, if any, or other officer of the Company or of any other entity acting in that</w:t>
      </w:r>
      <w:r>
        <w:rPr>
          <w:rFonts w:ascii="Arial" w:cs="Arial" w:eastAsia="Arial" w:hAnsi="Arial"/>
          <w:sz w:val="17"/>
          <w:szCs w:val="17"/>
          <w:b w:val="1"/>
          <w:bCs w:val="1"/>
          <w:color w:val="auto"/>
        </w:rPr>
        <w:t xml:space="preserve"> </w:t>
      </w:r>
      <w:r>
        <w:rPr>
          <w:rFonts w:ascii="Arial" w:cs="Arial" w:eastAsia="Arial" w:hAnsi="Arial"/>
          <w:sz w:val="17"/>
          <w:szCs w:val="17"/>
          <w:color w:val="auto"/>
        </w:rPr>
        <w:t>behalf for the Company stating that a notice, statement, report, consent, waiver or other record was addressed as required by Article 23.1, prepaid and mailed or otherwise sent as permitted by Article 23.1 is conclusive evidence of that fact.</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b w:val="1"/>
          <w:bCs w:val="1"/>
          <w:color w:val="auto"/>
        </w:rPr>
        <w:t>23.4 Notice to Joint Shareholders</w:t>
      </w:r>
      <w:r>
        <w:rPr>
          <w:rFonts w:ascii="Arial" w:cs="Arial" w:eastAsia="Arial" w:hAnsi="Arial"/>
          <w:sz w:val="17"/>
          <w:szCs w:val="17"/>
          <w:color w:val="auto"/>
        </w:rPr>
        <w:t>. A notice, statement, report, consent, waiver or other record may be provided by the Company to the joint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of a share by providing the record to the joint shareholder first named in the central securities register in respect of the share.</w:t>
      </w:r>
    </w:p>
    <w:p>
      <w:pPr>
        <w:spacing w:after="0" w:line="144"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 xml:space="preserve">23.5 Notice to Trustees. </w:t>
      </w:r>
      <w:r>
        <w:rPr>
          <w:rFonts w:ascii="Arial" w:cs="Arial" w:eastAsia="Arial" w:hAnsi="Arial"/>
          <w:sz w:val="17"/>
          <w:szCs w:val="17"/>
          <w:color w:val="auto"/>
        </w:rPr>
        <w:t>A notice, statement, report, consent, waiver or other record may be provided by the Company to the persons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a share in consequence of the death, bankruptcy or incapacity of a shareholder by:</w:t>
      </w:r>
    </w:p>
    <w:p>
      <w:pPr>
        <w:spacing w:after="0" w:line="158"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mailing the record, addressed to them:</w:t>
      </w:r>
    </w:p>
    <w:p>
      <w:pPr>
        <w:spacing w:after="0" w:line="223" w:lineRule="exact"/>
        <w:rPr>
          <w:rFonts w:ascii="Arial" w:cs="Arial" w:eastAsia="Arial" w:hAnsi="Arial"/>
          <w:sz w:val="17"/>
          <w:szCs w:val="17"/>
          <w:color w:val="auto"/>
        </w:rPr>
      </w:pPr>
    </w:p>
    <w:p>
      <w:pPr>
        <w:ind w:left="1960" w:hanging="656"/>
        <w:spacing w:after="0" w:line="284" w:lineRule="auto"/>
        <w:tabs>
          <w:tab w:leader="none" w:pos="195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by name, by the title of the legal personal representative of the deceased or incapacitated shareholder, by the title of trustee of the bankrupt shareholder or by any similar description; and</w:t>
      </w:r>
    </w:p>
    <w:p>
      <w:pPr>
        <w:spacing w:after="0" w:line="171" w:lineRule="exact"/>
        <w:rPr>
          <w:rFonts w:ascii="Arial" w:cs="Arial" w:eastAsia="Arial" w:hAnsi="Arial"/>
          <w:sz w:val="17"/>
          <w:szCs w:val="17"/>
          <w:color w:val="auto"/>
        </w:rPr>
      </w:pPr>
    </w:p>
    <w:p>
      <w:pPr>
        <w:ind w:left="1940" w:hanging="636"/>
        <w:spacing w:after="0"/>
        <w:tabs>
          <w:tab w:leader="none" w:pos="19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at the address, if any, supplied to the Company for that purpose by the persons claiming to be so entitled; or</w:t>
      </w:r>
    </w:p>
    <w:p>
      <w:pPr>
        <w:spacing w:after="0" w:line="223" w:lineRule="exact"/>
        <w:rPr>
          <w:rFonts w:ascii="Arial" w:cs="Arial" w:eastAsia="Arial" w:hAnsi="Arial"/>
          <w:sz w:val="17"/>
          <w:szCs w:val="17"/>
          <w:color w:val="auto"/>
        </w:rPr>
      </w:pPr>
    </w:p>
    <w:p>
      <w:pPr>
        <w:ind w:left="1300" w:hanging="644"/>
        <w:spacing w:after="0" w:line="284" w:lineRule="auto"/>
        <w:tabs>
          <w:tab w:leader="none" w:pos="12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an address referred to in paragraph (a)(ii) has not been supplied to the Company, by giving the notice in a manner in which it might have been given if the death, bankruptcy or incapacity had not occurred.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24</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SEAL AND EXECUTION OF DOCUMENTS</w:t>
      </w:r>
    </w:p>
    <w:p>
      <w:pPr>
        <w:spacing w:after="0" w:line="22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color w:val="auto"/>
        </w:rPr>
        <w:t xml:space="preserve">24.1 Who May Attest Seal. </w:t>
      </w:r>
      <w:r>
        <w:rPr>
          <w:rFonts w:ascii="Arial" w:cs="Arial" w:eastAsia="Arial" w:hAnsi="Arial"/>
          <w:sz w:val="17"/>
          <w:szCs w:val="17"/>
          <w:color w:val="auto"/>
        </w:rPr>
        <w:t>Except as provided in Articles 24.2 and 24.3, the Company's seal, if any, must not be impressed on any record</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when that impression is attested by the signatures of:</w:t>
      </w:r>
    </w:p>
    <w:p>
      <w:pPr>
        <w:spacing w:after="0" w:line="158" w:lineRule="exact"/>
        <w:rPr>
          <w:sz w:val="20"/>
          <w:szCs w:val="20"/>
          <w:color w:val="auto"/>
        </w:rPr>
      </w:pPr>
    </w:p>
    <w:p>
      <w:pPr>
        <w:ind w:left="1300" w:hanging="644"/>
        <w:spacing w:after="0"/>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any two directors;</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Secretary or any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other officer, together with any director;</w:t>
      </w:r>
    </w:p>
    <w:p>
      <w:pPr>
        <w:spacing w:after="0" w:line="223" w:lineRule="exact"/>
        <w:rPr>
          <w:rFonts w:ascii="Arial" w:cs="Arial" w:eastAsia="Arial" w:hAnsi="Arial"/>
          <w:sz w:val="17"/>
          <w:szCs w:val="17"/>
          <w:color w:val="auto"/>
        </w:rPr>
      </w:pPr>
    </w:p>
    <w:p>
      <w:pPr>
        <w:ind w:left="1280" w:hanging="624"/>
        <w:spacing w:after="0"/>
        <w:tabs>
          <w:tab w:leader="none" w:pos="12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if the Company only has one director, that director; or</w:t>
      </w:r>
    </w:p>
    <w:p>
      <w:pPr>
        <w:spacing w:after="0" w:line="223" w:lineRule="exact"/>
        <w:rPr>
          <w:rFonts w:ascii="Arial" w:cs="Arial" w:eastAsia="Arial" w:hAnsi="Arial"/>
          <w:sz w:val="17"/>
          <w:szCs w:val="17"/>
          <w:color w:val="auto"/>
        </w:rPr>
      </w:pPr>
    </w:p>
    <w:p>
      <w:pPr>
        <w:ind w:left="1300" w:hanging="644"/>
        <w:spacing w:after="0"/>
        <w:tabs>
          <w:tab w:leader="none" w:pos="13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any one or more directors or officers or persons as may be determined by the directors.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 xml:space="preserve">24.2 Sealing Copies. </w:t>
      </w:r>
      <w:r>
        <w:rPr>
          <w:rFonts w:ascii="Arial" w:cs="Arial" w:eastAsia="Arial" w:hAnsi="Arial"/>
          <w:sz w:val="17"/>
          <w:szCs w:val="17"/>
          <w:color w:val="auto"/>
        </w:rPr>
        <w:t>For the purpose of certifying under seal a certificate of incumbency of the directors or officers of the Company or a true</w:t>
      </w:r>
      <w:r>
        <w:rPr>
          <w:rFonts w:ascii="Arial" w:cs="Arial" w:eastAsia="Arial" w:hAnsi="Arial"/>
          <w:sz w:val="17"/>
          <w:szCs w:val="17"/>
          <w:b w:val="1"/>
          <w:bCs w:val="1"/>
          <w:color w:val="auto"/>
        </w:rPr>
        <w:t xml:space="preserve"> </w:t>
      </w:r>
      <w:r>
        <w:rPr>
          <w:rFonts w:ascii="Arial" w:cs="Arial" w:eastAsia="Arial" w:hAnsi="Arial"/>
          <w:sz w:val="17"/>
          <w:szCs w:val="17"/>
          <w:color w:val="auto"/>
        </w:rPr>
        <w:t>copy of any resolution or other document, despite Article 24.1, the impression of the seal may be attested by the signature of any director or officer.</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24.3 Mechanical Reproduction of Seal</w:t>
      </w:r>
      <w:r>
        <w:rPr>
          <w:rFonts w:ascii="Arial" w:cs="Arial" w:eastAsia="Arial" w:hAnsi="Arial"/>
          <w:sz w:val="17"/>
          <w:szCs w:val="17"/>
          <w:color w:val="auto"/>
        </w:rPr>
        <w:t>. The directors may authorize the seal to be impressed by third parties on share certificates or bonds,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24.4 Execution of Documents Generally. </w:t>
      </w:r>
      <w:r>
        <w:rPr>
          <w:rFonts w:ascii="Arial" w:cs="Arial" w:eastAsia="Arial" w:hAnsi="Arial"/>
          <w:sz w:val="17"/>
          <w:szCs w:val="17"/>
          <w:color w:val="auto"/>
        </w:rPr>
        <w:t>The directors may from time to time appoint any one or more persons, officers or directors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purpose of 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spacing w:after="0" w:line="182"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25</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COMMON SHARES</w:t>
      </w:r>
    </w:p>
    <w:p>
      <w:pPr>
        <w:spacing w:after="0" w:line="7"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SPECIAL RIGHTS AND RESTRICTIONS</w:t>
      </w:r>
    </w:p>
    <w:p>
      <w:pPr>
        <w:spacing w:after="0" w:line="22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b w:val="1"/>
          <w:bCs w:val="1"/>
          <w:color w:val="auto"/>
        </w:rPr>
        <w:t>25.1 Special Rights and Restrictions</w:t>
      </w:r>
      <w:r>
        <w:rPr>
          <w:rFonts w:ascii="Arial" w:cs="Arial" w:eastAsia="Arial" w:hAnsi="Arial"/>
          <w:sz w:val="17"/>
          <w:szCs w:val="17"/>
          <w:color w:val="auto"/>
        </w:rPr>
        <w:t>. The Company is authorized to issue up to 550,000,000 shares of a class designated as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Shares" without par value and such shares shall have attached thereto the following rights, privileges, restrictions and conditions.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25.2 Voting Rights</w:t>
      </w:r>
      <w:r>
        <w:rPr>
          <w:rFonts w:ascii="Arial" w:cs="Arial" w:eastAsia="Arial" w:hAnsi="Arial"/>
          <w:sz w:val="17"/>
          <w:szCs w:val="17"/>
          <w:color w:val="auto"/>
        </w:rPr>
        <w:t>. The holders of the Common Shares shall be entitled to receive notice of, and to attend, all meetings of the shareholders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shall have one (1) vote for each Common Share held at all meetings of the shareholders of the Company, except for meetings at which only holders of another specified class or series of shares of the Company are entitled to vote separately as a class or series.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25.3 Dividends. </w:t>
      </w:r>
      <w:r>
        <w:rPr>
          <w:rFonts w:ascii="Arial" w:cs="Arial" w:eastAsia="Arial" w:hAnsi="Arial"/>
          <w:sz w:val="17"/>
          <w:szCs w:val="17"/>
          <w:color w:val="auto"/>
        </w:rPr>
        <w:t>Subject to the prior rights and preferences attaching to any other class of shares of the Company, the right to receive any</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 declared 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declare dividends on any one or more classes of shares in the Company to the exclusion of all other classes of shares of the Company.</w:t>
      </w:r>
    </w:p>
    <w:p>
      <w:pPr>
        <w:spacing w:after="0" w:line="223"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b w:val="1"/>
          <w:bCs w:val="1"/>
          <w:color w:val="auto"/>
        </w:rPr>
        <w:t xml:space="preserve">25.4 Dissolution. </w:t>
      </w:r>
      <w:r>
        <w:rPr>
          <w:rFonts w:ascii="Arial" w:cs="Arial" w:eastAsia="Arial" w:hAnsi="Arial"/>
          <w:sz w:val="17"/>
          <w:szCs w:val="17"/>
          <w:color w:val="auto"/>
        </w:rPr>
        <w:t>In the event of the dissolution, liquidation or winding-up of the Company, whether voluntary or involuntary,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of 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spacing w:after="0" w:line="174"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26</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CLASS A PREFERRED SHARES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RIGHTS AND RESTRICTIONS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color w:val="auto"/>
        </w:rPr>
        <w:t xml:space="preserve">26.1 Special Rights and Restrictions. </w:t>
      </w:r>
      <w:r>
        <w:rPr>
          <w:rFonts w:ascii="Arial" w:cs="Arial" w:eastAsia="Arial" w:hAnsi="Arial"/>
          <w:sz w:val="17"/>
          <w:szCs w:val="17"/>
          <w:color w:val="auto"/>
        </w:rPr>
        <w:t>The Company is authorized to issue a class A of preferred shares, up to a maximum of 50,000,000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with such limit to be the aggregate number of class A and class B preferred shares to be issued by the Company, to be designated as "Class A Preferred Shares", without par value,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In addition to such rights respecting voting, the Class A Preferred Shares shall have attached thereto the following rights, privileges, restrictions and conditions:</w:t>
      </w:r>
    </w:p>
    <w:p>
      <w:pPr>
        <w:spacing w:after="0" w:line="182" w:lineRule="exact"/>
        <w:rPr>
          <w:sz w:val="20"/>
          <w:szCs w:val="20"/>
          <w:color w:val="auto"/>
        </w:rPr>
      </w:pPr>
    </w:p>
    <w:p>
      <w:pPr>
        <w:ind w:left="660" w:right="20" w:hanging="4"/>
        <w:spacing w:after="0" w:line="284" w:lineRule="auto"/>
        <w:tabs>
          <w:tab w:leader="none" w:pos="1302"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subject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special rights and restrictions attached to the Class A Preferred Shares authorize the directors, by resolution, to do one or more of the following:</w:t>
      </w:r>
    </w:p>
    <w:p>
      <w:pPr>
        <w:spacing w:after="0" w:line="171" w:lineRule="exact"/>
        <w:rPr>
          <w:rFonts w:ascii="Arial" w:cs="Arial" w:eastAsia="Arial" w:hAnsi="Arial"/>
          <w:sz w:val="17"/>
          <w:szCs w:val="17"/>
          <w:color w:val="auto"/>
        </w:rPr>
      </w:pPr>
    </w:p>
    <w:p>
      <w:pPr>
        <w:ind w:left="1300" w:firstLine="4"/>
        <w:spacing w:after="0" w:line="284" w:lineRule="auto"/>
        <w:tabs>
          <w:tab w:leader="none" w:pos="1939" w:val="left"/>
        </w:tabs>
        <w:numPr>
          <w:ilvl w:val="1"/>
          <w:numId w:val="142"/>
        </w:numPr>
        <w:rPr>
          <w:rFonts w:ascii="Arial" w:cs="Arial" w:eastAsia="Arial" w:hAnsi="Arial"/>
          <w:sz w:val="17"/>
          <w:szCs w:val="17"/>
          <w:color w:val="auto"/>
        </w:rPr>
      </w:pPr>
      <w:r>
        <w:rPr>
          <w:rFonts w:ascii="Arial" w:cs="Arial" w:eastAsia="Arial" w:hAnsi="Arial"/>
          <w:sz w:val="17"/>
          <w:szCs w:val="17"/>
          <w:color w:val="auto"/>
        </w:rPr>
        <w:t>create and designate any series of Class A Preferred Shares and authorize the alteration of the Notice of Articles to provide for such series;</w:t>
      </w:r>
    </w:p>
    <w:p>
      <w:pPr>
        <w:spacing w:after="0" w:line="158" w:lineRule="exact"/>
        <w:rPr>
          <w:rFonts w:ascii="Arial" w:cs="Arial" w:eastAsia="Arial" w:hAnsi="Arial"/>
          <w:sz w:val="17"/>
          <w:szCs w:val="17"/>
          <w:color w:val="auto"/>
        </w:rPr>
      </w:pPr>
    </w:p>
    <w:p>
      <w:pPr>
        <w:jc w:val="both"/>
        <w:ind w:left="1300" w:firstLine="4"/>
        <w:spacing w:after="0" w:line="266" w:lineRule="auto"/>
        <w:tabs>
          <w:tab w:leader="none" w:pos="1936"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73" w:lineRule="exact"/>
        <w:rPr>
          <w:rFonts w:ascii="Arial" w:cs="Arial" w:eastAsia="Arial" w:hAnsi="Arial"/>
          <w:sz w:val="17"/>
          <w:szCs w:val="17"/>
          <w:color w:val="auto"/>
        </w:rPr>
      </w:pPr>
    </w:p>
    <w:p>
      <w:pPr>
        <w:ind w:left="1300" w:firstLine="4"/>
        <w:spacing w:after="0" w:line="301" w:lineRule="auto"/>
        <w:tabs>
          <w:tab w:leader="none" w:pos="1934"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44" w:lineRule="exact"/>
        <w:rPr>
          <w:rFonts w:ascii="Arial" w:cs="Arial" w:eastAsia="Arial" w:hAnsi="Arial"/>
          <w:sz w:val="17"/>
          <w:szCs w:val="17"/>
          <w:color w:val="auto"/>
        </w:rPr>
      </w:pPr>
    </w:p>
    <w:p>
      <w:pPr>
        <w:jc w:val="both"/>
        <w:ind w:left="1300" w:firstLine="4"/>
        <w:spacing w:after="0" w:line="260" w:lineRule="auto"/>
        <w:tabs>
          <w:tab w:leader="none" w:pos="193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92" w:lineRule="exact"/>
        <w:rPr>
          <w:rFonts w:ascii="Arial" w:cs="Arial" w:eastAsia="Arial" w:hAnsi="Arial"/>
          <w:sz w:val="17"/>
          <w:szCs w:val="17"/>
          <w:color w:val="auto"/>
        </w:rPr>
      </w:pPr>
    </w:p>
    <w:p>
      <w:pPr>
        <w:ind w:left="2580" w:hanging="628"/>
        <w:spacing w:after="0"/>
        <w:tabs>
          <w:tab w:leader="none" w:pos="258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the voting powers, if any, and whether such voting powers are full or limited, in such series;</w:t>
      </w:r>
    </w:p>
    <w:p>
      <w:pPr>
        <w:spacing w:after="0" w:line="223" w:lineRule="exact"/>
        <w:rPr>
          <w:rFonts w:ascii="Arial" w:cs="Arial" w:eastAsia="Arial" w:hAnsi="Arial"/>
          <w:sz w:val="17"/>
          <w:szCs w:val="17"/>
          <w:color w:val="auto"/>
        </w:rPr>
      </w:pPr>
    </w:p>
    <w:p>
      <w:pPr>
        <w:ind w:left="2600" w:hanging="648"/>
        <w:spacing w:after="0"/>
        <w:tabs>
          <w:tab w:leader="none" w:pos="2600" w:val="left"/>
        </w:tabs>
        <w:numPr>
          <w:ilvl w:val="2"/>
          <w:numId w:val="142"/>
        </w:numPr>
        <w:rPr>
          <w:rFonts w:ascii="Arial" w:cs="Arial" w:eastAsia="Arial" w:hAnsi="Arial"/>
          <w:sz w:val="17"/>
          <w:szCs w:val="17"/>
          <w:color w:val="auto"/>
        </w:rPr>
      </w:pPr>
      <w:r>
        <w:rPr>
          <w:rFonts w:ascii="Arial" w:cs="Arial" w:eastAsia="Arial" w:hAnsi="Arial"/>
          <w:sz w:val="17"/>
          <w:szCs w:val="17"/>
          <w:color w:val="auto"/>
        </w:rPr>
        <w:t>the redemption provisions, if any, applicable to such series, including the redemption price or prices to be paid;</w:t>
      </w:r>
    </w:p>
    <w:p>
      <w:pPr>
        <w:spacing w:after="0" w:line="223" w:lineRule="exact"/>
        <w:rPr>
          <w:rFonts w:ascii="Arial" w:cs="Arial" w:eastAsia="Arial" w:hAnsi="Arial"/>
          <w:sz w:val="17"/>
          <w:szCs w:val="17"/>
          <w:color w:val="auto"/>
        </w:rPr>
      </w:pPr>
    </w:p>
    <w:p>
      <w:pPr>
        <w:ind w:left="1960" w:hanging="8"/>
        <w:spacing w:after="0" w:line="284" w:lineRule="auto"/>
        <w:tabs>
          <w:tab w:leader="none" w:pos="2603" w:val="left"/>
        </w:tabs>
        <w:numPr>
          <w:ilvl w:val="2"/>
          <w:numId w:val="142"/>
        </w:numPr>
        <w:rPr>
          <w:rFonts w:ascii="Arial" w:cs="Arial" w:eastAsia="Arial" w:hAnsi="Arial"/>
          <w:sz w:val="17"/>
          <w:szCs w:val="17"/>
          <w:color w:val="auto"/>
        </w:rPr>
      </w:pPr>
      <w:r>
        <w:rPr>
          <w:rFonts w:ascii="Arial" w:cs="Arial" w:eastAsia="Arial" w:hAnsi="Arial"/>
          <w:sz w:val="17"/>
          <w:szCs w:val="17"/>
          <w:color w:val="auto"/>
        </w:rPr>
        <w:t>whether dividends, if any, shall be cumulative or noncumulative, the dividend rate of such series, and the dates and preferences of dividends on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960" w:hanging="8"/>
        <w:spacing w:after="0" w:line="284" w:lineRule="auto"/>
        <w:tabs>
          <w:tab w:leader="none" w:pos="260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rights of such series upon the voluntary or involuntary dissolution of, or upon any distribution of the assets of, the Company;</w:t>
      </w:r>
    </w:p>
    <w:p>
      <w:pPr>
        <w:spacing w:after="0" w:line="158" w:lineRule="exact"/>
        <w:rPr>
          <w:rFonts w:ascii="Arial" w:cs="Arial" w:eastAsia="Arial" w:hAnsi="Arial"/>
          <w:sz w:val="17"/>
          <w:szCs w:val="17"/>
          <w:color w:val="auto"/>
        </w:rPr>
      </w:pPr>
    </w:p>
    <w:p>
      <w:pPr>
        <w:jc w:val="both"/>
        <w:ind w:left="1960" w:hanging="8"/>
        <w:spacing w:after="0" w:line="266" w:lineRule="auto"/>
        <w:tabs>
          <w:tab w:leader="none" w:pos="260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73" w:lineRule="exact"/>
        <w:rPr>
          <w:rFonts w:ascii="Arial" w:cs="Arial" w:eastAsia="Arial" w:hAnsi="Arial"/>
          <w:sz w:val="17"/>
          <w:szCs w:val="17"/>
          <w:color w:val="auto"/>
        </w:rPr>
      </w:pPr>
    </w:p>
    <w:p>
      <w:pPr>
        <w:ind w:left="2580" w:hanging="628"/>
        <w:spacing w:after="0"/>
        <w:tabs>
          <w:tab w:leader="none" w:pos="25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right, if any, to subscribe for or to purchase any securities of the Company or any other entity;</w:t>
      </w:r>
    </w:p>
    <w:p>
      <w:pPr>
        <w:spacing w:after="0" w:line="236" w:lineRule="exact"/>
        <w:rPr>
          <w:rFonts w:ascii="Arial" w:cs="Arial" w:eastAsia="Arial" w:hAnsi="Arial"/>
          <w:sz w:val="17"/>
          <w:szCs w:val="17"/>
          <w:color w:val="auto"/>
        </w:rPr>
      </w:pPr>
    </w:p>
    <w:p>
      <w:pPr>
        <w:ind w:left="2600" w:hanging="648"/>
        <w:spacing w:after="0"/>
        <w:tabs>
          <w:tab w:leader="none" w:pos="26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provisions, if any, of a sinking fund applicable to such series; and</w:t>
      </w:r>
    </w:p>
    <w:p>
      <w:pPr>
        <w:spacing w:after="0" w:line="223" w:lineRule="exact"/>
        <w:rPr>
          <w:rFonts w:ascii="Arial" w:cs="Arial" w:eastAsia="Arial" w:hAnsi="Arial"/>
          <w:sz w:val="17"/>
          <w:szCs w:val="17"/>
          <w:color w:val="auto"/>
        </w:rPr>
      </w:pPr>
    </w:p>
    <w:p>
      <w:pPr>
        <w:ind w:left="1960" w:hanging="8"/>
        <w:spacing w:after="0" w:line="284" w:lineRule="auto"/>
        <w:tabs>
          <w:tab w:leader="none" w:pos="260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other relative, participating, optional or other special powers, preferences, rights, qualifications, limitations or restrictions thereof;</w:t>
      </w:r>
    </w:p>
    <w:p>
      <w:pPr>
        <w:spacing w:after="0" w:line="158" w:lineRule="exact"/>
        <w:rPr>
          <w:sz w:val="20"/>
          <w:szCs w:val="20"/>
          <w:color w:val="auto"/>
        </w:rPr>
      </w:pPr>
    </w:p>
    <w:p>
      <w:pPr>
        <w:ind w:left="660" w:right="20"/>
        <w:spacing w:after="0" w:line="296" w:lineRule="auto"/>
        <w:rPr>
          <w:sz w:val="20"/>
          <w:szCs w:val="20"/>
          <w:color w:val="auto"/>
        </w:rPr>
      </w:pPr>
      <w:r>
        <w:rPr>
          <w:rFonts w:ascii="Arial" w:cs="Arial" w:eastAsia="Arial" w:hAnsi="Arial"/>
          <w:sz w:val="17"/>
          <w:szCs w:val="17"/>
          <w:color w:val="auto"/>
        </w:rPr>
        <w:t>all as shall be determined from time to time by the Board and shall be stated in a resolution or resolutions providing for the issuance of such Class A Preferred Shares (a "</w:t>
      </w:r>
      <w:r>
        <w:rPr>
          <w:rFonts w:ascii="Arial" w:cs="Arial" w:eastAsia="Arial" w:hAnsi="Arial"/>
          <w:sz w:val="17"/>
          <w:szCs w:val="17"/>
          <w:b w:val="1"/>
          <w:bCs w:val="1"/>
          <w:color w:val="auto"/>
        </w:rPr>
        <w:t>Designation of Series of Class A Preferred Shares</w:t>
      </w:r>
      <w:r>
        <w:rPr>
          <w:rFonts w:ascii="Arial" w:cs="Arial" w:eastAsia="Arial" w:hAnsi="Arial"/>
          <w:sz w:val="17"/>
          <w:szCs w:val="17"/>
          <w:color w:val="auto"/>
        </w:rPr>
        <w:t>");</w:t>
      </w:r>
    </w:p>
    <w:p>
      <w:pPr>
        <w:spacing w:after="0" w:line="152" w:lineRule="exact"/>
        <w:rPr>
          <w:sz w:val="20"/>
          <w:szCs w:val="20"/>
          <w:color w:val="auto"/>
        </w:rPr>
      </w:pPr>
    </w:p>
    <w:p>
      <w:pPr>
        <w:jc w:val="both"/>
        <w:ind w:left="660" w:hanging="4"/>
        <w:spacing w:after="0" w:line="266" w:lineRule="auto"/>
        <w:tabs>
          <w:tab w:leader="none" w:pos="128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directors are authorized to issue a first series of up to 50,000,000 series 1 Class A Preferred Shares, with such limit to be the aggregate number of class A and class B preferred shares to be issued by the Company, designated as the "Class A Series 1 Preferred Shares", having the rights, privileges, restrictions and conditions as set out in Part 27 of these Articles; and</w:t>
      </w:r>
    </w:p>
    <w:p>
      <w:pPr>
        <w:spacing w:after="0" w:line="173" w:lineRule="exact"/>
        <w:rPr>
          <w:rFonts w:ascii="Arial" w:cs="Arial" w:eastAsia="Arial" w:hAnsi="Arial"/>
          <w:sz w:val="17"/>
          <w:szCs w:val="17"/>
          <w:color w:val="auto"/>
        </w:rPr>
      </w:pPr>
    </w:p>
    <w:p>
      <w:pPr>
        <w:jc w:val="both"/>
        <w:ind w:left="660" w:hanging="4"/>
        <w:spacing w:after="0" w:line="266" w:lineRule="auto"/>
        <w:tabs>
          <w:tab w:leader="none" w:pos="130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spacing w:after="0" w:line="173"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27</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CLASS A SERIES 1 PREFERRED SHARES</w:t>
      </w:r>
    </w:p>
    <w:p>
      <w:pPr>
        <w:spacing w:after="0" w:line="7"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SPECIAL RIGHTS AND RESTRICTIONS</w:t>
      </w:r>
    </w:p>
    <w:p>
      <w:pPr>
        <w:spacing w:after="0" w:line="207"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EE2724"/>
          <w:strike w:val="1"/>
        </w:rPr>
        <w:t>Part 27 of the Articles was replaced by the directors resolutions dated November 26, 2017 and received at the Records Office March 28, 2018. Part 27 of the Articles is attached as Schedule A to these Articles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u w:val="single" w:color="auto"/>
          <w:color w:val="0000FF"/>
        </w:rPr>
        <w:t>1.a Special Rights and Restrictions. The Company is authorized to issue up to 50,000,000 Class A Series 1 Preferred Shares, with such limit to be 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179"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28</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CLASS B PREFERRED SHARES</w:t>
      </w:r>
    </w:p>
    <w:p>
      <w:pPr>
        <w:spacing w:after="0" w:line="7"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SPECIAL RIGHTS AND RESTRICTIONS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color w:val="auto"/>
        </w:rPr>
        <w:t xml:space="preserve">28.1 Special Rights and Restrictions. </w:t>
      </w:r>
      <w:r>
        <w:rPr>
          <w:rFonts w:ascii="Arial" w:cs="Arial" w:eastAsia="Arial" w:hAnsi="Arial"/>
          <w:sz w:val="17"/>
          <w:szCs w:val="17"/>
          <w:color w:val="auto"/>
        </w:rPr>
        <w:t>The Company is authorized to issue a class B of preferred shares, up to a maximum of 50,000,000</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with such limit to be the aggregate number of class A and class B preferred shares to be issued by the Company, to be designated as "Class B Preferred Shares", without par value,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In addition to such rights respecting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6"/>
          <w:szCs w:val="16"/>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voting, the Class B Preferred Shares shall have attached thereto the following rights, privileges, restrictions and conditions:</w:t>
      </w:r>
    </w:p>
    <w:p>
      <w:pPr>
        <w:spacing w:after="0" w:line="223" w:lineRule="exact"/>
        <w:rPr>
          <w:sz w:val="20"/>
          <w:szCs w:val="20"/>
          <w:color w:val="auto"/>
        </w:rPr>
      </w:pPr>
    </w:p>
    <w:p>
      <w:pPr>
        <w:ind w:left="1300" w:right="20" w:hanging="644"/>
        <w:spacing w:after="0" w:line="284" w:lineRule="auto"/>
        <w:tabs>
          <w:tab w:leader="none" w:pos="129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subject to the provisions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special rights and restrictions attached to the Class B Preferred Shares authorize the directors, by resolution, to do one or more of the following:</w:t>
      </w:r>
    </w:p>
    <w:p>
      <w:pPr>
        <w:spacing w:after="0" w:line="158" w:lineRule="exact"/>
        <w:rPr>
          <w:rFonts w:ascii="Arial" w:cs="Arial" w:eastAsia="Arial" w:hAnsi="Arial"/>
          <w:sz w:val="17"/>
          <w:szCs w:val="17"/>
          <w:color w:val="auto"/>
        </w:rPr>
      </w:pPr>
    </w:p>
    <w:p>
      <w:pPr>
        <w:ind w:left="1960" w:hanging="656"/>
        <w:spacing w:after="0" w:line="284" w:lineRule="auto"/>
        <w:tabs>
          <w:tab w:leader="none" w:pos="195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create and designate any series of Class B Preferred Shares and authorize the alteration of the Notice of Articles to provide for such series;</w:t>
      </w:r>
    </w:p>
    <w:p>
      <w:pPr>
        <w:spacing w:after="0" w:line="158" w:lineRule="exact"/>
        <w:rPr>
          <w:rFonts w:ascii="Arial" w:cs="Arial" w:eastAsia="Arial" w:hAnsi="Arial"/>
          <w:sz w:val="17"/>
          <w:szCs w:val="17"/>
          <w:color w:val="auto"/>
        </w:rPr>
      </w:pPr>
    </w:p>
    <w:p>
      <w:pPr>
        <w:jc w:val="both"/>
        <w:ind w:left="1960" w:hanging="656"/>
        <w:spacing w:after="0" w:line="274" w:lineRule="auto"/>
        <w:tabs>
          <w:tab w:leader="none" w:pos="1948" w:val="left"/>
        </w:tabs>
        <w:numPr>
          <w:ilvl w:val="1"/>
          <w:numId w:val="145"/>
        </w:numPr>
        <w:rPr>
          <w:rFonts w:ascii="Arial" w:cs="Arial" w:eastAsia="Arial" w:hAnsi="Arial"/>
          <w:sz w:val="17"/>
          <w:szCs w:val="17"/>
          <w:color w:val="auto"/>
        </w:rPr>
      </w:pPr>
      <w:r>
        <w:rPr>
          <w:rFonts w:ascii="Arial" w:cs="Arial" w:eastAsia="Arial" w:hAnsi="Arial"/>
          <w:sz w:val="17"/>
          <w:szCs w:val="17"/>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67" w:lineRule="exact"/>
        <w:rPr>
          <w:rFonts w:ascii="Arial" w:cs="Arial" w:eastAsia="Arial" w:hAnsi="Arial"/>
          <w:sz w:val="17"/>
          <w:szCs w:val="17"/>
          <w:color w:val="auto"/>
        </w:rPr>
      </w:pPr>
    </w:p>
    <w:p>
      <w:pPr>
        <w:ind w:left="1960" w:hanging="656"/>
        <w:spacing w:after="0" w:line="284" w:lineRule="auto"/>
        <w:tabs>
          <w:tab w:leader="none" w:pos="1946"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58" w:lineRule="exact"/>
        <w:rPr>
          <w:rFonts w:ascii="Arial" w:cs="Arial" w:eastAsia="Arial" w:hAnsi="Arial"/>
          <w:sz w:val="17"/>
          <w:szCs w:val="17"/>
          <w:color w:val="auto"/>
        </w:rPr>
      </w:pPr>
    </w:p>
    <w:p>
      <w:pPr>
        <w:jc w:val="both"/>
        <w:ind w:left="1960" w:hanging="656"/>
        <w:spacing w:after="0" w:line="266" w:lineRule="auto"/>
        <w:tabs>
          <w:tab w:leader="none" w:pos="1942" w:val="left"/>
        </w:tabs>
        <w:numPr>
          <w:ilvl w:val="1"/>
          <w:numId w:val="145"/>
        </w:numPr>
        <w:rPr>
          <w:rFonts w:ascii="Arial" w:cs="Arial" w:eastAsia="Arial" w:hAnsi="Arial"/>
          <w:sz w:val="17"/>
          <w:szCs w:val="17"/>
          <w:color w:val="auto"/>
        </w:rPr>
      </w:pPr>
      <w:r>
        <w:rPr>
          <w:rFonts w:ascii="Arial" w:cs="Arial" w:eastAsia="Arial" w:hAnsi="Arial"/>
          <w:sz w:val="17"/>
          <w:szCs w:val="17"/>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72" w:lineRule="exact"/>
        <w:rPr>
          <w:rFonts w:ascii="Arial" w:cs="Arial" w:eastAsia="Arial" w:hAnsi="Arial"/>
          <w:sz w:val="17"/>
          <w:szCs w:val="17"/>
          <w:color w:val="auto"/>
        </w:rPr>
      </w:pPr>
    </w:p>
    <w:p>
      <w:pPr>
        <w:ind w:left="2580" w:hanging="628"/>
        <w:spacing w:after="0"/>
        <w:tabs>
          <w:tab w:leader="none" w:pos="258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voting powers, if any, and whether such voting powers are full or limited, in such series;</w:t>
      </w:r>
    </w:p>
    <w:p>
      <w:pPr>
        <w:spacing w:after="0" w:line="223" w:lineRule="exact"/>
        <w:rPr>
          <w:rFonts w:ascii="Arial" w:cs="Arial" w:eastAsia="Arial" w:hAnsi="Arial"/>
          <w:sz w:val="17"/>
          <w:szCs w:val="17"/>
          <w:color w:val="auto"/>
        </w:rPr>
      </w:pPr>
    </w:p>
    <w:p>
      <w:pPr>
        <w:ind w:left="2600" w:hanging="648"/>
        <w:spacing w:after="0"/>
        <w:tabs>
          <w:tab w:leader="none" w:pos="260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redemption provisions, if any, applicable to such series, including the redemption price or prices to be paid;</w:t>
      </w:r>
    </w:p>
    <w:p>
      <w:pPr>
        <w:spacing w:after="0" w:line="236" w:lineRule="exact"/>
        <w:rPr>
          <w:rFonts w:ascii="Arial" w:cs="Arial" w:eastAsia="Arial" w:hAnsi="Arial"/>
          <w:sz w:val="17"/>
          <w:szCs w:val="17"/>
          <w:color w:val="auto"/>
        </w:rPr>
      </w:pPr>
    </w:p>
    <w:p>
      <w:pPr>
        <w:ind w:left="2600" w:hanging="648"/>
        <w:spacing w:after="0" w:line="284" w:lineRule="auto"/>
        <w:tabs>
          <w:tab w:leader="none" w:pos="2595" w:val="left"/>
        </w:tabs>
        <w:numPr>
          <w:ilvl w:val="2"/>
          <w:numId w:val="145"/>
        </w:numPr>
        <w:rPr>
          <w:rFonts w:ascii="Arial" w:cs="Arial" w:eastAsia="Arial" w:hAnsi="Arial"/>
          <w:sz w:val="17"/>
          <w:szCs w:val="17"/>
          <w:color w:val="auto"/>
        </w:rPr>
      </w:pPr>
      <w:r>
        <w:rPr>
          <w:rFonts w:ascii="Arial" w:cs="Arial" w:eastAsia="Arial" w:hAnsi="Arial"/>
          <w:sz w:val="17"/>
          <w:szCs w:val="17"/>
          <w:color w:val="auto"/>
        </w:rPr>
        <w:t>whether dividends, if any, shall be cumulative or noncumulative, the dividend rate of such series, and the dates and preferences of dividends on such series;</w:t>
      </w:r>
    </w:p>
    <w:p>
      <w:pPr>
        <w:spacing w:after="0" w:line="158" w:lineRule="exact"/>
        <w:rPr>
          <w:rFonts w:ascii="Arial" w:cs="Arial" w:eastAsia="Arial" w:hAnsi="Arial"/>
          <w:sz w:val="17"/>
          <w:szCs w:val="17"/>
          <w:color w:val="auto"/>
        </w:rPr>
      </w:pPr>
    </w:p>
    <w:p>
      <w:pPr>
        <w:ind w:left="2600" w:hanging="648"/>
        <w:spacing w:after="0" w:line="284" w:lineRule="auto"/>
        <w:tabs>
          <w:tab w:leader="none" w:pos="2595"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rights of such series upon the voluntary or involuntary dissolution of, or upon any distribution of the assets of, the Company;</w:t>
      </w:r>
    </w:p>
    <w:p>
      <w:pPr>
        <w:spacing w:after="0" w:line="158" w:lineRule="exact"/>
        <w:rPr>
          <w:rFonts w:ascii="Arial" w:cs="Arial" w:eastAsia="Arial" w:hAnsi="Arial"/>
          <w:sz w:val="17"/>
          <w:szCs w:val="17"/>
          <w:color w:val="auto"/>
        </w:rPr>
      </w:pPr>
    </w:p>
    <w:p>
      <w:pPr>
        <w:jc w:val="both"/>
        <w:ind w:left="2600" w:hanging="648"/>
        <w:spacing w:after="0" w:line="274" w:lineRule="auto"/>
        <w:tabs>
          <w:tab w:leader="none" w:pos="2599"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67" w:lineRule="exact"/>
        <w:rPr>
          <w:rFonts w:ascii="Arial" w:cs="Arial" w:eastAsia="Arial" w:hAnsi="Arial"/>
          <w:sz w:val="17"/>
          <w:szCs w:val="17"/>
          <w:color w:val="auto"/>
        </w:rPr>
      </w:pPr>
    </w:p>
    <w:p>
      <w:pPr>
        <w:ind w:left="2580" w:hanging="628"/>
        <w:spacing w:after="0"/>
        <w:tabs>
          <w:tab w:leader="none" w:pos="258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right, if any, to subscribe for or to purchase any securities of the Company or any other entity;</w:t>
      </w:r>
    </w:p>
    <w:p>
      <w:pPr>
        <w:spacing w:after="0" w:line="223" w:lineRule="exact"/>
        <w:rPr>
          <w:rFonts w:ascii="Arial" w:cs="Arial" w:eastAsia="Arial" w:hAnsi="Arial"/>
          <w:sz w:val="17"/>
          <w:szCs w:val="17"/>
          <w:color w:val="auto"/>
        </w:rPr>
      </w:pPr>
    </w:p>
    <w:p>
      <w:pPr>
        <w:ind w:left="2600" w:hanging="648"/>
        <w:spacing w:after="0"/>
        <w:tabs>
          <w:tab w:leader="none" w:pos="260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the provisions, if any, of a sinking fund applicable to such series; and</w:t>
      </w:r>
    </w:p>
    <w:p>
      <w:pPr>
        <w:spacing w:after="0" w:line="223" w:lineRule="exact"/>
        <w:rPr>
          <w:rFonts w:ascii="Arial" w:cs="Arial" w:eastAsia="Arial" w:hAnsi="Arial"/>
          <w:sz w:val="17"/>
          <w:szCs w:val="17"/>
          <w:color w:val="auto"/>
        </w:rPr>
      </w:pPr>
    </w:p>
    <w:p>
      <w:pPr>
        <w:ind w:left="2600" w:hanging="648"/>
        <w:spacing w:after="0" w:line="284" w:lineRule="auto"/>
        <w:tabs>
          <w:tab w:leader="none" w:pos="2595" w:val="left"/>
        </w:tabs>
        <w:numPr>
          <w:ilvl w:val="2"/>
          <w:numId w:val="145"/>
        </w:numPr>
        <w:rPr>
          <w:rFonts w:ascii="Arial" w:cs="Arial" w:eastAsia="Arial" w:hAnsi="Arial"/>
          <w:sz w:val="17"/>
          <w:szCs w:val="17"/>
          <w:color w:val="auto"/>
        </w:rPr>
      </w:pPr>
      <w:r>
        <w:rPr>
          <w:rFonts w:ascii="Arial" w:cs="Arial" w:eastAsia="Arial" w:hAnsi="Arial"/>
          <w:sz w:val="17"/>
          <w:szCs w:val="17"/>
          <w:color w:val="auto"/>
        </w:rPr>
        <w:t>any other relative, participating, optional or other special powers, preferences, rights, qualifications, limitations or restrictions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spacing w:after="0" w:line="296" w:lineRule="auto"/>
        <w:rPr>
          <w:sz w:val="20"/>
          <w:szCs w:val="20"/>
          <w:color w:val="auto"/>
        </w:rPr>
      </w:pPr>
      <w:r>
        <w:rPr>
          <w:rFonts w:ascii="Arial" w:cs="Arial" w:eastAsia="Arial" w:hAnsi="Arial"/>
          <w:sz w:val="17"/>
          <w:szCs w:val="17"/>
          <w:color w:val="auto"/>
        </w:rPr>
        <w:t>all as shall be determined from time to time by the Board and shall be stated in a resolution or resolutions providing for the issuance of such Class B Preferred Shares (a "</w:t>
      </w:r>
      <w:r>
        <w:rPr>
          <w:rFonts w:ascii="Arial" w:cs="Arial" w:eastAsia="Arial" w:hAnsi="Arial"/>
          <w:sz w:val="17"/>
          <w:szCs w:val="17"/>
          <w:b w:val="1"/>
          <w:bCs w:val="1"/>
          <w:color w:val="auto"/>
        </w:rPr>
        <w:t>Designation of Series of Class B Preferred Shares</w:t>
      </w:r>
      <w:r>
        <w:rPr>
          <w:rFonts w:ascii="Arial" w:cs="Arial" w:eastAsia="Arial" w:hAnsi="Arial"/>
          <w:sz w:val="17"/>
          <w:szCs w:val="17"/>
          <w:color w:val="auto"/>
        </w:rPr>
        <w:t>"); and</w:t>
      </w:r>
    </w:p>
    <w:p>
      <w:pPr>
        <w:spacing w:after="0" w:line="139" w:lineRule="exact"/>
        <w:rPr>
          <w:sz w:val="20"/>
          <w:szCs w:val="20"/>
          <w:color w:val="auto"/>
        </w:rPr>
      </w:pPr>
    </w:p>
    <w:p>
      <w:pPr>
        <w:jc w:val="both"/>
        <w:ind w:left="1300" w:hanging="644"/>
        <w:spacing w:after="0" w:line="266" w:lineRule="auto"/>
        <w:tabs>
          <w:tab w:leader="none" w:pos="12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spacing w:after="0" w:line="173" w:lineRule="exact"/>
        <w:rPr>
          <w:rFonts w:ascii="Arial" w:cs="Arial" w:eastAsia="Arial" w:hAnsi="Arial"/>
          <w:sz w:val="17"/>
          <w:szCs w:val="17"/>
          <w:color w:val="auto"/>
        </w:rPr>
      </w:pPr>
    </w:p>
    <w:p>
      <w:pPr>
        <w:jc w:val="both"/>
        <w:ind w:left="1300" w:hanging="644"/>
        <w:spacing w:after="0" w:line="259" w:lineRule="auto"/>
        <w:tabs>
          <w:tab w:leader="none" w:pos="129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40"/>
        <w:spacing w:after="0"/>
        <w:rPr>
          <w:sz w:val="20"/>
          <w:szCs w:val="20"/>
          <w:color w:val="auto"/>
        </w:rPr>
      </w:pPr>
      <w:r>
        <w:rPr>
          <w:rFonts w:ascii="Arial" w:cs="Arial" w:eastAsia="Arial" w:hAnsi="Arial"/>
          <w:sz w:val="17"/>
          <w:szCs w:val="17"/>
          <w:b w:val="1"/>
          <w:bCs w:val="1"/>
          <w:color w:val="auto"/>
        </w:rPr>
        <w:t>PART 29</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CLASS B SERIES 1 PREFERRED SHARES</w:t>
      </w:r>
    </w:p>
    <w:p>
      <w:pPr>
        <w:spacing w:after="0" w:line="7" w:lineRule="exact"/>
        <w:rPr>
          <w:sz w:val="20"/>
          <w:szCs w:val="20"/>
          <w:color w:val="auto"/>
        </w:rPr>
      </w:pPr>
    </w:p>
    <w:p>
      <w:pPr>
        <w:ind w:left="4040"/>
        <w:spacing w:after="0"/>
        <w:rPr>
          <w:sz w:val="20"/>
          <w:szCs w:val="20"/>
          <w:color w:val="auto"/>
        </w:rPr>
      </w:pPr>
      <w:r>
        <w:rPr>
          <w:rFonts w:ascii="Arial" w:cs="Arial" w:eastAsia="Arial" w:hAnsi="Arial"/>
          <w:sz w:val="17"/>
          <w:szCs w:val="17"/>
          <w:b w:val="1"/>
          <w:bCs w:val="1"/>
          <w:color w:val="auto"/>
        </w:rPr>
        <w:t>SPECIAL RIGHTS AND RESTRICTIONS</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29.1 Special Rights and Restrictions. </w:t>
      </w:r>
      <w:r>
        <w:rPr>
          <w:rFonts w:ascii="Arial" w:cs="Arial" w:eastAsia="Arial" w:hAnsi="Arial"/>
          <w:sz w:val="17"/>
          <w:szCs w:val="17"/>
          <w:color w:val="auto"/>
        </w:rPr>
        <w:t>The Company is authorized to issue up to 50,000,000 Class B Series 1 Preferred Shares, with such limit</w:t>
      </w:r>
      <w:r>
        <w:rPr>
          <w:rFonts w:ascii="Arial" w:cs="Arial" w:eastAsia="Arial" w:hAnsi="Arial"/>
          <w:sz w:val="17"/>
          <w:szCs w:val="17"/>
          <w:b w:val="1"/>
          <w:bCs w:val="1"/>
          <w:color w:val="auto"/>
        </w:rPr>
        <w:t xml:space="preserve"> </w:t>
      </w:r>
      <w:r>
        <w:rPr>
          <w:rFonts w:ascii="Arial" w:cs="Arial" w:eastAsia="Arial" w:hAnsi="Arial"/>
          <w:sz w:val="17"/>
          <w:szCs w:val="17"/>
          <w:color w:val="auto"/>
        </w:rPr>
        <w:t>to be 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6"/>
          <w:szCs w:val="16"/>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EE2724"/>
          <w:strike w:val="1"/>
        </w:rPr>
        <w:t>Schedule “A”</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EE2724"/>
          <w:strike w:val="1"/>
        </w:rPr>
        <w:t>PART 27.1</w:t>
      </w: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EE2724"/>
          <w:strike w:val="1"/>
        </w:rPr>
        <w:t>SPECIAL RIGHTS AND RESTRICTIONS OF</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EE2724"/>
          <w:strike w:val="1"/>
        </w:rPr>
        <w:t>CLASS A SERIES 1 PREFERRED SHARES</w:t>
      </w:r>
    </w:p>
    <w:p>
      <w:pPr>
        <w:spacing w:after="0" w:line="31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27.1.1</w:t>
        <w:tab/>
        <w:t>Definitions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EE2724"/>
          <w:strike w:val="1"/>
        </w:rPr>
        <w:t>As used herein, the following terms shall have the following meanings:</w:t>
      </w:r>
    </w:p>
    <w:p>
      <w:pPr>
        <w:spacing w:after="0" w:line="316" w:lineRule="exact"/>
        <w:rPr>
          <w:sz w:val="20"/>
          <w:szCs w:val="20"/>
          <w:color w:val="auto"/>
        </w:rPr>
      </w:pPr>
    </w:p>
    <w:p>
      <w:pPr>
        <w:jc w:val="both"/>
        <w:ind w:firstLine="8"/>
        <w:spacing w:after="0" w:line="389" w:lineRule="auto"/>
        <w:tabs>
          <w:tab w:leader="none" w:pos="378"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“Accrued Dividends”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158" w:lineRule="exact"/>
        <w:rPr>
          <w:rFonts w:ascii="Arial" w:cs="Arial" w:eastAsia="Arial" w:hAnsi="Arial"/>
          <w:sz w:val="16"/>
          <w:szCs w:val="16"/>
          <w:color w:val="EE2724"/>
          <w:strike w:val="1"/>
        </w:rPr>
      </w:pPr>
    </w:p>
    <w:p>
      <w:pPr>
        <w:ind w:left="380" w:hanging="372"/>
        <w:spacing w:after="0"/>
        <w:tabs>
          <w:tab w:leader="none" w:pos="38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“Article 27.1.9(a) Distribution” shall have the meaning set forth in Article 27.1.9(d)(v)(A).</w:t>
      </w:r>
    </w:p>
    <w:p>
      <w:pPr>
        <w:spacing w:after="0" w:line="315" w:lineRule="exact"/>
        <w:rPr>
          <w:rFonts w:ascii="Arial" w:cs="Arial" w:eastAsia="Arial" w:hAnsi="Arial"/>
          <w:sz w:val="16"/>
          <w:szCs w:val="16"/>
          <w:color w:val="EE2724"/>
          <w:strike w:val="1"/>
        </w:rPr>
      </w:pPr>
    </w:p>
    <w:p>
      <w:pPr>
        <w:ind w:left="380" w:hanging="372"/>
        <w:spacing w:after="0"/>
        <w:tabs>
          <w:tab w:leader="none" w:pos="38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“Article 27.1.9(b) Distribution” shall have the meaning set forth in Article 27.1.9(d)(v)(B).</w:t>
      </w:r>
    </w:p>
    <w:p>
      <w:pPr>
        <w:spacing w:after="0" w:line="315" w:lineRule="exact"/>
        <w:rPr>
          <w:rFonts w:ascii="Arial" w:cs="Arial" w:eastAsia="Arial" w:hAnsi="Arial"/>
          <w:sz w:val="16"/>
          <w:szCs w:val="16"/>
          <w:color w:val="EE2724"/>
          <w:strike w:val="1"/>
        </w:rPr>
      </w:pPr>
    </w:p>
    <w:p>
      <w:pPr>
        <w:ind w:left="380" w:hanging="372"/>
        <w:spacing w:after="0"/>
        <w:tabs>
          <w:tab w:leader="none" w:pos="38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“Article 27.1.9(d) Distribution” shall have the meaning set forth in Article 27.1.9(d)(v)(B).</w:t>
      </w:r>
    </w:p>
    <w:p>
      <w:pPr>
        <w:spacing w:after="0" w:line="315" w:lineRule="exact"/>
        <w:rPr>
          <w:rFonts w:ascii="Arial" w:cs="Arial" w:eastAsia="Arial" w:hAnsi="Arial"/>
          <w:sz w:val="16"/>
          <w:szCs w:val="16"/>
          <w:color w:val="EE2724"/>
          <w:strike w:val="1"/>
        </w:rPr>
      </w:pPr>
    </w:p>
    <w:p>
      <w:pPr>
        <w:ind w:left="380" w:hanging="372"/>
        <w:spacing w:after="0"/>
        <w:tabs>
          <w:tab w:leader="none" w:pos="38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“Automatic Conversion” shall have the meaning set forth in Article 27.1.6(d)(i).</w:t>
      </w:r>
    </w:p>
    <w:p>
      <w:pPr>
        <w:spacing w:after="0" w:line="315" w:lineRule="exact"/>
        <w:rPr>
          <w:rFonts w:ascii="Arial" w:cs="Arial" w:eastAsia="Arial" w:hAnsi="Arial"/>
          <w:sz w:val="16"/>
          <w:szCs w:val="16"/>
          <w:color w:val="EE2724"/>
          <w:strike w:val="1"/>
        </w:rPr>
      </w:pPr>
    </w:p>
    <w:p>
      <w:pPr>
        <w:ind w:left="340" w:hanging="332"/>
        <w:spacing w:after="0"/>
        <w:tabs>
          <w:tab w:leader="none" w:pos="34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“Automatic Conversion Time” shall have the meaning set forth in Article 27.1.6(d)(i).</w:t>
      </w:r>
    </w:p>
    <w:p>
      <w:pPr>
        <w:spacing w:after="0" w:line="315" w:lineRule="exact"/>
        <w:rPr>
          <w:rFonts w:ascii="Arial" w:cs="Arial" w:eastAsia="Arial" w:hAnsi="Arial"/>
          <w:sz w:val="16"/>
          <w:szCs w:val="16"/>
          <w:color w:val="EE2724"/>
          <w:strike w:val="1"/>
        </w:rPr>
      </w:pPr>
    </w:p>
    <w:p>
      <w:pPr>
        <w:ind w:left="380" w:hanging="372"/>
        <w:spacing w:after="0"/>
        <w:tabs>
          <w:tab w:leader="none" w:pos="38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“Average VWAP” per share over a certain period shall mean the arithmetic average of the VWAP per share for each Trading Day in such period.</w:t>
      </w:r>
    </w:p>
    <w:p>
      <w:pPr>
        <w:spacing w:after="0" w:line="315" w:lineRule="exact"/>
        <w:rPr>
          <w:rFonts w:ascii="Arial" w:cs="Arial" w:eastAsia="Arial" w:hAnsi="Arial"/>
          <w:sz w:val="16"/>
          <w:szCs w:val="16"/>
          <w:color w:val="EE2724"/>
          <w:strike w:val="1"/>
        </w:rPr>
      </w:pPr>
    </w:p>
    <w:p>
      <w:pPr>
        <w:ind w:firstLine="8"/>
        <w:spacing w:after="0" w:line="409" w:lineRule="auto"/>
        <w:tabs>
          <w:tab w:leader="none" w:pos="397"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“Business Day” shall mean any day other than a Saturday or Sunday or any other day on which commercial banks in New York City or the province of British Columbia, Canada are authorized or required by law or executive order to close.</w:t>
      </w:r>
    </w:p>
    <w:p>
      <w:pPr>
        <w:spacing w:after="0" w:line="142" w:lineRule="exact"/>
        <w:rPr>
          <w:rFonts w:ascii="Arial" w:cs="Arial" w:eastAsia="Arial" w:hAnsi="Arial"/>
          <w:sz w:val="16"/>
          <w:szCs w:val="16"/>
          <w:color w:val="EE2724"/>
          <w:strike w:val="1"/>
        </w:rPr>
      </w:pPr>
    </w:p>
    <w:p>
      <w:pPr>
        <w:ind w:left="340" w:hanging="332"/>
        <w:spacing w:after="0"/>
        <w:tabs>
          <w:tab w:leader="none" w:pos="340"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“Cash Dividends” shall have the meaning set forth in Article 27.1.3(a).</w:t>
      </w:r>
    </w:p>
    <w:p>
      <w:pPr>
        <w:spacing w:after="0" w:line="315" w:lineRule="exact"/>
        <w:rPr>
          <w:rFonts w:ascii="Arial" w:cs="Arial" w:eastAsia="Arial" w:hAnsi="Arial"/>
          <w:sz w:val="16"/>
          <w:szCs w:val="16"/>
          <w:color w:val="EE2724"/>
          <w:strike w:val="1"/>
        </w:rPr>
      </w:pPr>
    </w:p>
    <w:p>
      <w:pPr>
        <w:jc w:val="both"/>
        <w:ind w:firstLine="8"/>
        <w:spacing w:after="0" w:line="376" w:lineRule="auto"/>
        <w:tabs>
          <w:tab w:leader="none" w:pos="382" w:val="left"/>
        </w:tabs>
        <w:numPr>
          <w:ilvl w:val="0"/>
          <w:numId w:val="147"/>
        </w:numPr>
        <w:rPr>
          <w:rFonts w:ascii="Arial" w:cs="Arial" w:eastAsia="Arial" w:hAnsi="Arial"/>
          <w:sz w:val="16"/>
          <w:szCs w:val="16"/>
          <w:color w:val="EE2724"/>
          <w:strike w:val="1"/>
        </w:rPr>
      </w:pPr>
      <w:r>
        <w:rPr>
          <w:rFonts w:ascii="Arial" w:cs="Arial" w:eastAsia="Arial" w:hAnsi="Arial"/>
          <w:sz w:val="16"/>
          <w:szCs w:val="16"/>
          <w:color w:val="EE2724"/>
          <w:strike w:val="1"/>
        </w:rPr>
        <w:t>“Change of Control”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969645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2" w:name="page123"/>
    <w:bookmarkEnd w:id="122"/>
    <w:p>
      <w:pPr>
        <w:jc w:val="center"/>
        <w:ind w:right="-11"/>
        <w:spacing w:after="0"/>
        <w:rPr>
          <w:sz w:val="20"/>
          <w:szCs w:val="20"/>
          <w:color w:val="auto"/>
        </w:rPr>
      </w:pPr>
      <w:r>
        <w:rPr>
          <w:rFonts w:ascii="Arial" w:cs="Arial" w:eastAsia="Arial" w:hAnsi="Arial"/>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2" w:hanging="372"/>
        <w:spacing w:after="0"/>
        <w:tabs>
          <w:tab w:leader="none" w:pos="372" w:val="left"/>
        </w:tabs>
        <w:numPr>
          <w:ilvl w:val="0"/>
          <w:numId w:val="148"/>
        </w:numPr>
        <w:rPr>
          <w:rFonts w:ascii="Arial" w:cs="Arial" w:eastAsia="Arial" w:hAnsi="Arial"/>
          <w:sz w:val="16"/>
          <w:szCs w:val="16"/>
          <w:color w:val="EE2724"/>
          <w:strike w:val="1"/>
        </w:rPr>
      </w:pPr>
      <w:r>
        <w:rPr>
          <w:rFonts w:ascii="Arial" w:cs="Arial" w:eastAsia="Arial" w:hAnsi="Arial"/>
          <w:sz w:val="16"/>
          <w:szCs w:val="16"/>
          <w:color w:val="EE2724"/>
          <w:strike w:val="1"/>
        </w:rPr>
        <w:t>“close of business” as of any Business Day shall mean 5:00 p.m. (New York City time) on such Business Day.</w:t>
      </w:r>
    </w:p>
    <w:p>
      <w:pPr>
        <w:spacing w:after="0" w:line="302" w:lineRule="exact"/>
        <w:rPr>
          <w:rFonts w:ascii="Arial" w:cs="Arial" w:eastAsia="Arial" w:hAnsi="Arial"/>
          <w:sz w:val="16"/>
          <w:szCs w:val="16"/>
          <w:color w:val="EE2724"/>
          <w:strike w:val="1"/>
        </w:rPr>
      </w:pPr>
    </w:p>
    <w:p>
      <w:pPr>
        <w:ind w:left="332" w:hanging="332"/>
        <w:spacing w:after="0"/>
        <w:tabs>
          <w:tab w:leader="none" w:pos="332" w:val="left"/>
        </w:tabs>
        <w:numPr>
          <w:ilvl w:val="0"/>
          <w:numId w:val="148"/>
        </w:numPr>
        <w:rPr>
          <w:rFonts w:ascii="Arial" w:cs="Arial" w:eastAsia="Arial" w:hAnsi="Arial"/>
          <w:sz w:val="16"/>
          <w:szCs w:val="16"/>
          <w:color w:val="EE2724"/>
          <w:strike w:val="1"/>
        </w:rPr>
      </w:pPr>
      <w:r>
        <w:rPr>
          <w:rFonts w:ascii="Arial" w:cs="Arial" w:eastAsia="Arial" w:hAnsi="Arial"/>
          <w:sz w:val="16"/>
          <w:szCs w:val="16"/>
          <w:color w:val="EE2724"/>
          <w:strike w:val="1"/>
        </w:rPr>
        <w:t>“Conversion” means Early Conversion, Forced Conversion, Mandatory Conversion or Automatic Conversion, as applicable.</w:t>
      </w:r>
    </w:p>
    <w:p>
      <w:pPr>
        <w:spacing w:after="0" w:line="315" w:lineRule="exact"/>
        <w:rPr>
          <w:rFonts w:ascii="Arial" w:cs="Arial" w:eastAsia="Arial" w:hAnsi="Arial"/>
          <w:sz w:val="16"/>
          <w:szCs w:val="16"/>
          <w:color w:val="EE2724"/>
          <w:strike w:val="1"/>
        </w:rPr>
      </w:pPr>
    </w:p>
    <w:p>
      <w:pPr>
        <w:ind w:left="-8" w:right="20" w:firstLine="8"/>
        <w:spacing w:after="0" w:line="409" w:lineRule="auto"/>
        <w:tabs>
          <w:tab w:leader="none" w:pos="438" w:val="left"/>
        </w:tabs>
        <w:numPr>
          <w:ilvl w:val="0"/>
          <w:numId w:val="148"/>
        </w:numPr>
        <w:rPr>
          <w:rFonts w:ascii="Arial" w:cs="Arial" w:eastAsia="Arial" w:hAnsi="Arial"/>
          <w:sz w:val="16"/>
          <w:szCs w:val="16"/>
          <w:color w:val="EE2724"/>
          <w:strike w:val="1"/>
        </w:rPr>
      </w:pPr>
      <w:r>
        <w:rPr>
          <w:rFonts w:ascii="Arial" w:cs="Arial" w:eastAsia="Arial" w:hAnsi="Arial"/>
          <w:sz w:val="16"/>
          <w:szCs w:val="16"/>
          <w:color w:val="EE2724"/>
          <w:strike w:val="1"/>
        </w:rPr>
        <w:t>“Conversion Date” shall mean the Early Conversion Date, the Forced Conversion Date, the Mandatory Conversion Date or the Automatic Conversion Date, as applicable.</w:t>
      </w:r>
    </w:p>
    <w:p>
      <w:pPr>
        <w:spacing w:after="0" w:line="155" w:lineRule="exact"/>
        <w:rPr>
          <w:rFonts w:ascii="Arial" w:cs="Arial" w:eastAsia="Arial" w:hAnsi="Arial"/>
          <w:sz w:val="16"/>
          <w:szCs w:val="16"/>
          <w:color w:val="EE2724"/>
          <w:strike w:val="1"/>
        </w:rPr>
      </w:pPr>
    </w:p>
    <w:p>
      <w:pPr>
        <w:ind w:left="372" w:hanging="372"/>
        <w:spacing w:after="0"/>
        <w:tabs>
          <w:tab w:leader="none" w:pos="372" w:val="left"/>
        </w:tabs>
        <w:numPr>
          <w:ilvl w:val="0"/>
          <w:numId w:val="148"/>
        </w:numPr>
        <w:rPr>
          <w:rFonts w:ascii="Arial" w:cs="Arial" w:eastAsia="Arial" w:hAnsi="Arial"/>
          <w:sz w:val="16"/>
          <w:szCs w:val="16"/>
          <w:color w:val="EE2724"/>
          <w:strike w:val="1"/>
        </w:rPr>
      </w:pPr>
      <w:r>
        <w:rPr>
          <w:rFonts w:ascii="Arial" w:cs="Arial" w:eastAsia="Arial" w:hAnsi="Arial"/>
          <w:sz w:val="16"/>
          <w:szCs w:val="16"/>
          <w:color w:val="EE2724"/>
          <w:strike w:val="1"/>
        </w:rPr>
        <w:t>“Conversion Price” shall mean, as of any time, US$10,000 divided by the Conversion Rate as of such time.</w:t>
      </w:r>
    </w:p>
    <w:p>
      <w:pPr>
        <w:spacing w:after="0" w:line="315" w:lineRule="exact"/>
        <w:rPr>
          <w:rFonts w:ascii="Arial" w:cs="Arial" w:eastAsia="Arial" w:hAnsi="Arial"/>
          <w:sz w:val="16"/>
          <w:szCs w:val="16"/>
          <w:color w:val="EE2724"/>
          <w:strike w:val="1"/>
        </w:rPr>
      </w:pPr>
    </w:p>
    <w:p>
      <w:pPr>
        <w:ind w:left="-8" w:firstLine="8"/>
        <w:spacing w:after="0" w:line="409" w:lineRule="auto"/>
        <w:tabs>
          <w:tab w:leader="none" w:pos="452" w:val="left"/>
        </w:tabs>
        <w:numPr>
          <w:ilvl w:val="0"/>
          <w:numId w:val="148"/>
        </w:numPr>
        <w:rPr>
          <w:rFonts w:ascii="Arial" w:cs="Arial" w:eastAsia="Arial" w:hAnsi="Arial"/>
          <w:sz w:val="16"/>
          <w:szCs w:val="16"/>
          <w:color w:val="EE2724"/>
          <w:strike w:val="1"/>
        </w:rPr>
      </w:pPr>
      <w:r>
        <w:rPr>
          <w:rFonts w:ascii="Arial" w:cs="Arial" w:eastAsia="Arial" w:hAnsi="Arial"/>
          <w:sz w:val="16"/>
          <w:szCs w:val="16"/>
          <w:color w:val="EE2724"/>
          <w:strike w:val="1"/>
        </w:rPr>
        <w:t>“Conversion Rate” shall equal 3,030.3030 Common Shares per each US$10,000 of Liquidation Preference of Class A Series 1 Preferred Shares, subject to adjustment in accordance with Article 27.1.9, rounded to the nearest 1/10,000th of a share.</w:t>
      </w:r>
    </w:p>
    <w:p>
      <w:pPr>
        <w:spacing w:after="0" w:line="155" w:lineRule="exact"/>
        <w:rPr>
          <w:rFonts w:ascii="Arial" w:cs="Arial" w:eastAsia="Arial" w:hAnsi="Arial"/>
          <w:sz w:val="16"/>
          <w:szCs w:val="16"/>
          <w:color w:val="EE2724"/>
          <w:strike w:val="1"/>
        </w:rPr>
      </w:pPr>
    </w:p>
    <w:p>
      <w:pPr>
        <w:ind w:left="-8" w:firstLine="8"/>
        <w:spacing w:after="0" w:line="409" w:lineRule="auto"/>
        <w:tabs>
          <w:tab w:leader="none" w:pos="472" w:val="left"/>
        </w:tabs>
        <w:numPr>
          <w:ilvl w:val="0"/>
          <w:numId w:val="148"/>
        </w:numPr>
        <w:rPr>
          <w:rFonts w:ascii="Arial" w:cs="Arial" w:eastAsia="Arial" w:hAnsi="Arial"/>
          <w:sz w:val="16"/>
          <w:szCs w:val="16"/>
          <w:color w:val="EE2724"/>
          <w:strike w:val="1"/>
        </w:rPr>
      </w:pPr>
      <w:r>
        <w:rPr>
          <w:rFonts w:ascii="Arial" w:cs="Arial" w:eastAsia="Arial" w:hAnsi="Arial"/>
          <w:sz w:val="16"/>
          <w:szCs w:val="16"/>
          <w:color w:val="EE2724"/>
          <w:strike w:val="1"/>
        </w:rPr>
        <w:t>“Current Market Price” per Common Share (or, in the case of Article 27.1.9(d), per Common Share, shares, capital stock or equity interests, as applicable) on any date means for the purposes of determining an adjustment to the Conversion Rate:</w:t>
      </w:r>
    </w:p>
    <w:p>
      <w:pPr>
        <w:spacing w:after="0" w:line="142" w:lineRule="exact"/>
        <w:rPr>
          <w:sz w:val="20"/>
          <w:szCs w:val="20"/>
          <w:color w:val="auto"/>
        </w:rPr>
      </w:pPr>
    </w:p>
    <w:p>
      <w:pPr>
        <w:jc w:val="both"/>
        <w:ind w:left="-8" w:firstLine="8"/>
        <w:spacing w:after="0" w:line="389" w:lineRule="auto"/>
        <w:tabs>
          <w:tab w:leader="none" w:pos="343" w:val="left"/>
        </w:tabs>
        <w:numPr>
          <w:ilvl w:val="0"/>
          <w:numId w:val="149"/>
        </w:numPr>
        <w:rPr>
          <w:rFonts w:ascii="Arial" w:cs="Arial" w:eastAsia="Arial" w:hAnsi="Arial"/>
          <w:sz w:val="16"/>
          <w:szCs w:val="16"/>
          <w:color w:val="EE2724"/>
          <w:strike w:val="1"/>
        </w:rPr>
      </w:pPr>
      <w:r>
        <w:rPr>
          <w:rFonts w:ascii="Arial" w:cs="Arial" w:eastAsia="Arial" w:hAnsi="Arial"/>
          <w:sz w:val="16"/>
          <w:szCs w:val="16"/>
          <w:color w:val="EE2724"/>
          <w:strike w:val="1"/>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171" w:lineRule="exact"/>
        <w:rPr>
          <w:rFonts w:ascii="Arial" w:cs="Arial" w:eastAsia="Arial" w:hAnsi="Arial"/>
          <w:sz w:val="16"/>
          <w:szCs w:val="16"/>
          <w:color w:val="EE2724"/>
          <w:strike w:val="1"/>
        </w:rPr>
      </w:pPr>
    </w:p>
    <w:p>
      <w:pPr>
        <w:jc w:val="both"/>
        <w:ind w:left="-8" w:firstLine="8"/>
        <w:spacing w:after="0" w:line="389" w:lineRule="auto"/>
        <w:tabs>
          <w:tab w:leader="none" w:pos="425" w:val="left"/>
        </w:tabs>
        <w:numPr>
          <w:ilvl w:val="0"/>
          <w:numId w:val="149"/>
        </w:numPr>
        <w:rPr>
          <w:rFonts w:ascii="Arial" w:cs="Arial" w:eastAsia="Arial" w:hAnsi="Arial"/>
          <w:sz w:val="16"/>
          <w:szCs w:val="16"/>
          <w:color w:val="EE2724"/>
          <w:strike w:val="1"/>
        </w:rPr>
      </w:pPr>
      <w:r>
        <w:rPr>
          <w:rFonts w:ascii="Arial" w:cs="Arial" w:eastAsia="Arial" w:hAnsi="Arial"/>
          <w:sz w:val="16"/>
          <w:szCs w:val="16"/>
          <w:color w:val="EE2724"/>
          <w:strike w:val="1"/>
        </w:rPr>
        <w:t>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171" w:lineRule="exact"/>
        <w:rPr>
          <w:rFonts w:ascii="Arial" w:cs="Arial" w:eastAsia="Arial" w:hAnsi="Arial"/>
          <w:sz w:val="16"/>
          <w:szCs w:val="16"/>
          <w:color w:val="EE2724"/>
          <w:strike w:val="1"/>
        </w:rPr>
      </w:pPr>
    </w:p>
    <w:p>
      <w:pPr>
        <w:ind w:left="-8" w:firstLine="8"/>
        <w:spacing w:after="0" w:line="409" w:lineRule="auto"/>
        <w:tabs>
          <w:tab w:leader="none" w:pos="468" w:val="left"/>
        </w:tabs>
        <w:numPr>
          <w:ilvl w:val="0"/>
          <w:numId w:val="149"/>
        </w:numPr>
        <w:rPr>
          <w:rFonts w:ascii="Arial" w:cs="Arial" w:eastAsia="Arial" w:hAnsi="Arial"/>
          <w:sz w:val="16"/>
          <w:szCs w:val="16"/>
          <w:color w:val="EE2724"/>
          <w:strike w:val="1"/>
        </w:rPr>
      </w:pPr>
      <w:r>
        <w:rPr>
          <w:rFonts w:ascii="Arial" w:cs="Arial" w:eastAsia="Arial" w:hAnsi="Arial"/>
          <w:sz w:val="16"/>
          <w:szCs w:val="16"/>
          <w:color w:val="EE2724"/>
          <w:strike w:val="1"/>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142" w:lineRule="exact"/>
        <w:rPr>
          <w:sz w:val="20"/>
          <w:szCs w:val="20"/>
          <w:color w:val="auto"/>
        </w:rPr>
      </w:pPr>
    </w:p>
    <w:p>
      <w:pPr>
        <w:ind w:left="372" w:hanging="372"/>
        <w:spacing w:after="0"/>
        <w:tabs>
          <w:tab w:leader="none" w:pos="372" w:val="left"/>
        </w:tabs>
        <w:numPr>
          <w:ilvl w:val="0"/>
          <w:numId w:val="150"/>
        </w:numPr>
        <w:rPr>
          <w:rFonts w:ascii="Arial" w:cs="Arial" w:eastAsia="Arial" w:hAnsi="Arial"/>
          <w:sz w:val="16"/>
          <w:szCs w:val="16"/>
          <w:color w:val="EE2724"/>
          <w:strike w:val="1"/>
        </w:rPr>
      </w:pPr>
      <w:r>
        <w:rPr>
          <w:rFonts w:ascii="Arial" w:cs="Arial" w:eastAsia="Arial" w:hAnsi="Arial"/>
          <w:sz w:val="16"/>
          <w:szCs w:val="16"/>
          <w:color w:val="EE2724"/>
          <w:strike w:val="1"/>
        </w:rPr>
        <w:t>“Dividend Payment Date” shall mean March 30, June 30, September 30 and December 30 of each year, commencing June 30, 2018.</w:t>
      </w:r>
    </w:p>
    <w:p>
      <w:pPr>
        <w:spacing w:after="0" w:line="315" w:lineRule="exact"/>
        <w:rPr>
          <w:rFonts w:ascii="Arial" w:cs="Arial" w:eastAsia="Arial" w:hAnsi="Arial"/>
          <w:sz w:val="16"/>
          <w:szCs w:val="16"/>
          <w:color w:val="EE2724"/>
          <w:strike w:val="1"/>
        </w:rPr>
      </w:pPr>
    </w:p>
    <w:p>
      <w:pPr>
        <w:jc w:val="both"/>
        <w:ind w:left="-8" w:firstLine="8"/>
        <w:spacing w:after="0" w:line="389" w:lineRule="auto"/>
        <w:tabs>
          <w:tab w:leader="none" w:pos="360" w:val="left"/>
        </w:tabs>
        <w:numPr>
          <w:ilvl w:val="0"/>
          <w:numId w:val="150"/>
        </w:numPr>
        <w:rPr>
          <w:rFonts w:ascii="Arial" w:cs="Arial" w:eastAsia="Arial" w:hAnsi="Arial"/>
          <w:sz w:val="16"/>
          <w:szCs w:val="16"/>
          <w:color w:val="EE2724"/>
          <w:strike w:val="1"/>
        </w:rPr>
      </w:pPr>
      <w:r>
        <w:rPr>
          <w:rFonts w:ascii="Arial" w:cs="Arial" w:eastAsia="Arial" w:hAnsi="Arial"/>
          <w:sz w:val="16"/>
          <w:szCs w:val="16"/>
          <w:color w:val="EE2724"/>
          <w:strike w:val="1"/>
        </w:rPr>
        <w:t>“Dividend Rate” shall mean, as of any date of determination, the rate per annum of 2.0%, subject to increase and subsequent decrease as set forth in Section 3(e)(iv) of the Registration Rights, Lock-Up and Standstill Agreement, dated as of April 2, 2018, between the Company and the shareholders party thereto, as may be amended from time to time.</w:t>
      </w:r>
    </w:p>
    <w:p>
      <w:pPr>
        <w:spacing w:after="0" w:line="171" w:lineRule="exact"/>
        <w:rPr>
          <w:rFonts w:ascii="Arial" w:cs="Arial" w:eastAsia="Arial" w:hAnsi="Arial"/>
          <w:sz w:val="16"/>
          <w:szCs w:val="16"/>
          <w:color w:val="EE2724"/>
          <w:strike w:val="1"/>
        </w:rPr>
      </w:pPr>
    </w:p>
    <w:p>
      <w:pPr>
        <w:ind w:left="-8" w:right="20" w:firstLine="8"/>
        <w:spacing w:after="0" w:line="409" w:lineRule="auto"/>
        <w:tabs>
          <w:tab w:leader="none" w:pos="394" w:val="left"/>
        </w:tabs>
        <w:numPr>
          <w:ilvl w:val="0"/>
          <w:numId w:val="150"/>
        </w:numPr>
        <w:rPr>
          <w:rFonts w:ascii="Arial" w:cs="Arial" w:eastAsia="Arial" w:hAnsi="Arial"/>
          <w:sz w:val="16"/>
          <w:szCs w:val="16"/>
          <w:color w:val="EE2724"/>
          <w:strike w:val="1"/>
        </w:rPr>
      </w:pPr>
      <w:r>
        <w:rPr>
          <w:rFonts w:ascii="Arial" w:cs="Arial" w:eastAsia="Arial" w:hAnsi="Arial"/>
          <w:sz w:val="16"/>
          <w:szCs w:val="16"/>
          <w:color w:val="EE2724"/>
          <w:strike w:val="1"/>
        </w:rPr>
        <w:t>“Dividend Record Date” shall mean, with respect to any Dividend Payment Date, the March 25, June 25, September 25 or December 24 immediately preceding such Dividend Payment Date.</w:t>
      </w:r>
    </w:p>
    <w:p>
      <w:pPr>
        <w:spacing w:after="0" w:line="155" w:lineRule="exact"/>
        <w:rPr>
          <w:rFonts w:ascii="Arial" w:cs="Arial" w:eastAsia="Arial" w:hAnsi="Arial"/>
          <w:sz w:val="16"/>
          <w:szCs w:val="16"/>
          <w:color w:val="EE2724"/>
          <w:strike w:val="1"/>
        </w:rPr>
      </w:pPr>
    </w:p>
    <w:p>
      <w:pPr>
        <w:ind w:left="332" w:hanging="332"/>
        <w:spacing w:after="0"/>
        <w:tabs>
          <w:tab w:leader="none" w:pos="332" w:val="left"/>
        </w:tabs>
        <w:numPr>
          <w:ilvl w:val="0"/>
          <w:numId w:val="150"/>
        </w:numPr>
        <w:rPr>
          <w:rFonts w:ascii="Arial" w:cs="Arial" w:eastAsia="Arial" w:hAnsi="Arial"/>
          <w:sz w:val="16"/>
          <w:szCs w:val="16"/>
          <w:color w:val="EE2724"/>
          <w:strike w:val="1"/>
        </w:rPr>
      </w:pPr>
      <w:r>
        <w:rPr>
          <w:rFonts w:ascii="Arial" w:cs="Arial" w:eastAsia="Arial" w:hAnsi="Arial"/>
          <w:sz w:val="16"/>
          <w:szCs w:val="16"/>
          <w:color w:val="EE2724"/>
          <w:strike w:val="1"/>
        </w:rPr>
        <w:t>“Early Conversion” shall have the meaning set forth in Article 27.1.6(a)(i).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1062355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23" w:name="page124"/>
    <w:bookmarkEnd w:id="123"/>
    <w:p>
      <w:pPr>
        <w:jc w:val="center"/>
        <w:ind w:right="-11"/>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2" w:hanging="372"/>
        <w:spacing w:after="0"/>
        <w:tabs>
          <w:tab w:leader="none" w:pos="372" w:val="left"/>
        </w:tabs>
        <w:numPr>
          <w:ilvl w:val="0"/>
          <w:numId w:val="151"/>
        </w:numPr>
        <w:rPr>
          <w:rFonts w:ascii="Arial" w:cs="Arial" w:eastAsia="Arial" w:hAnsi="Arial"/>
          <w:sz w:val="16"/>
          <w:szCs w:val="16"/>
          <w:color w:val="EE2724"/>
          <w:strike w:val="1"/>
        </w:rPr>
      </w:pPr>
      <w:r>
        <w:rPr>
          <w:rFonts w:ascii="Arial" w:cs="Arial" w:eastAsia="Arial" w:hAnsi="Arial"/>
          <w:sz w:val="16"/>
          <w:szCs w:val="16"/>
          <w:color w:val="EE2724"/>
          <w:strike w:val="1"/>
        </w:rPr>
        <w:t>“Early Conversion Date” shall have the meaning set forth in Article 27.1.6(a)(i).</w:t>
      </w:r>
    </w:p>
    <w:p>
      <w:pPr>
        <w:spacing w:after="0" w:line="302" w:lineRule="exact"/>
        <w:rPr>
          <w:rFonts w:ascii="Arial" w:cs="Arial" w:eastAsia="Arial" w:hAnsi="Arial"/>
          <w:sz w:val="16"/>
          <w:szCs w:val="16"/>
          <w:color w:val="EE2724"/>
          <w:strike w:val="1"/>
        </w:rPr>
      </w:pPr>
    </w:p>
    <w:p>
      <w:pPr>
        <w:ind w:left="372" w:hanging="372"/>
        <w:spacing w:after="0"/>
        <w:tabs>
          <w:tab w:leader="none" w:pos="372" w:val="left"/>
        </w:tabs>
        <w:numPr>
          <w:ilvl w:val="0"/>
          <w:numId w:val="151"/>
        </w:numPr>
        <w:rPr>
          <w:rFonts w:ascii="Arial" w:cs="Arial" w:eastAsia="Arial" w:hAnsi="Arial"/>
          <w:sz w:val="16"/>
          <w:szCs w:val="16"/>
          <w:color w:val="EE2724"/>
          <w:strike w:val="1"/>
        </w:rPr>
      </w:pPr>
      <w:r>
        <w:rPr>
          <w:rFonts w:ascii="Arial" w:cs="Arial" w:eastAsia="Arial" w:hAnsi="Arial"/>
          <w:sz w:val="16"/>
          <w:szCs w:val="16"/>
          <w:color w:val="EE2724"/>
          <w:strike w:val="1"/>
        </w:rPr>
        <w:t>“Early Conversion Effective Date” shall have the meaning set forth in Article 27.1.6(a)(iii).</w:t>
      </w:r>
    </w:p>
    <w:p>
      <w:pPr>
        <w:spacing w:after="0" w:line="315" w:lineRule="exact"/>
        <w:rPr>
          <w:rFonts w:ascii="Arial" w:cs="Arial" w:eastAsia="Arial" w:hAnsi="Arial"/>
          <w:sz w:val="16"/>
          <w:szCs w:val="16"/>
          <w:color w:val="EE2724"/>
          <w:strike w:val="1"/>
        </w:rPr>
      </w:pPr>
    </w:p>
    <w:p>
      <w:pPr>
        <w:ind w:left="412" w:hanging="412"/>
        <w:spacing w:after="0"/>
        <w:tabs>
          <w:tab w:leader="none" w:pos="412" w:val="left"/>
        </w:tabs>
        <w:numPr>
          <w:ilvl w:val="0"/>
          <w:numId w:val="151"/>
        </w:numPr>
        <w:rPr>
          <w:rFonts w:ascii="Arial" w:cs="Arial" w:eastAsia="Arial" w:hAnsi="Arial"/>
          <w:sz w:val="16"/>
          <w:szCs w:val="16"/>
          <w:color w:val="EE2724"/>
          <w:strike w:val="1"/>
        </w:rPr>
      </w:pPr>
      <w:r>
        <w:rPr>
          <w:rFonts w:ascii="Arial" w:cs="Arial" w:eastAsia="Arial" w:hAnsi="Arial"/>
          <w:sz w:val="16"/>
          <w:szCs w:val="16"/>
          <w:color w:val="EE2724"/>
          <w:strike w:val="1"/>
        </w:rPr>
        <w:t>“Exchange Property” shall have the meaning set forth in Article 27.1.10(a).</w:t>
      </w:r>
    </w:p>
    <w:p>
      <w:pPr>
        <w:spacing w:after="0" w:line="315" w:lineRule="exact"/>
        <w:rPr>
          <w:rFonts w:ascii="Arial" w:cs="Arial" w:eastAsia="Arial" w:hAnsi="Arial"/>
          <w:sz w:val="16"/>
          <w:szCs w:val="16"/>
          <w:color w:val="EE2724"/>
          <w:strike w:val="1"/>
        </w:rPr>
      </w:pPr>
    </w:p>
    <w:p>
      <w:pPr>
        <w:ind w:left="-8" w:right="20" w:firstLine="8"/>
        <w:spacing w:after="0" w:line="409" w:lineRule="auto"/>
        <w:tabs>
          <w:tab w:leader="none" w:pos="407" w:val="left"/>
        </w:tabs>
        <w:numPr>
          <w:ilvl w:val="0"/>
          <w:numId w:val="151"/>
        </w:numPr>
        <w:rPr>
          <w:rFonts w:ascii="Arial" w:cs="Arial" w:eastAsia="Arial" w:hAnsi="Arial"/>
          <w:sz w:val="16"/>
          <w:szCs w:val="16"/>
          <w:color w:val="EE2724"/>
          <w:strike w:val="1"/>
        </w:rPr>
      </w:pPr>
      <w:r>
        <w:rPr>
          <w:rFonts w:ascii="Arial" w:cs="Arial" w:eastAsia="Arial" w:hAnsi="Arial"/>
          <w:sz w:val="16"/>
          <w:szCs w:val="16"/>
          <w:color w:val="EE2724"/>
          <w:strike w:val="1"/>
        </w:rPr>
        <w:t>“Ex-Date,” when used with respect to any issuance or distribution on the Common Shares or any other securities, means the first date on which the Common Shares or such other securities trade without the right to receive such issuance or distribution.</w:t>
      </w:r>
    </w:p>
    <w:p>
      <w:pPr>
        <w:spacing w:after="0" w:line="155" w:lineRule="exact"/>
        <w:rPr>
          <w:rFonts w:ascii="Arial" w:cs="Arial" w:eastAsia="Arial" w:hAnsi="Arial"/>
          <w:sz w:val="16"/>
          <w:szCs w:val="16"/>
          <w:color w:val="EE2724"/>
          <w:strike w:val="1"/>
        </w:rPr>
      </w:pPr>
    </w:p>
    <w:p>
      <w:pPr>
        <w:ind w:left="372" w:hanging="372"/>
        <w:spacing w:after="0"/>
        <w:tabs>
          <w:tab w:leader="none" w:pos="372" w:val="left"/>
        </w:tabs>
        <w:numPr>
          <w:ilvl w:val="0"/>
          <w:numId w:val="151"/>
        </w:numPr>
        <w:rPr>
          <w:rFonts w:ascii="Arial" w:cs="Arial" w:eastAsia="Arial" w:hAnsi="Arial"/>
          <w:sz w:val="16"/>
          <w:szCs w:val="16"/>
          <w:color w:val="EE2724"/>
          <w:strike w:val="1"/>
        </w:rPr>
      </w:pPr>
      <w:r>
        <w:rPr>
          <w:rFonts w:ascii="Arial" w:cs="Arial" w:eastAsia="Arial" w:hAnsi="Arial"/>
          <w:sz w:val="16"/>
          <w:szCs w:val="16"/>
          <w:color w:val="EE2724"/>
          <w:strike w:val="1"/>
        </w:rPr>
        <w:t>“Expiration Date” shall have the meaning set forth in Article 27.1.9(f)(i).</w:t>
      </w:r>
    </w:p>
    <w:p>
      <w:pPr>
        <w:spacing w:after="0" w:line="315" w:lineRule="exact"/>
        <w:rPr>
          <w:rFonts w:ascii="Arial" w:cs="Arial" w:eastAsia="Arial" w:hAnsi="Arial"/>
          <w:sz w:val="16"/>
          <w:szCs w:val="16"/>
          <w:color w:val="EE2724"/>
          <w:strike w:val="1"/>
        </w:rPr>
      </w:pPr>
    </w:p>
    <w:p>
      <w:pPr>
        <w:ind w:left="-8" w:firstLine="8"/>
        <w:spacing w:after="0" w:line="409" w:lineRule="auto"/>
        <w:tabs>
          <w:tab w:leader="none" w:pos="396" w:val="left"/>
        </w:tabs>
        <w:numPr>
          <w:ilvl w:val="0"/>
          <w:numId w:val="151"/>
        </w:numPr>
        <w:rPr>
          <w:rFonts w:ascii="Arial" w:cs="Arial" w:eastAsia="Arial" w:hAnsi="Arial"/>
          <w:sz w:val="16"/>
          <w:szCs w:val="16"/>
          <w:color w:val="EE2724"/>
          <w:strike w:val="1"/>
        </w:rPr>
      </w:pPr>
      <w:r>
        <w:rPr>
          <w:rFonts w:ascii="Arial" w:cs="Arial" w:eastAsia="Arial" w:hAnsi="Arial"/>
          <w:sz w:val="16"/>
          <w:szCs w:val="16"/>
          <w:color w:val="EE2724"/>
          <w:strike w:val="1"/>
        </w:rPr>
        <w:t>“Fair Market Value” means the fair market value as determined in good faith by the Board (or an authorized committee thereof), whose determination shall be conclusive and final.</w:t>
      </w:r>
    </w:p>
    <w:p>
      <w:pPr>
        <w:spacing w:after="0" w:line="156" w:lineRule="exact"/>
        <w:rPr>
          <w:sz w:val="20"/>
          <w:szCs w:val="20"/>
          <w:color w:val="auto"/>
        </w:rPr>
      </w:pPr>
    </w:p>
    <w:p>
      <w:pPr>
        <w:ind w:left="472" w:hanging="472"/>
        <w:spacing w:after="0"/>
        <w:tabs>
          <w:tab w:leader="none" w:pos="47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“Forced Conversion” shall have the meaning set forth in Article 27.1.6(b)(i).</w:t>
      </w:r>
    </w:p>
    <w:p>
      <w:pPr>
        <w:spacing w:after="0" w:line="302" w:lineRule="exact"/>
        <w:rPr>
          <w:rFonts w:ascii="Arial" w:cs="Arial" w:eastAsia="Arial" w:hAnsi="Arial"/>
          <w:sz w:val="16"/>
          <w:szCs w:val="16"/>
          <w:color w:val="EE2724"/>
          <w:strike w:val="1"/>
        </w:rPr>
      </w:pPr>
    </w:p>
    <w:p>
      <w:pPr>
        <w:ind w:left="472" w:hanging="472"/>
        <w:spacing w:after="0"/>
        <w:tabs>
          <w:tab w:leader="none" w:pos="47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“Forced Conversion Date” shall have the meaning set forth in Article 27.1.6(b)(ii).</w:t>
      </w:r>
    </w:p>
    <w:p>
      <w:pPr>
        <w:spacing w:after="0" w:line="315" w:lineRule="exact"/>
        <w:rPr>
          <w:rFonts w:ascii="Arial" w:cs="Arial" w:eastAsia="Arial" w:hAnsi="Arial"/>
          <w:sz w:val="16"/>
          <w:szCs w:val="16"/>
          <w:color w:val="EE2724"/>
          <w:strike w:val="1"/>
        </w:rPr>
      </w:pPr>
    </w:p>
    <w:p>
      <w:pPr>
        <w:ind w:left="452" w:hanging="452"/>
        <w:spacing w:after="0"/>
        <w:tabs>
          <w:tab w:leader="none" w:pos="45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“Forced Conversion Notice” shall have the meaning set forth in Article 27.1.6(b)(ii).</w:t>
      </w:r>
    </w:p>
    <w:p>
      <w:pPr>
        <w:spacing w:after="0" w:line="315" w:lineRule="exact"/>
        <w:rPr>
          <w:rFonts w:ascii="Arial" w:cs="Arial" w:eastAsia="Arial" w:hAnsi="Arial"/>
          <w:sz w:val="16"/>
          <w:szCs w:val="16"/>
          <w:color w:val="EE2724"/>
          <w:strike w:val="1"/>
        </w:rPr>
      </w:pPr>
    </w:p>
    <w:p>
      <w:pPr>
        <w:ind w:left="472" w:hanging="472"/>
        <w:spacing w:after="0"/>
        <w:tabs>
          <w:tab w:leader="none" w:pos="47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“Forced Conversion Notice Date” shall have the meaning set forth in Article 27.1.6(b)(ii).</w:t>
      </w:r>
    </w:p>
    <w:p>
      <w:pPr>
        <w:spacing w:after="0" w:line="315" w:lineRule="exact"/>
        <w:rPr>
          <w:rFonts w:ascii="Arial" w:cs="Arial" w:eastAsia="Arial" w:hAnsi="Arial"/>
          <w:sz w:val="16"/>
          <w:szCs w:val="16"/>
          <w:color w:val="EE2724"/>
          <w:strike w:val="1"/>
        </w:rPr>
      </w:pPr>
    </w:p>
    <w:p>
      <w:pPr>
        <w:ind w:left="472" w:hanging="472"/>
        <w:spacing w:after="0"/>
        <w:tabs>
          <w:tab w:leader="none" w:pos="47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“Issue Date” shall mean the original date of issuance of the Class A Series 1 Preferred Shares.</w:t>
      </w:r>
    </w:p>
    <w:p>
      <w:pPr>
        <w:spacing w:after="0" w:line="315" w:lineRule="exact"/>
        <w:rPr>
          <w:rFonts w:ascii="Arial" w:cs="Arial" w:eastAsia="Arial" w:hAnsi="Arial"/>
          <w:sz w:val="16"/>
          <w:szCs w:val="16"/>
          <w:color w:val="EE2724"/>
          <w:strike w:val="1"/>
        </w:rPr>
      </w:pPr>
    </w:p>
    <w:p>
      <w:pPr>
        <w:ind w:left="-8" w:firstLine="8"/>
        <w:spacing w:after="0" w:line="409" w:lineRule="auto"/>
        <w:tabs>
          <w:tab w:leader="none" w:pos="419"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“Liquidation Preference” shall mean, with respect to each Class A Series 1 Preferred Share, $10,000, subject to increase in accordance with Article 27.1.3(c), and, with respect to any Conversion only, shall include any Accrued Dividends as provided in Article 27.1.3(e).</w:t>
      </w:r>
    </w:p>
    <w:p>
      <w:pPr>
        <w:spacing w:after="0" w:line="155" w:lineRule="exact"/>
        <w:rPr>
          <w:rFonts w:ascii="Arial" w:cs="Arial" w:eastAsia="Arial" w:hAnsi="Arial"/>
          <w:sz w:val="16"/>
          <w:szCs w:val="16"/>
          <w:color w:val="EE2724"/>
          <w:strike w:val="1"/>
        </w:rPr>
      </w:pPr>
    </w:p>
    <w:p>
      <w:pPr>
        <w:ind w:left="472" w:hanging="472"/>
        <w:spacing w:after="0"/>
        <w:tabs>
          <w:tab w:leader="none" w:pos="47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“Mandatory Conversion” shall have the meaning set forth in Article 27.1.6(c)(i).</w:t>
      </w:r>
    </w:p>
    <w:p>
      <w:pPr>
        <w:spacing w:after="0" w:line="315" w:lineRule="exact"/>
        <w:rPr>
          <w:rFonts w:ascii="Arial" w:cs="Arial" w:eastAsia="Arial" w:hAnsi="Arial"/>
          <w:sz w:val="16"/>
          <w:szCs w:val="16"/>
          <w:color w:val="EE2724"/>
          <w:strike w:val="1"/>
        </w:rPr>
      </w:pPr>
    </w:p>
    <w:p>
      <w:pPr>
        <w:ind w:left="472" w:hanging="472"/>
        <w:spacing w:after="0"/>
        <w:tabs>
          <w:tab w:leader="none" w:pos="47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“Mandatory Conversion Date” means June 30, 2023.</w:t>
      </w:r>
    </w:p>
    <w:p>
      <w:pPr>
        <w:spacing w:after="0" w:line="302" w:lineRule="exact"/>
        <w:rPr>
          <w:rFonts w:ascii="Arial" w:cs="Arial" w:eastAsia="Arial" w:hAnsi="Arial"/>
          <w:sz w:val="16"/>
          <w:szCs w:val="16"/>
          <w:color w:val="EE2724"/>
          <w:strike w:val="1"/>
        </w:rPr>
      </w:pPr>
    </w:p>
    <w:p>
      <w:pPr>
        <w:ind w:left="352" w:hanging="352"/>
        <w:spacing w:after="0"/>
        <w:tabs>
          <w:tab w:leader="none" w:pos="35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“Mandatory Conversion Issuance Date” shall have the meaning set forth in Article 27.1.6(c)(ii).</w:t>
      </w:r>
    </w:p>
    <w:p>
      <w:pPr>
        <w:spacing w:after="0" w:line="315" w:lineRule="exact"/>
        <w:rPr>
          <w:rFonts w:ascii="Arial" w:cs="Arial" w:eastAsia="Arial" w:hAnsi="Arial"/>
          <w:sz w:val="16"/>
          <w:szCs w:val="16"/>
          <w:color w:val="EE2724"/>
          <w:strike w:val="1"/>
        </w:rPr>
      </w:pPr>
    </w:p>
    <w:p>
      <w:pPr>
        <w:ind w:left="-8" w:firstLine="8"/>
        <w:spacing w:after="0" w:line="409" w:lineRule="auto"/>
        <w:tabs>
          <w:tab w:leader="none" w:pos="404"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“Ownership Notice” shall mean any written notice of the Company containing the information, if any, required to be set forth or stated on certificates pursuant to the Business Corporations Act, which shall include the information set forth in Exhibit B.</w:t>
      </w:r>
    </w:p>
    <w:p>
      <w:pPr>
        <w:spacing w:after="0" w:line="155" w:lineRule="exact"/>
        <w:rPr>
          <w:rFonts w:ascii="Arial" w:cs="Arial" w:eastAsia="Arial" w:hAnsi="Arial"/>
          <w:sz w:val="16"/>
          <w:szCs w:val="16"/>
          <w:color w:val="EE2724"/>
          <w:strike w:val="1"/>
        </w:rPr>
      </w:pPr>
    </w:p>
    <w:p>
      <w:pPr>
        <w:ind w:left="452" w:hanging="452"/>
        <w:spacing w:after="0"/>
        <w:tabs>
          <w:tab w:leader="none" w:pos="45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“Redemption Date” shall have the meaning set forth in Article 27.1.7(a).</w:t>
      </w:r>
    </w:p>
    <w:p>
      <w:pPr>
        <w:spacing w:after="0" w:line="315" w:lineRule="exact"/>
        <w:rPr>
          <w:rFonts w:ascii="Arial" w:cs="Arial" w:eastAsia="Arial" w:hAnsi="Arial"/>
          <w:sz w:val="16"/>
          <w:szCs w:val="16"/>
          <w:color w:val="EE2724"/>
          <w:strike w:val="1"/>
        </w:rPr>
      </w:pPr>
    </w:p>
    <w:p>
      <w:pPr>
        <w:ind w:left="352" w:hanging="352"/>
        <w:spacing w:after="0"/>
        <w:tabs>
          <w:tab w:leader="none" w:pos="35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“Reorganization Event” shall have the meaning set forth in Article 27.1.10(a).</w:t>
      </w:r>
    </w:p>
    <w:p>
      <w:pPr>
        <w:spacing w:after="0" w:line="315" w:lineRule="exact"/>
        <w:rPr>
          <w:rFonts w:ascii="Arial" w:cs="Arial" w:eastAsia="Arial" w:hAnsi="Arial"/>
          <w:sz w:val="16"/>
          <w:szCs w:val="16"/>
          <w:color w:val="EE2724"/>
          <w:strike w:val="1"/>
        </w:rPr>
      </w:pPr>
    </w:p>
    <w:p>
      <w:pPr>
        <w:ind w:left="552" w:hanging="552"/>
        <w:spacing w:after="0"/>
        <w:tabs>
          <w:tab w:leader="none" w:pos="552" w:val="left"/>
        </w:tabs>
        <w:numPr>
          <w:ilvl w:val="0"/>
          <w:numId w:val="152"/>
        </w:numPr>
        <w:rPr>
          <w:rFonts w:ascii="Arial" w:cs="Arial" w:eastAsia="Arial" w:hAnsi="Arial"/>
          <w:sz w:val="16"/>
          <w:szCs w:val="16"/>
          <w:color w:val="EE2724"/>
          <w:strike w:val="1"/>
        </w:rPr>
      </w:pPr>
      <w:r>
        <w:rPr>
          <w:rFonts w:ascii="Arial" w:cs="Arial" w:eastAsia="Arial" w:hAnsi="Arial"/>
          <w:sz w:val="16"/>
          <w:szCs w:val="16"/>
          <w:color w:val="EE2724"/>
          <w:strike w:val="1"/>
        </w:rPr>
        <w:t>“Settlement Period” means the 10-consecutive Trading Day period before a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1062355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33"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firstLine="8"/>
        <w:spacing w:after="0" w:line="392" w:lineRule="auto"/>
        <w:tabs>
          <w:tab w:leader="none" w:pos="506" w:val="left"/>
        </w:tabs>
        <w:numPr>
          <w:ilvl w:val="0"/>
          <w:numId w:val="153"/>
        </w:numPr>
        <w:rPr>
          <w:rFonts w:ascii="Arial" w:cs="Arial" w:eastAsia="Arial" w:hAnsi="Arial"/>
          <w:sz w:val="16"/>
          <w:szCs w:val="16"/>
          <w:color w:val="EE2724"/>
          <w:strike w:val="1"/>
        </w:rPr>
      </w:pPr>
      <w:r>
        <w:rPr>
          <w:rFonts w:ascii="Arial" w:cs="Arial" w:eastAsia="Arial" w:hAnsi="Arial"/>
          <w:sz w:val="16"/>
          <w:szCs w:val="16"/>
          <w:color w:val="EE2724"/>
          <w:strike w:val="1"/>
        </w:rPr>
        <w:t>“Spin-Off” means a distribution by the Company to all holders of Common Shares consisting of common shares or capital stock of, or similar equity interests in, or relating to, a subsidiary or other business unit of the Company.</w:t>
      </w:r>
    </w:p>
    <w:p>
      <w:pPr>
        <w:spacing w:after="0" w:line="168" w:lineRule="exact"/>
        <w:rPr>
          <w:rFonts w:ascii="Arial" w:cs="Arial" w:eastAsia="Arial" w:hAnsi="Arial"/>
          <w:sz w:val="16"/>
          <w:szCs w:val="16"/>
          <w:color w:val="EE2724"/>
          <w:strike w:val="1"/>
        </w:rPr>
      </w:pPr>
    </w:p>
    <w:p>
      <w:pPr>
        <w:jc w:val="both"/>
        <w:ind w:firstLine="8"/>
        <w:spacing w:after="0" w:line="383" w:lineRule="auto"/>
        <w:tabs>
          <w:tab w:leader="none" w:pos="470" w:val="left"/>
        </w:tabs>
        <w:numPr>
          <w:ilvl w:val="0"/>
          <w:numId w:val="153"/>
        </w:numPr>
        <w:rPr>
          <w:rFonts w:ascii="Arial" w:cs="Arial" w:eastAsia="Arial" w:hAnsi="Arial"/>
          <w:sz w:val="16"/>
          <w:szCs w:val="16"/>
          <w:color w:val="EE2724"/>
          <w:strike w:val="1"/>
        </w:rPr>
      </w:pPr>
      <w:r>
        <w:rPr>
          <w:rFonts w:ascii="Arial" w:cs="Arial" w:eastAsia="Arial" w:hAnsi="Arial"/>
          <w:sz w:val="16"/>
          <w:szCs w:val="16"/>
          <w:color w:val="EE2724"/>
          <w:strike w:val="1"/>
        </w:rPr>
        <w:t>“Trading Day”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“Trading Day” shall mean a Business Day.</w:t>
      </w:r>
    </w:p>
    <w:p>
      <w:pPr>
        <w:spacing w:after="0" w:line="175" w:lineRule="exact"/>
        <w:rPr>
          <w:rFonts w:ascii="Arial" w:cs="Arial" w:eastAsia="Arial" w:hAnsi="Arial"/>
          <w:sz w:val="16"/>
          <w:szCs w:val="16"/>
          <w:color w:val="EE2724"/>
          <w:strike w:val="1"/>
        </w:rPr>
      </w:pPr>
    </w:p>
    <w:p>
      <w:pPr>
        <w:ind w:left="480" w:hanging="472"/>
        <w:spacing w:after="0"/>
        <w:tabs>
          <w:tab w:leader="none" w:pos="480" w:val="left"/>
        </w:tabs>
        <w:numPr>
          <w:ilvl w:val="0"/>
          <w:numId w:val="153"/>
        </w:numPr>
        <w:rPr>
          <w:rFonts w:ascii="Arial" w:cs="Arial" w:eastAsia="Arial" w:hAnsi="Arial"/>
          <w:sz w:val="16"/>
          <w:szCs w:val="16"/>
          <w:color w:val="EE2724"/>
          <w:strike w:val="1"/>
        </w:rPr>
      </w:pPr>
      <w:r>
        <w:rPr>
          <w:rFonts w:ascii="Arial" w:cs="Arial" w:eastAsia="Arial" w:hAnsi="Arial"/>
          <w:sz w:val="16"/>
          <w:szCs w:val="16"/>
          <w:color w:val="EE2724"/>
          <w:strike w:val="1"/>
        </w:rPr>
        <w:t>“Trigger Event” shall have the meaning set forth in Article 27.1.9(d)(iv).</w:t>
      </w:r>
    </w:p>
    <w:p>
      <w:pPr>
        <w:spacing w:after="0" w:line="315" w:lineRule="exact"/>
        <w:rPr>
          <w:rFonts w:ascii="Arial" w:cs="Arial" w:eastAsia="Arial" w:hAnsi="Arial"/>
          <w:sz w:val="16"/>
          <w:szCs w:val="16"/>
          <w:color w:val="EE2724"/>
          <w:strike w:val="1"/>
        </w:rPr>
      </w:pPr>
    </w:p>
    <w:p>
      <w:pPr>
        <w:ind w:left="480" w:hanging="472"/>
        <w:spacing w:after="0"/>
        <w:tabs>
          <w:tab w:leader="none" w:pos="480" w:val="left"/>
        </w:tabs>
        <w:numPr>
          <w:ilvl w:val="0"/>
          <w:numId w:val="153"/>
        </w:numPr>
        <w:rPr>
          <w:rFonts w:ascii="Arial" w:cs="Arial" w:eastAsia="Arial" w:hAnsi="Arial"/>
          <w:sz w:val="16"/>
          <w:szCs w:val="16"/>
          <w:color w:val="EE2724"/>
          <w:strike w:val="1"/>
        </w:rPr>
      </w:pPr>
      <w:r>
        <w:rPr>
          <w:rFonts w:ascii="Arial" w:cs="Arial" w:eastAsia="Arial" w:hAnsi="Arial"/>
          <w:sz w:val="16"/>
          <w:szCs w:val="16"/>
          <w:color w:val="EE2724"/>
          <w:strike w:val="1"/>
        </w:rPr>
        <w:t>“Unit of Exchange Property” shall have the meaning set forth in Article 27.1.10(a).</w:t>
      </w:r>
    </w:p>
    <w:p>
      <w:pPr>
        <w:spacing w:after="0" w:line="315" w:lineRule="exact"/>
        <w:rPr>
          <w:rFonts w:ascii="Arial" w:cs="Arial" w:eastAsia="Arial" w:hAnsi="Arial"/>
          <w:sz w:val="16"/>
          <w:szCs w:val="16"/>
          <w:color w:val="EE2724"/>
          <w:strike w:val="1"/>
        </w:rPr>
      </w:pPr>
    </w:p>
    <w:p>
      <w:pPr>
        <w:jc w:val="both"/>
        <w:ind w:firstLine="8"/>
        <w:spacing w:after="0" w:line="375" w:lineRule="auto"/>
        <w:tabs>
          <w:tab w:leader="none" w:pos="437" w:val="left"/>
        </w:tabs>
        <w:numPr>
          <w:ilvl w:val="0"/>
          <w:numId w:val="153"/>
        </w:numPr>
        <w:rPr>
          <w:rFonts w:ascii="Arial" w:cs="Arial" w:eastAsia="Arial" w:hAnsi="Arial"/>
          <w:sz w:val="16"/>
          <w:szCs w:val="16"/>
          <w:color w:val="EE2724"/>
          <w:strike w:val="1"/>
        </w:rPr>
      </w:pPr>
      <w:r>
        <w:rPr>
          <w:rFonts w:ascii="Arial" w:cs="Arial" w:eastAsia="Arial" w:hAnsi="Arial"/>
          <w:sz w:val="16"/>
          <w:szCs w:val="16"/>
          <w:color w:val="EE2724"/>
          <w:strike w:val="1"/>
        </w:rPr>
        <w:t>“VWAP”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EE2724"/>
          <w:strike w:val="1"/>
        </w:rPr>
        <w:t>27.1.2</w:t>
        <w:tab/>
        <w:t>Amount; Ranking</w:t>
      </w:r>
    </w:p>
    <w:p>
      <w:pPr>
        <w:spacing w:after="0" w:line="316" w:lineRule="exact"/>
        <w:rPr>
          <w:sz w:val="20"/>
          <w:szCs w:val="20"/>
          <w:color w:val="auto"/>
        </w:rPr>
      </w:pPr>
    </w:p>
    <w:p>
      <w:pPr>
        <w:ind w:left="420" w:hanging="412"/>
        <w:spacing w:after="0"/>
        <w:tabs>
          <w:tab w:leader="none" w:pos="420" w:val="left"/>
        </w:tabs>
        <w:numPr>
          <w:ilvl w:val="0"/>
          <w:numId w:val="154"/>
        </w:numPr>
        <w:rPr>
          <w:rFonts w:ascii="Arial" w:cs="Arial" w:eastAsia="Arial" w:hAnsi="Arial"/>
          <w:sz w:val="16"/>
          <w:szCs w:val="16"/>
          <w:color w:val="EE2724"/>
          <w:strike w:val="1"/>
        </w:rPr>
      </w:pPr>
      <w:r>
        <w:rPr>
          <w:rFonts w:ascii="Arial" w:cs="Arial" w:eastAsia="Arial" w:hAnsi="Arial"/>
          <w:sz w:val="16"/>
          <w:szCs w:val="16"/>
          <w:color w:val="EE2724"/>
          <w:strike w:val="1"/>
        </w:rPr>
        <w:t>There shall be created from the Class A Series 1 Preferred Shares of the Company authorized to be issued pursuant to the Articles of the Company,</w:t>
      </w:r>
    </w:p>
    <w:p>
      <w:pPr>
        <w:spacing w:after="0" w:line="99" w:lineRule="exact"/>
        <w:rPr>
          <w:rFonts w:ascii="Arial" w:cs="Arial" w:eastAsia="Arial" w:hAnsi="Arial"/>
          <w:sz w:val="16"/>
          <w:szCs w:val="16"/>
          <w:color w:val="EE2724"/>
          <w:strike w:val="1"/>
        </w:rPr>
      </w:pPr>
    </w:p>
    <w:p>
      <w:pPr>
        <w:spacing w:after="0"/>
        <w:rPr>
          <w:rFonts w:ascii="Arial" w:cs="Arial" w:eastAsia="Arial" w:hAnsi="Arial"/>
          <w:sz w:val="16"/>
          <w:szCs w:val="16"/>
          <w:color w:val="EE2724"/>
          <w:strike w:val="1"/>
        </w:rPr>
      </w:pPr>
      <w:r>
        <w:rPr>
          <w:rFonts w:ascii="Arial" w:cs="Arial" w:eastAsia="Arial" w:hAnsi="Arial"/>
          <w:sz w:val="16"/>
          <w:szCs w:val="16"/>
          <w:color w:val="EE2724"/>
          <w:strike w:val="1"/>
        </w:rPr>
        <w:t>9,679 Class A Series 1 Preferred Shares.</w:t>
      </w:r>
    </w:p>
    <w:p>
      <w:pPr>
        <w:spacing w:after="0" w:line="315" w:lineRule="exact"/>
        <w:rPr>
          <w:rFonts w:ascii="Arial" w:cs="Arial" w:eastAsia="Arial" w:hAnsi="Arial"/>
          <w:sz w:val="16"/>
          <w:szCs w:val="16"/>
          <w:color w:val="EE2724"/>
          <w:strike w:val="1"/>
        </w:rPr>
      </w:pPr>
    </w:p>
    <w:p>
      <w:pPr>
        <w:ind w:firstLine="8"/>
        <w:spacing w:after="0" w:line="392" w:lineRule="auto"/>
        <w:tabs>
          <w:tab w:leader="none" w:pos="383" w:val="left"/>
        </w:tabs>
        <w:numPr>
          <w:ilvl w:val="0"/>
          <w:numId w:val="154"/>
        </w:numPr>
        <w:rPr>
          <w:rFonts w:ascii="Arial" w:cs="Arial" w:eastAsia="Arial" w:hAnsi="Arial"/>
          <w:sz w:val="16"/>
          <w:szCs w:val="16"/>
          <w:color w:val="EE2724"/>
          <w:strike w:val="1"/>
        </w:rPr>
      </w:pPr>
      <w:r>
        <w:rPr>
          <w:rFonts w:ascii="Arial" w:cs="Arial" w:eastAsia="Arial" w:hAnsi="Arial"/>
          <w:sz w:val="16"/>
          <w:szCs w:val="16"/>
          <w:color w:val="EE2724"/>
          <w:strike w:val="1"/>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168" w:lineRule="exact"/>
        <w:rPr>
          <w:rFonts w:ascii="Arial" w:cs="Arial" w:eastAsia="Arial" w:hAnsi="Arial"/>
          <w:sz w:val="16"/>
          <w:szCs w:val="16"/>
          <w:color w:val="EE2724"/>
          <w:strike w:val="1"/>
        </w:rPr>
      </w:pPr>
    </w:p>
    <w:p>
      <w:pPr>
        <w:ind w:right="20" w:firstLine="8"/>
        <w:spacing w:after="0" w:line="409" w:lineRule="auto"/>
        <w:tabs>
          <w:tab w:leader="none" w:pos="431" w:val="left"/>
        </w:tabs>
        <w:numPr>
          <w:ilvl w:val="0"/>
          <w:numId w:val="154"/>
        </w:numPr>
        <w:rPr>
          <w:rFonts w:ascii="Arial" w:cs="Arial" w:eastAsia="Arial" w:hAnsi="Arial"/>
          <w:sz w:val="16"/>
          <w:szCs w:val="16"/>
          <w:color w:val="EE2724"/>
          <w:strike w:val="1"/>
        </w:rPr>
      </w:pPr>
      <w:r>
        <w:rPr>
          <w:rFonts w:ascii="Arial" w:cs="Arial" w:eastAsia="Arial" w:hAnsi="Arial"/>
          <w:sz w:val="16"/>
          <w:szCs w:val="16"/>
          <w:color w:val="EE2724"/>
          <w:strike w:val="1"/>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27.1.3</w:t>
      </w:r>
      <w:r>
        <w:rPr>
          <w:sz w:val="20"/>
          <w:szCs w:val="20"/>
          <w:color w:val="auto"/>
        </w:rPr>
        <w:tab/>
      </w:r>
      <w:r>
        <w:rPr>
          <w:rFonts w:ascii="Arial" w:cs="Arial" w:eastAsia="Arial" w:hAnsi="Arial"/>
          <w:sz w:val="15"/>
          <w:szCs w:val="15"/>
          <w:color w:val="EE2724"/>
          <w:strike w:val="1"/>
        </w:rPr>
        <w:t>Dividends</w:t>
      </w:r>
    </w:p>
    <w:p>
      <w:pPr>
        <w:spacing w:after="0" w:line="316" w:lineRule="exact"/>
        <w:rPr>
          <w:sz w:val="20"/>
          <w:szCs w:val="20"/>
          <w:color w:val="auto"/>
        </w:rPr>
      </w:pPr>
    </w:p>
    <w:p>
      <w:pPr>
        <w:jc w:val="both"/>
        <w:ind w:firstLine="8"/>
        <w:spacing w:after="0" w:line="383" w:lineRule="auto"/>
        <w:tabs>
          <w:tab w:leader="none" w:pos="404" w:val="left"/>
        </w:tabs>
        <w:numPr>
          <w:ilvl w:val="0"/>
          <w:numId w:val="155"/>
        </w:numPr>
        <w:rPr>
          <w:rFonts w:ascii="Arial" w:cs="Arial" w:eastAsia="Arial" w:hAnsi="Arial"/>
          <w:sz w:val="16"/>
          <w:szCs w:val="16"/>
          <w:color w:val="EE2724"/>
          <w:strike w:val="1"/>
        </w:rPr>
      </w:pPr>
      <w:r>
        <w:rPr>
          <w:rFonts w:ascii="Arial" w:cs="Arial" w:eastAsia="Arial" w:hAnsi="Arial"/>
          <w:sz w:val="16"/>
          <w:szCs w:val="16"/>
          <w:color w:val="EE2724"/>
          <w:strike w:val="1"/>
        </w:rPr>
        <w:t>Holders of Class A Series 1 Preferred Shares shall be entitled to receive, with respect to each Class A Series 1 Preferred Share, and as, when and if declared by the Board out of funds of the Company legally available for payment, cash dividends (“Cash Dividends”)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8"/>
        <w:spacing w:after="0" w:line="374" w:lineRule="auto"/>
        <w:tabs>
          <w:tab w:leader="none" w:pos="457" w:val="left"/>
        </w:tabs>
        <w:numPr>
          <w:ilvl w:val="0"/>
          <w:numId w:val="156"/>
        </w:numPr>
        <w:rPr>
          <w:rFonts w:ascii="Arial" w:cs="Arial" w:eastAsia="Arial" w:hAnsi="Arial"/>
          <w:sz w:val="16"/>
          <w:szCs w:val="16"/>
          <w:color w:val="EE2724"/>
          <w:strike w:val="1"/>
        </w:rPr>
      </w:pPr>
      <w:r>
        <w:rPr>
          <w:rFonts w:ascii="Arial" w:cs="Arial" w:eastAsia="Arial" w:hAnsi="Arial"/>
          <w:sz w:val="16"/>
          <w:szCs w:val="16"/>
          <w:color w:val="EE2724"/>
          <w:strike w:val="1"/>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183" w:lineRule="exact"/>
        <w:rPr>
          <w:rFonts w:ascii="Arial" w:cs="Arial" w:eastAsia="Arial" w:hAnsi="Arial"/>
          <w:sz w:val="16"/>
          <w:szCs w:val="16"/>
          <w:color w:val="EE2724"/>
          <w:strike w:val="1"/>
        </w:rPr>
      </w:pPr>
    </w:p>
    <w:p>
      <w:pPr>
        <w:jc w:val="both"/>
        <w:ind w:firstLine="8"/>
        <w:spacing w:after="0" w:line="374" w:lineRule="auto"/>
        <w:tabs>
          <w:tab w:leader="none" w:pos="400" w:val="left"/>
        </w:tabs>
        <w:numPr>
          <w:ilvl w:val="0"/>
          <w:numId w:val="156"/>
        </w:numPr>
        <w:rPr>
          <w:rFonts w:ascii="Arial" w:cs="Arial" w:eastAsia="Arial" w:hAnsi="Arial"/>
          <w:sz w:val="16"/>
          <w:szCs w:val="16"/>
          <w:color w:val="EE2724"/>
          <w:strike w:val="1"/>
        </w:rPr>
      </w:pPr>
      <w:r>
        <w:rPr>
          <w:rFonts w:ascii="Arial" w:cs="Arial" w:eastAsia="Arial" w:hAnsi="Arial"/>
          <w:sz w:val="16"/>
          <w:szCs w:val="16"/>
          <w:color w:val="EE2724"/>
          <w:strike w:val="1"/>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183" w:lineRule="exact"/>
        <w:rPr>
          <w:rFonts w:ascii="Arial" w:cs="Arial" w:eastAsia="Arial" w:hAnsi="Arial"/>
          <w:sz w:val="16"/>
          <w:szCs w:val="16"/>
          <w:color w:val="EE2724"/>
          <w:strike w:val="1"/>
        </w:rPr>
      </w:pPr>
    </w:p>
    <w:p>
      <w:pPr>
        <w:jc w:val="both"/>
        <w:ind w:firstLine="8"/>
        <w:spacing w:after="0" w:line="383" w:lineRule="auto"/>
        <w:tabs>
          <w:tab w:leader="none" w:pos="401" w:val="left"/>
        </w:tabs>
        <w:numPr>
          <w:ilvl w:val="0"/>
          <w:numId w:val="156"/>
        </w:numPr>
        <w:rPr>
          <w:rFonts w:ascii="Arial" w:cs="Arial" w:eastAsia="Arial" w:hAnsi="Arial"/>
          <w:sz w:val="16"/>
          <w:szCs w:val="16"/>
          <w:color w:val="EE2724"/>
          <w:strike w:val="1"/>
        </w:rPr>
      </w:pPr>
      <w:r>
        <w:rPr>
          <w:rFonts w:ascii="Arial" w:cs="Arial" w:eastAsia="Arial" w:hAnsi="Arial"/>
          <w:sz w:val="16"/>
          <w:szCs w:val="16"/>
          <w:color w:val="EE2724"/>
          <w:strike w:val="1"/>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175" w:lineRule="exact"/>
        <w:rPr>
          <w:rFonts w:ascii="Arial" w:cs="Arial" w:eastAsia="Arial" w:hAnsi="Arial"/>
          <w:sz w:val="16"/>
          <w:szCs w:val="16"/>
          <w:color w:val="EE2724"/>
          <w:strike w:val="1"/>
        </w:rPr>
      </w:pPr>
    </w:p>
    <w:p>
      <w:pPr>
        <w:jc w:val="both"/>
        <w:ind w:right="20" w:firstLine="8"/>
        <w:spacing w:after="0" w:line="377" w:lineRule="auto"/>
        <w:tabs>
          <w:tab w:leader="none" w:pos="395" w:val="left"/>
        </w:tabs>
        <w:numPr>
          <w:ilvl w:val="0"/>
          <w:numId w:val="156"/>
        </w:numPr>
        <w:rPr>
          <w:rFonts w:ascii="Arial" w:cs="Arial" w:eastAsia="Arial" w:hAnsi="Arial"/>
          <w:sz w:val="16"/>
          <w:szCs w:val="16"/>
          <w:color w:val="EE2724"/>
          <w:strike w:val="1"/>
        </w:rPr>
      </w:pPr>
      <w:r>
        <w:rPr>
          <w:rFonts w:ascii="Arial" w:cs="Arial" w:eastAsia="Arial" w:hAnsi="Arial"/>
          <w:sz w:val="16"/>
          <w:szCs w:val="16"/>
          <w:color w:val="EE2724"/>
          <w:strike w:val="1"/>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27.1.4</w:t>
        <w:tab/>
        <w:t>Liquidation, Dissolution or Winding-Up</w:t>
      </w:r>
    </w:p>
    <w:p>
      <w:pPr>
        <w:spacing w:after="0" w:line="316" w:lineRule="exact"/>
        <w:rPr>
          <w:sz w:val="20"/>
          <w:szCs w:val="20"/>
          <w:color w:val="auto"/>
        </w:rPr>
      </w:pPr>
    </w:p>
    <w:p>
      <w:pPr>
        <w:jc w:val="both"/>
        <w:ind w:firstLine="8"/>
        <w:spacing w:after="0" w:line="375" w:lineRule="auto"/>
        <w:tabs>
          <w:tab w:leader="none" w:pos="401" w:val="left"/>
        </w:tabs>
        <w:numPr>
          <w:ilvl w:val="0"/>
          <w:numId w:val="157"/>
        </w:numPr>
        <w:rPr>
          <w:rFonts w:ascii="Arial" w:cs="Arial" w:eastAsia="Arial" w:hAnsi="Arial"/>
          <w:sz w:val="16"/>
          <w:szCs w:val="16"/>
          <w:color w:val="EE2724"/>
          <w:strike w:val="1"/>
        </w:rPr>
      </w:pPr>
      <w:r>
        <w:rPr>
          <w:rFonts w:ascii="Arial" w:cs="Arial" w:eastAsia="Arial" w:hAnsi="Arial"/>
          <w:sz w:val="16"/>
          <w:szCs w:val="16"/>
          <w:color w:val="EE2724"/>
          <w:strike w:val="1"/>
        </w:rPr>
        <w:t>In the event of the liquidation, dissolution or winding-up of the Company or other distribution of assets of the Company among its shareholders for the purpose of winding-up its affairs, the holders of the Class A Series 1 Preferred Shares shall be entitled to receive pro rata the Liquidation Preference and Accrued Dividends for each Class A Series 1 Preferred Share held before any amount shall be paid or any property or assets of the Company distributed to the holders of Common Shares or shares ranking 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27.1.5</w:t>
        <w:tab/>
        <w:t>Voting Rights.</w:t>
      </w:r>
    </w:p>
    <w:p>
      <w:pPr>
        <w:spacing w:after="0" w:line="302" w:lineRule="exact"/>
        <w:rPr>
          <w:sz w:val="20"/>
          <w:szCs w:val="20"/>
          <w:color w:val="auto"/>
        </w:rPr>
      </w:pPr>
    </w:p>
    <w:p>
      <w:pPr>
        <w:ind w:firstLine="8"/>
        <w:spacing w:after="0" w:line="409" w:lineRule="auto"/>
        <w:tabs>
          <w:tab w:leader="none" w:pos="390" w:val="left"/>
        </w:tabs>
        <w:numPr>
          <w:ilvl w:val="0"/>
          <w:numId w:val="158"/>
        </w:numPr>
        <w:rPr>
          <w:rFonts w:ascii="Arial" w:cs="Arial" w:eastAsia="Arial" w:hAnsi="Arial"/>
          <w:sz w:val="16"/>
          <w:szCs w:val="16"/>
          <w:color w:val="EE2724"/>
          <w:strike w:val="1"/>
        </w:rPr>
      </w:pPr>
      <w:r>
        <w:rPr>
          <w:rFonts w:ascii="Arial" w:cs="Arial" w:eastAsia="Arial" w:hAnsi="Arial"/>
          <w:sz w:val="16"/>
          <w:szCs w:val="16"/>
          <w:color w:val="EE2724"/>
          <w:strike w:val="1"/>
        </w:rPr>
        <w:t>Each Class A Series 1 Preferred Share shall have only such voting rights as prescribed by the Business Corporations Act and, in connection with such voting rights, shall be entitled to one vote per Class A Series 1 Preferred Share.</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27.1.6</w:t>
        <w:tab/>
        <w:t>Conversion</w:t>
      </w:r>
    </w:p>
    <w:p>
      <w:pPr>
        <w:spacing w:after="0" w:line="316" w:lineRule="exact"/>
        <w:rPr>
          <w:sz w:val="20"/>
          <w:szCs w:val="20"/>
          <w:color w:val="auto"/>
        </w:rPr>
      </w:pPr>
    </w:p>
    <w:p>
      <w:pPr>
        <w:ind w:left="380" w:hanging="372"/>
        <w:spacing w:after="0"/>
        <w:tabs>
          <w:tab w:leader="none" w:pos="380" w:val="left"/>
        </w:tabs>
        <w:numPr>
          <w:ilvl w:val="0"/>
          <w:numId w:val="159"/>
        </w:numPr>
        <w:rPr>
          <w:rFonts w:ascii="Arial" w:cs="Arial" w:eastAsia="Arial" w:hAnsi="Arial"/>
          <w:sz w:val="16"/>
          <w:szCs w:val="16"/>
          <w:color w:val="EE2724"/>
          <w:strike w:val="1"/>
        </w:rPr>
      </w:pPr>
      <w:r>
        <w:rPr>
          <w:rFonts w:ascii="Arial" w:cs="Arial" w:eastAsia="Arial" w:hAnsi="Arial"/>
          <w:sz w:val="16"/>
          <w:szCs w:val="16"/>
          <w:color w:val="EE2724"/>
          <w:strike w:val="1"/>
        </w:rPr>
        <w:t>Early Conversion at the Option of the Holder</w:t>
      </w:r>
    </w:p>
    <w:p>
      <w:pPr>
        <w:spacing w:after="0" w:line="316" w:lineRule="exact"/>
        <w:rPr>
          <w:sz w:val="20"/>
          <w:szCs w:val="20"/>
          <w:color w:val="auto"/>
        </w:rPr>
      </w:pPr>
    </w:p>
    <w:p>
      <w:pPr>
        <w:jc w:val="both"/>
        <w:ind w:firstLine="8"/>
        <w:spacing w:after="0" w:line="383" w:lineRule="auto"/>
        <w:tabs>
          <w:tab w:leader="none" w:pos="373" w:val="left"/>
        </w:tabs>
        <w:numPr>
          <w:ilvl w:val="0"/>
          <w:numId w:val="160"/>
        </w:numPr>
        <w:rPr>
          <w:rFonts w:ascii="Arial" w:cs="Arial" w:eastAsia="Arial" w:hAnsi="Arial"/>
          <w:sz w:val="16"/>
          <w:szCs w:val="16"/>
          <w:color w:val="EE2724"/>
          <w:strike w:val="1"/>
        </w:rPr>
      </w:pPr>
      <w:r>
        <w:rPr>
          <w:rFonts w:ascii="Arial" w:cs="Arial" w:eastAsia="Arial" w:hAnsi="Arial"/>
          <w:sz w:val="16"/>
          <w:szCs w:val="16"/>
          <w:color w:val="EE2724"/>
          <w:strike w:val="1"/>
        </w:rPr>
        <w:t>The holders of the Class A Series 1 Preferred Shares shall have the right, exercisable from time to time, to convert their Class A Series 1 Preferred Shares, in whole or in part (but in no event less than whole Class A Series 1 Preferred Shares), at any time after April 2, 2020 and prior to the Mandatory Conversion Date (“Early Conversion”), into Common Shares at the Conversion Rate then in effect, subject to satisfaction of the Conversion procedures set forth in this Article 27.1.6(a) (the date of issuance of such Shares, the “Early Conversion Date”).</w:t>
      </w:r>
    </w:p>
    <w:p>
      <w:pPr>
        <w:spacing w:after="0" w:line="162" w:lineRule="exact"/>
        <w:rPr>
          <w:rFonts w:ascii="Arial" w:cs="Arial" w:eastAsia="Arial" w:hAnsi="Arial"/>
          <w:sz w:val="16"/>
          <w:szCs w:val="16"/>
          <w:color w:val="EE2724"/>
          <w:strike w:val="1"/>
        </w:rPr>
      </w:pPr>
    </w:p>
    <w:p>
      <w:pPr>
        <w:jc w:val="both"/>
        <w:ind w:firstLine="8"/>
        <w:spacing w:after="0" w:line="389" w:lineRule="auto"/>
        <w:tabs>
          <w:tab w:leader="none" w:pos="453" w:val="left"/>
        </w:tabs>
        <w:numPr>
          <w:ilvl w:val="0"/>
          <w:numId w:val="160"/>
        </w:numPr>
        <w:rPr>
          <w:rFonts w:ascii="Arial" w:cs="Arial" w:eastAsia="Arial" w:hAnsi="Arial"/>
          <w:sz w:val="16"/>
          <w:szCs w:val="16"/>
          <w:color w:val="EE2724"/>
          <w:strike w:val="1"/>
        </w:rPr>
      </w:pPr>
      <w:r>
        <w:rPr>
          <w:rFonts w:ascii="Arial" w:cs="Arial" w:eastAsia="Arial" w:hAnsi="Arial"/>
          <w:sz w:val="16"/>
          <w:szCs w:val="16"/>
          <w:color w:val="EE2724"/>
          <w:strike w:val="1"/>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171" w:lineRule="exact"/>
        <w:rPr>
          <w:rFonts w:ascii="Arial" w:cs="Arial" w:eastAsia="Arial" w:hAnsi="Arial"/>
          <w:sz w:val="16"/>
          <w:szCs w:val="16"/>
          <w:color w:val="EE2724"/>
          <w:strike w:val="1"/>
        </w:rPr>
      </w:pPr>
    </w:p>
    <w:p>
      <w:pPr>
        <w:jc w:val="both"/>
        <w:ind w:firstLine="8"/>
        <w:spacing w:after="0" w:line="371" w:lineRule="auto"/>
        <w:tabs>
          <w:tab w:leader="none" w:pos="393" w:val="left"/>
        </w:tabs>
        <w:numPr>
          <w:ilvl w:val="0"/>
          <w:numId w:val="160"/>
        </w:numPr>
        <w:rPr>
          <w:rFonts w:ascii="Arial" w:cs="Arial" w:eastAsia="Arial" w:hAnsi="Arial"/>
          <w:sz w:val="16"/>
          <w:szCs w:val="16"/>
          <w:color w:val="EE2724"/>
          <w:strike w:val="1"/>
        </w:rPr>
      </w:pPr>
      <w:r>
        <w:rPr>
          <w:rFonts w:ascii="Arial" w:cs="Arial" w:eastAsia="Arial" w:hAnsi="Arial"/>
          <w:sz w:val="16"/>
          <w:szCs w:val="16"/>
          <w:color w:val="EE2724"/>
          <w:strike w:val="1"/>
        </w:rPr>
        <w:t>The Early Conversion shall be effective on the date on which a holder of Class A Series 1 Preferred Shares has satisfied the foregoing requirements, to the extent applicable (such date, the “Early Conversion Effective Date”).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77" w:lineRule="exact"/>
        <w:rPr>
          <w:rFonts w:ascii="Arial" w:cs="Arial" w:eastAsia="Arial" w:hAnsi="Arial"/>
          <w:sz w:val="16"/>
          <w:szCs w:val="16"/>
          <w:color w:val="EE2724"/>
          <w:strike w:val="1"/>
        </w:rPr>
      </w:pPr>
    </w:p>
    <w:p>
      <w:pPr>
        <w:jc w:val="both"/>
        <w:ind w:firstLine="8"/>
        <w:spacing w:after="0" w:line="389" w:lineRule="auto"/>
        <w:tabs>
          <w:tab w:leader="none" w:pos="404" w:val="left"/>
        </w:tabs>
        <w:numPr>
          <w:ilvl w:val="0"/>
          <w:numId w:val="160"/>
        </w:numPr>
        <w:rPr>
          <w:rFonts w:ascii="Arial" w:cs="Arial" w:eastAsia="Arial" w:hAnsi="Arial"/>
          <w:sz w:val="16"/>
          <w:szCs w:val="16"/>
          <w:color w:val="EE2724"/>
          <w:strike w:val="1"/>
        </w:rPr>
      </w:pPr>
      <w:r>
        <w:rPr>
          <w:rFonts w:ascii="Arial" w:cs="Arial" w:eastAsia="Arial" w:hAnsi="Arial"/>
          <w:sz w:val="16"/>
          <w:szCs w:val="16"/>
          <w:color w:val="EE2724"/>
          <w:strike w:val="1"/>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6"/>
          <w:szCs w:val="16"/>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EE2724"/>
          <w:strike w:val="1"/>
        </w:rPr>
        <w:t>on such applicable Early Conversion Date, 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180" w:lineRule="exact"/>
        <w:rPr>
          <w:sz w:val="20"/>
          <w:szCs w:val="20"/>
          <w:color w:val="auto"/>
        </w:rPr>
      </w:pPr>
    </w:p>
    <w:p>
      <w:pPr>
        <w:jc w:val="both"/>
        <w:ind w:firstLine="8"/>
        <w:spacing w:after="0" w:line="383" w:lineRule="auto"/>
        <w:tabs>
          <w:tab w:leader="none" w:pos="428" w:val="left"/>
        </w:tabs>
        <w:numPr>
          <w:ilvl w:val="0"/>
          <w:numId w:val="161"/>
        </w:numPr>
        <w:rPr>
          <w:rFonts w:ascii="Arial" w:cs="Arial" w:eastAsia="Arial" w:hAnsi="Arial"/>
          <w:sz w:val="16"/>
          <w:szCs w:val="16"/>
          <w:color w:val="EE2724"/>
          <w:strike w:val="1"/>
        </w:rPr>
      </w:pPr>
      <w:r>
        <w:rPr>
          <w:rFonts w:ascii="Arial" w:cs="Arial" w:eastAsia="Arial" w:hAnsi="Arial"/>
          <w:sz w:val="16"/>
          <w:szCs w:val="16"/>
          <w:color w:val="EE2724"/>
          <w:strike w:val="1"/>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176" w:lineRule="exact"/>
        <w:rPr>
          <w:sz w:val="20"/>
          <w:szCs w:val="20"/>
          <w:color w:val="auto"/>
        </w:rPr>
      </w:pPr>
    </w:p>
    <w:p>
      <w:pPr>
        <w:ind w:left="380" w:hanging="372"/>
        <w:spacing w:after="0"/>
        <w:tabs>
          <w:tab w:leader="none" w:pos="380" w:val="left"/>
        </w:tabs>
        <w:numPr>
          <w:ilvl w:val="0"/>
          <w:numId w:val="162"/>
        </w:numPr>
        <w:rPr>
          <w:rFonts w:ascii="Arial" w:cs="Arial" w:eastAsia="Arial" w:hAnsi="Arial"/>
          <w:sz w:val="16"/>
          <w:szCs w:val="16"/>
          <w:color w:val="EE2724"/>
          <w:strike w:val="1"/>
        </w:rPr>
      </w:pPr>
      <w:r>
        <w:rPr>
          <w:rFonts w:ascii="Arial" w:cs="Arial" w:eastAsia="Arial" w:hAnsi="Arial"/>
          <w:sz w:val="16"/>
          <w:szCs w:val="16"/>
          <w:color w:val="EE2724"/>
          <w:strike w:val="1"/>
        </w:rPr>
        <w:t>Forced Conversion by the Company.</w:t>
      </w:r>
    </w:p>
    <w:p>
      <w:pPr>
        <w:spacing w:after="0" w:line="302" w:lineRule="exact"/>
        <w:rPr>
          <w:sz w:val="20"/>
          <w:szCs w:val="20"/>
          <w:color w:val="auto"/>
        </w:rPr>
      </w:pPr>
    </w:p>
    <w:p>
      <w:pPr>
        <w:jc w:val="both"/>
        <w:ind w:firstLine="8"/>
        <w:spacing w:after="0" w:line="383" w:lineRule="auto"/>
        <w:tabs>
          <w:tab w:leader="none" w:pos="358" w:val="left"/>
        </w:tabs>
        <w:numPr>
          <w:ilvl w:val="0"/>
          <w:numId w:val="163"/>
        </w:numPr>
        <w:rPr>
          <w:rFonts w:ascii="Arial" w:cs="Arial" w:eastAsia="Arial" w:hAnsi="Arial"/>
          <w:sz w:val="16"/>
          <w:szCs w:val="16"/>
          <w:color w:val="EE2724"/>
          <w:strike w:val="1"/>
        </w:rPr>
      </w:pPr>
      <w:r>
        <w:rPr>
          <w:rFonts w:ascii="Arial" w:cs="Arial" w:eastAsia="Arial" w:hAnsi="Arial"/>
          <w:sz w:val="16"/>
          <w:szCs w:val="16"/>
          <w:color w:val="EE2724"/>
          <w:strike w:val="1"/>
        </w:rPr>
        <w:t>The Company shall have the right, at any time and from time to time, to cause the outstanding Class A Series 1 Preferred Shares to be converted, in whole or in part, into Common Shares at the Conversion Rate then in effect (“Forced Conversion”);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175" w:lineRule="exact"/>
        <w:rPr>
          <w:rFonts w:ascii="Arial" w:cs="Arial" w:eastAsia="Arial" w:hAnsi="Arial"/>
          <w:sz w:val="16"/>
          <w:szCs w:val="16"/>
          <w:color w:val="EE2724"/>
          <w:strike w:val="1"/>
        </w:rPr>
      </w:pPr>
    </w:p>
    <w:p>
      <w:pPr>
        <w:jc w:val="both"/>
        <w:ind w:firstLine="8"/>
        <w:spacing w:after="0" w:line="389" w:lineRule="auto"/>
        <w:tabs>
          <w:tab w:leader="none" w:pos="448" w:val="left"/>
        </w:tabs>
        <w:numPr>
          <w:ilvl w:val="0"/>
          <w:numId w:val="163"/>
        </w:numPr>
        <w:rPr>
          <w:rFonts w:ascii="Arial" w:cs="Arial" w:eastAsia="Arial" w:hAnsi="Arial"/>
          <w:sz w:val="16"/>
          <w:szCs w:val="16"/>
          <w:color w:val="EE2724"/>
          <w:strike w:val="1"/>
        </w:rPr>
      </w:pPr>
      <w:r>
        <w:rPr>
          <w:rFonts w:ascii="Arial" w:cs="Arial" w:eastAsia="Arial" w:hAnsi="Arial"/>
          <w:sz w:val="16"/>
          <w:szCs w:val="16"/>
          <w:color w:val="EE2724"/>
          <w:strike w:val="1"/>
        </w:rPr>
        <w:t>To convert Class A Series 1 Preferred Shares into Common Shares pursuant to this Article 27.1.6(b), the Company shall give written notice (the “Forced Conversion Notice” and the date of such notice, the “Forced Conversion Notice Date”) to each holder of Class A Series 1 Preferred Shares stating that the Company elects to force Conversion of such Class A Series 1 Preferred Shares pursuant to this Article 27.1.6(b) and shall state therein:</w:t>
      </w:r>
    </w:p>
    <w:p>
      <w:pPr>
        <w:spacing w:after="0" w:line="172" w:lineRule="exact"/>
        <w:rPr>
          <w:sz w:val="20"/>
          <w:szCs w:val="20"/>
          <w:color w:val="auto"/>
        </w:rPr>
      </w:pPr>
    </w:p>
    <w:p>
      <w:pPr>
        <w:ind w:left="400" w:hanging="392"/>
        <w:spacing w:after="0"/>
        <w:tabs>
          <w:tab w:leader="none" w:pos="400" w:val="left"/>
        </w:tabs>
        <w:numPr>
          <w:ilvl w:val="0"/>
          <w:numId w:val="164"/>
        </w:numPr>
        <w:rPr>
          <w:rFonts w:ascii="Arial" w:cs="Arial" w:eastAsia="Arial" w:hAnsi="Arial"/>
          <w:sz w:val="16"/>
          <w:szCs w:val="16"/>
          <w:color w:val="EE2724"/>
          <w:strike w:val="1"/>
        </w:rPr>
      </w:pPr>
      <w:r>
        <w:rPr>
          <w:rFonts w:ascii="Arial" w:cs="Arial" w:eastAsia="Arial" w:hAnsi="Arial"/>
          <w:sz w:val="16"/>
          <w:szCs w:val="16"/>
          <w:color w:val="EE2724"/>
          <w:strike w:val="1"/>
        </w:rPr>
        <w:t>the number of Class A Series 1 Preferred Shares to be converted;</w:t>
      </w:r>
    </w:p>
    <w:p>
      <w:pPr>
        <w:spacing w:after="0" w:line="302" w:lineRule="exact"/>
        <w:rPr>
          <w:rFonts w:ascii="Arial" w:cs="Arial" w:eastAsia="Arial" w:hAnsi="Arial"/>
          <w:sz w:val="16"/>
          <w:szCs w:val="16"/>
          <w:color w:val="EE2724"/>
          <w:strike w:val="1"/>
        </w:rPr>
      </w:pPr>
    </w:p>
    <w:p>
      <w:pPr>
        <w:ind w:left="400" w:hanging="392"/>
        <w:spacing w:after="0"/>
        <w:tabs>
          <w:tab w:leader="none" w:pos="400" w:val="left"/>
        </w:tabs>
        <w:numPr>
          <w:ilvl w:val="0"/>
          <w:numId w:val="164"/>
        </w:numPr>
        <w:rPr>
          <w:rFonts w:ascii="Arial" w:cs="Arial" w:eastAsia="Arial" w:hAnsi="Arial"/>
          <w:sz w:val="16"/>
          <w:szCs w:val="16"/>
          <w:color w:val="EE2724"/>
          <w:strike w:val="1"/>
        </w:rPr>
      </w:pPr>
      <w:r>
        <w:rPr>
          <w:rFonts w:ascii="Arial" w:cs="Arial" w:eastAsia="Arial" w:hAnsi="Arial"/>
          <w:sz w:val="16"/>
          <w:szCs w:val="16"/>
          <w:color w:val="EE2724"/>
          <w:strike w:val="1"/>
        </w:rPr>
        <w:t>the Conversion Rate on the Forced Conversion Notice Date; and</w:t>
      </w:r>
    </w:p>
    <w:p>
      <w:pPr>
        <w:spacing w:after="0" w:line="315" w:lineRule="exact"/>
        <w:rPr>
          <w:rFonts w:ascii="Arial" w:cs="Arial" w:eastAsia="Arial" w:hAnsi="Arial"/>
          <w:sz w:val="16"/>
          <w:szCs w:val="16"/>
          <w:color w:val="EE2724"/>
          <w:strike w:val="1"/>
        </w:rPr>
      </w:pPr>
    </w:p>
    <w:p>
      <w:pPr>
        <w:ind w:left="420" w:hanging="412"/>
        <w:spacing w:after="0"/>
        <w:tabs>
          <w:tab w:leader="none" w:pos="420" w:val="left"/>
        </w:tabs>
        <w:numPr>
          <w:ilvl w:val="0"/>
          <w:numId w:val="164"/>
        </w:numPr>
        <w:rPr>
          <w:rFonts w:ascii="Arial" w:cs="Arial" w:eastAsia="Arial" w:hAnsi="Arial"/>
          <w:sz w:val="16"/>
          <w:szCs w:val="16"/>
          <w:color w:val="EE2724"/>
          <w:strike w:val="1"/>
        </w:rPr>
      </w:pPr>
      <w:r>
        <w:rPr>
          <w:rFonts w:ascii="Arial" w:cs="Arial" w:eastAsia="Arial" w:hAnsi="Arial"/>
          <w:sz w:val="16"/>
          <w:szCs w:val="16"/>
          <w:color w:val="EE2724"/>
          <w:strike w:val="1"/>
        </w:rPr>
        <w:t>the Company’s computation of the number of Common Shares to be received by such holder.</w:t>
      </w:r>
    </w:p>
    <w:p>
      <w:pPr>
        <w:spacing w:after="0" w:line="316" w:lineRule="exact"/>
        <w:rPr>
          <w:sz w:val="20"/>
          <w:szCs w:val="20"/>
          <w:color w:val="auto"/>
        </w:rPr>
      </w:pPr>
    </w:p>
    <w:p>
      <w:pPr>
        <w:spacing w:after="0" w:line="409" w:lineRule="auto"/>
        <w:rPr>
          <w:sz w:val="20"/>
          <w:szCs w:val="20"/>
          <w:color w:val="auto"/>
        </w:rPr>
      </w:pPr>
      <w:r>
        <w:rPr>
          <w:rFonts w:ascii="Arial" w:cs="Arial" w:eastAsia="Arial" w:hAnsi="Arial"/>
          <w:sz w:val="16"/>
          <w:szCs w:val="16"/>
          <w:color w:val="EE2724"/>
          <w:strike w:val="1"/>
        </w:rPr>
        <w:t>If the Company validly delivers a Forced Conversion Notice in accordance with this Article 27.1.6(b), the Company shall issue the Common Shares as soon as reasonably practicable, but not later than 10 Business Days thereafter (the date of issuance of such shares, the “Forced Conversion Date”).</w:t>
      </w:r>
    </w:p>
    <w:p>
      <w:pPr>
        <w:spacing w:after="0" w:line="156" w:lineRule="exact"/>
        <w:rPr>
          <w:sz w:val="20"/>
          <w:szCs w:val="20"/>
          <w:color w:val="auto"/>
        </w:rPr>
      </w:pPr>
    </w:p>
    <w:p>
      <w:pPr>
        <w:jc w:val="both"/>
        <w:ind w:firstLine="8"/>
        <w:spacing w:after="0" w:line="374" w:lineRule="auto"/>
        <w:tabs>
          <w:tab w:leader="none" w:pos="435" w:val="left"/>
        </w:tabs>
        <w:numPr>
          <w:ilvl w:val="0"/>
          <w:numId w:val="165"/>
        </w:numPr>
        <w:rPr>
          <w:rFonts w:ascii="Arial" w:cs="Arial" w:eastAsia="Arial" w:hAnsi="Arial"/>
          <w:sz w:val="16"/>
          <w:szCs w:val="16"/>
          <w:color w:val="EE2724"/>
          <w:strike w:val="1"/>
        </w:rPr>
      </w:pPr>
      <w:r>
        <w:rPr>
          <w:rFonts w:ascii="Arial" w:cs="Arial" w:eastAsia="Arial" w:hAnsi="Arial"/>
          <w:sz w:val="16"/>
          <w:szCs w:val="16"/>
          <w:color w:val="EE2724"/>
          <w:strike w:val="1"/>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6"/>
          <w:szCs w:val="16"/>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73" w:lineRule="auto"/>
        <w:rPr>
          <w:sz w:val="20"/>
          <w:szCs w:val="20"/>
          <w:color w:val="auto"/>
        </w:rPr>
      </w:pPr>
      <w:r>
        <w:rPr>
          <w:rFonts w:ascii="Arial" w:cs="Arial" w:eastAsia="Arial" w:hAnsi="Arial"/>
          <w:sz w:val="16"/>
          <w:szCs w:val="16"/>
          <w:color w:val="EE2724"/>
          <w:strike w:val="1"/>
        </w:rPr>
        <w:t>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185" w:lineRule="exact"/>
        <w:rPr>
          <w:sz w:val="20"/>
          <w:szCs w:val="20"/>
          <w:color w:val="auto"/>
        </w:rPr>
      </w:pPr>
    </w:p>
    <w:p>
      <w:pPr>
        <w:jc w:val="both"/>
        <w:ind w:firstLine="8"/>
        <w:spacing w:after="0" w:line="377" w:lineRule="auto"/>
        <w:tabs>
          <w:tab w:leader="none" w:pos="454" w:val="left"/>
        </w:tabs>
        <w:numPr>
          <w:ilvl w:val="0"/>
          <w:numId w:val="166"/>
        </w:numPr>
        <w:rPr>
          <w:rFonts w:ascii="Arial" w:cs="Arial" w:eastAsia="Arial" w:hAnsi="Arial"/>
          <w:sz w:val="16"/>
          <w:szCs w:val="16"/>
          <w:color w:val="EE2724"/>
          <w:strike w:val="1"/>
        </w:rPr>
      </w:pPr>
      <w:r>
        <w:rPr>
          <w:rFonts w:ascii="Arial" w:cs="Arial" w:eastAsia="Arial" w:hAnsi="Arial"/>
          <w:sz w:val="16"/>
          <w:szCs w:val="16"/>
          <w:color w:val="EE2724"/>
          <w:strike w:val="1"/>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pacing w:after="0" w:line="180" w:lineRule="exact"/>
        <w:rPr>
          <w:sz w:val="20"/>
          <w:szCs w:val="20"/>
          <w:color w:val="auto"/>
        </w:rPr>
      </w:pPr>
    </w:p>
    <w:p>
      <w:pPr>
        <w:ind w:left="380" w:hanging="372"/>
        <w:spacing w:after="0"/>
        <w:tabs>
          <w:tab w:leader="none" w:pos="380" w:val="left"/>
        </w:tabs>
        <w:numPr>
          <w:ilvl w:val="0"/>
          <w:numId w:val="167"/>
        </w:numPr>
        <w:rPr>
          <w:rFonts w:ascii="Arial" w:cs="Arial" w:eastAsia="Arial" w:hAnsi="Arial"/>
          <w:sz w:val="16"/>
          <w:szCs w:val="16"/>
          <w:color w:val="EE2724"/>
          <w:strike w:val="1"/>
        </w:rPr>
      </w:pPr>
      <w:r>
        <w:rPr>
          <w:rFonts w:ascii="Arial" w:cs="Arial" w:eastAsia="Arial" w:hAnsi="Arial"/>
          <w:sz w:val="16"/>
          <w:szCs w:val="16"/>
          <w:color w:val="EE2724"/>
          <w:strike w:val="1"/>
        </w:rPr>
        <w:t>Mandatory Conversion</w:t>
      </w:r>
    </w:p>
    <w:p>
      <w:pPr>
        <w:spacing w:after="0" w:line="316" w:lineRule="exact"/>
        <w:rPr>
          <w:sz w:val="20"/>
          <w:szCs w:val="20"/>
          <w:color w:val="auto"/>
        </w:rPr>
      </w:pPr>
    </w:p>
    <w:p>
      <w:pPr>
        <w:ind w:firstLine="8"/>
        <w:spacing w:after="0" w:line="409" w:lineRule="auto"/>
        <w:tabs>
          <w:tab w:leader="none" w:pos="347" w:val="left"/>
        </w:tabs>
        <w:numPr>
          <w:ilvl w:val="0"/>
          <w:numId w:val="168"/>
        </w:numPr>
        <w:rPr>
          <w:rFonts w:ascii="Arial" w:cs="Arial" w:eastAsia="Arial" w:hAnsi="Arial"/>
          <w:sz w:val="16"/>
          <w:szCs w:val="16"/>
          <w:color w:val="EE2724"/>
          <w:strike w:val="1"/>
        </w:rPr>
      </w:pPr>
      <w:r>
        <w:rPr>
          <w:rFonts w:ascii="Arial" w:cs="Arial" w:eastAsia="Arial" w:hAnsi="Arial"/>
          <w:sz w:val="16"/>
          <w:szCs w:val="16"/>
          <w:color w:val="EE2724"/>
          <w:strike w:val="1"/>
        </w:rPr>
        <w:t>Each Class A Series 1 Preferred Share shall automatically convert on the Mandatory Conversion Date (“Mandatory Conversion”) into Common Shares at the Conversion Rate in effect on such date.</w:t>
      </w:r>
    </w:p>
    <w:p>
      <w:pPr>
        <w:spacing w:after="0" w:line="155" w:lineRule="exact"/>
        <w:rPr>
          <w:rFonts w:ascii="Arial" w:cs="Arial" w:eastAsia="Arial" w:hAnsi="Arial"/>
          <w:sz w:val="16"/>
          <w:szCs w:val="16"/>
          <w:color w:val="EE2724"/>
          <w:strike w:val="1"/>
        </w:rPr>
      </w:pPr>
    </w:p>
    <w:p>
      <w:pPr>
        <w:jc w:val="both"/>
        <w:ind w:firstLine="8"/>
        <w:spacing w:after="0" w:line="370" w:lineRule="auto"/>
        <w:tabs>
          <w:tab w:leader="none" w:pos="367" w:val="left"/>
        </w:tabs>
        <w:numPr>
          <w:ilvl w:val="0"/>
          <w:numId w:val="168"/>
        </w:numPr>
        <w:rPr>
          <w:rFonts w:ascii="Arial" w:cs="Arial" w:eastAsia="Arial" w:hAnsi="Arial"/>
          <w:sz w:val="16"/>
          <w:szCs w:val="16"/>
          <w:color w:val="EE2724"/>
          <w:strike w:val="1"/>
        </w:rPr>
      </w:pPr>
      <w:r>
        <w:rPr>
          <w:rFonts w:ascii="Arial" w:cs="Arial" w:eastAsia="Arial" w:hAnsi="Arial"/>
          <w:sz w:val="16"/>
          <w:szCs w:val="16"/>
          <w:color w:val="EE2724"/>
          <w:strike w:val="1"/>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“Mandatory Conversion Issuance Date”). On the Mandatory Conversion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6"/>
          <w:szCs w:val="16"/>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 w:hanging="372"/>
        <w:spacing w:after="0"/>
        <w:tabs>
          <w:tab w:leader="none" w:pos="380" w:val="left"/>
        </w:tabs>
        <w:numPr>
          <w:ilvl w:val="0"/>
          <w:numId w:val="169"/>
        </w:numPr>
        <w:rPr>
          <w:rFonts w:ascii="Arial" w:cs="Arial" w:eastAsia="Arial" w:hAnsi="Arial"/>
          <w:sz w:val="16"/>
          <w:szCs w:val="16"/>
          <w:color w:val="EE2724"/>
          <w:strike w:val="1"/>
        </w:rPr>
      </w:pPr>
      <w:r>
        <w:rPr>
          <w:rFonts w:ascii="Arial" w:cs="Arial" w:eastAsia="Arial" w:hAnsi="Arial"/>
          <w:sz w:val="16"/>
          <w:szCs w:val="16"/>
          <w:color w:val="EE2724"/>
          <w:strike w:val="1"/>
        </w:rPr>
        <w:t>Automatic Conversion on Change of Control</w:t>
      </w:r>
    </w:p>
    <w:p>
      <w:pPr>
        <w:spacing w:after="0" w:line="302" w:lineRule="exact"/>
        <w:rPr>
          <w:sz w:val="20"/>
          <w:szCs w:val="20"/>
          <w:color w:val="auto"/>
        </w:rPr>
      </w:pPr>
    </w:p>
    <w:p>
      <w:pPr>
        <w:jc w:val="both"/>
        <w:ind w:firstLine="8"/>
        <w:spacing w:after="0" w:line="377" w:lineRule="auto"/>
        <w:tabs>
          <w:tab w:leader="none" w:pos="448" w:val="left"/>
        </w:tabs>
        <w:numPr>
          <w:ilvl w:val="0"/>
          <w:numId w:val="170"/>
        </w:numPr>
        <w:rPr>
          <w:rFonts w:ascii="Arial" w:cs="Arial" w:eastAsia="Arial" w:hAnsi="Arial"/>
          <w:sz w:val="16"/>
          <w:szCs w:val="16"/>
          <w:color w:val="EE2724"/>
          <w:strike w:val="1"/>
        </w:rPr>
      </w:pPr>
      <w:r>
        <w:rPr>
          <w:rFonts w:ascii="Arial" w:cs="Arial" w:eastAsia="Arial" w:hAnsi="Arial"/>
          <w:sz w:val="16"/>
          <w:szCs w:val="16"/>
          <w:color w:val="EE2724"/>
          <w:strike w:val="1"/>
        </w:rPr>
        <w:t>Immediately prior to the consummation of a Change of Control, each Class A Series 1 Preferred Share shall automatically convert (“Automatic Conversion”) into Common Shares at the Conversion Rate in effect on such date (the “Automatic Conversion Time”). Such Automatic Conversion shall be automatic, without need for any further action by the holders of Class A Series 1 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pacing w:after="0" w:line="182" w:lineRule="exact"/>
        <w:rPr>
          <w:rFonts w:ascii="Arial" w:cs="Arial" w:eastAsia="Arial" w:hAnsi="Arial"/>
          <w:sz w:val="16"/>
          <w:szCs w:val="16"/>
          <w:color w:val="EE2724"/>
          <w:strike w:val="1"/>
        </w:rPr>
      </w:pPr>
    </w:p>
    <w:p>
      <w:pPr>
        <w:jc w:val="both"/>
        <w:ind w:firstLine="8"/>
        <w:spacing w:after="0" w:line="374" w:lineRule="auto"/>
        <w:tabs>
          <w:tab w:leader="none" w:pos="373" w:val="left"/>
        </w:tabs>
        <w:numPr>
          <w:ilvl w:val="0"/>
          <w:numId w:val="170"/>
        </w:numPr>
        <w:rPr>
          <w:rFonts w:ascii="Arial" w:cs="Arial" w:eastAsia="Arial" w:hAnsi="Arial"/>
          <w:sz w:val="16"/>
          <w:szCs w:val="16"/>
          <w:color w:val="EE2724"/>
          <w:strike w:val="1"/>
        </w:rPr>
      </w:pPr>
      <w:r>
        <w:rPr>
          <w:rFonts w:ascii="Arial" w:cs="Arial" w:eastAsia="Arial" w:hAnsi="Arial"/>
          <w:sz w:val="16"/>
          <w:szCs w:val="16"/>
          <w:color w:val="EE2724"/>
          <w:strike w:val="1"/>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 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183" w:lineRule="exact"/>
        <w:rPr>
          <w:sz w:val="20"/>
          <w:szCs w:val="20"/>
          <w:color w:val="auto"/>
        </w:rPr>
      </w:pPr>
    </w:p>
    <w:p>
      <w:pPr>
        <w:ind w:firstLine="8"/>
        <w:spacing w:after="0" w:line="409" w:lineRule="auto"/>
        <w:tabs>
          <w:tab w:leader="none" w:pos="409" w:val="left"/>
        </w:tabs>
        <w:numPr>
          <w:ilvl w:val="0"/>
          <w:numId w:val="171"/>
        </w:numPr>
        <w:rPr>
          <w:rFonts w:ascii="Arial" w:cs="Arial" w:eastAsia="Arial" w:hAnsi="Arial"/>
          <w:sz w:val="16"/>
          <w:szCs w:val="16"/>
          <w:color w:val="EE2724"/>
          <w:strike w:val="1"/>
        </w:rPr>
      </w:pPr>
      <w:r>
        <w:rPr>
          <w:rFonts w:ascii="Arial" w:cs="Arial" w:eastAsia="Arial" w:hAnsi="Arial"/>
          <w:sz w:val="16"/>
          <w:szCs w:val="16"/>
          <w:color w:val="EE2724"/>
          <w:strike w:val="1"/>
        </w:rPr>
        <w:t>General Conversion Provisions. The Company shall be entitled to register the Common Shares issued on a Conversion, and make such payment, in the name of the holder of Class A Series 1 Preferred Shares as shown on the records of the Company.</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27.1.7</w:t>
        <w:tab/>
        <w:t>Redemption</w:t>
      </w:r>
    </w:p>
    <w:p>
      <w:pPr>
        <w:spacing w:after="0" w:line="316" w:lineRule="exact"/>
        <w:rPr>
          <w:sz w:val="20"/>
          <w:szCs w:val="20"/>
          <w:color w:val="auto"/>
        </w:rPr>
      </w:pPr>
    </w:p>
    <w:p>
      <w:pPr>
        <w:jc w:val="both"/>
        <w:ind w:firstLine="8"/>
        <w:spacing w:after="0" w:line="377" w:lineRule="auto"/>
        <w:tabs>
          <w:tab w:leader="none" w:pos="396" w:val="left"/>
        </w:tabs>
        <w:numPr>
          <w:ilvl w:val="0"/>
          <w:numId w:val="172"/>
        </w:numPr>
        <w:rPr>
          <w:rFonts w:ascii="Arial" w:cs="Arial" w:eastAsia="Arial" w:hAnsi="Arial"/>
          <w:sz w:val="16"/>
          <w:szCs w:val="16"/>
          <w:color w:val="EE2724"/>
          <w:strike w:val="1"/>
        </w:rPr>
      </w:pPr>
      <w:r>
        <w:rPr>
          <w:rFonts w:ascii="Arial" w:cs="Arial" w:eastAsia="Arial" w:hAnsi="Arial"/>
          <w:sz w:val="16"/>
          <w:szCs w:val="16"/>
          <w:color w:val="EE2724"/>
          <w:strike w:val="1"/>
        </w:rPr>
        <w:t>Redemption at the Company’s Option.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“Redemption Date”).</w:t>
      </w:r>
    </w:p>
    <w:p>
      <w:pPr>
        <w:spacing w:after="0" w:line="180" w:lineRule="exact"/>
        <w:rPr>
          <w:rFonts w:ascii="Arial" w:cs="Arial" w:eastAsia="Arial" w:hAnsi="Arial"/>
          <w:sz w:val="16"/>
          <w:szCs w:val="16"/>
          <w:color w:val="EE2724"/>
          <w:strike w:val="1"/>
        </w:rPr>
      </w:pPr>
    </w:p>
    <w:p>
      <w:pPr>
        <w:jc w:val="both"/>
        <w:ind w:firstLine="8"/>
        <w:spacing w:after="0" w:line="374" w:lineRule="auto"/>
        <w:tabs>
          <w:tab w:leader="none" w:pos="447" w:val="left"/>
        </w:tabs>
        <w:numPr>
          <w:ilvl w:val="0"/>
          <w:numId w:val="172"/>
        </w:numPr>
        <w:rPr>
          <w:rFonts w:ascii="Arial" w:cs="Arial" w:eastAsia="Arial" w:hAnsi="Arial"/>
          <w:sz w:val="16"/>
          <w:szCs w:val="16"/>
          <w:color w:val="EE2724"/>
          <w:strike w:val="1"/>
        </w:rPr>
      </w:pPr>
      <w:r>
        <w:rPr>
          <w:rFonts w:ascii="Arial" w:cs="Arial" w:eastAsia="Arial" w:hAnsi="Arial"/>
          <w:sz w:val="16"/>
          <w:szCs w:val="16"/>
          <w:color w:val="EE2724"/>
          <w:strike w:val="1"/>
        </w:rPr>
        <w:t>Notice of Redemption.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183"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16"/>
          <w:szCs w:val="16"/>
          <w:color w:val="EE2724"/>
          <w:strike w:val="1"/>
        </w:rPr>
      </w:pPr>
      <w:r>
        <w:rPr>
          <w:rFonts w:ascii="Arial" w:cs="Arial" w:eastAsia="Arial" w:hAnsi="Arial"/>
          <w:sz w:val="16"/>
          <w:szCs w:val="16"/>
          <w:color w:val="EE2724"/>
          <w:strike w:val="1"/>
        </w:rPr>
        <w:t>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0" w:hanging="352"/>
        <w:spacing w:after="0"/>
        <w:tabs>
          <w:tab w:leader="none" w:pos="360" w:val="left"/>
        </w:tabs>
        <w:numPr>
          <w:ilvl w:val="0"/>
          <w:numId w:val="174"/>
        </w:numPr>
        <w:rPr>
          <w:rFonts w:ascii="Arial" w:cs="Arial" w:eastAsia="Arial" w:hAnsi="Arial"/>
          <w:sz w:val="16"/>
          <w:szCs w:val="16"/>
          <w:color w:val="EE2724"/>
          <w:strike w:val="1"/>
        </w:rPr>
      </w:pPr>
      <w:r>
        <w:rPr>
          <w:rFonts w:ascii="Arial" w:cs="Arial" w:eastAsia="Arial" w:hAnsi="Arial"/>
          <w:sz w:val="16"/>
          <w:szCs w:val="16"/>
          <w:color w:val="EE2724"/>
          <w:strike w:val="1"/>
        </w:rPr>
        <w:t>the number of Class A Series 1 Preferred Shares to be redeemed;</w:t>
      </w:r>
    </w:p>
    <w:p>
      <w:pPr>
        <w:spacing w:after="0" w:line="302" w:lineRule="exact"/>
        <w:rPr>
          <w:rFonts w:ascii="Arial" w:cs="Arial" w:eastAsia="Arial" w:hAnsi="Arial"/>
          <w:sz w:val="16"/>
          <w:szCs w:val="16"/>
          <w:color w:val="EE2724"/>
          <w:strike w:val="1"/>
        </w:rPr>
      </w:pPr>
    </w:p>
    <w:p>
      <w:pPr>
        <w:ind w:left="400" w:hanging="392"/>
        <w:spacing w:after="0"/>
        <w:tabs>
          <w:tab w:leader="none" w:pos="400" w:val="left"/>
        </w:tabs>
        <w:numPr>
          <w:ilvl w:val="0"/>
          <w:numId w:val="174"/>
        </w:numPr>
        <w:rPr>
          <w:rFonts w:ascii="Arial" w:cs="Arial" w:eastAsia="Arial" w:hAnsi="Arial"/>
          <w:sz w:val="16"/>
          <w:szCs w:val="16"/>
          <w:color w:val="EE2724"/>
          <w:strike w:val="1"/>
        </w:rPr>
      </w:pPr>
      <w:r>
        <w:rPr>
          <w:rFonts w:ascii="Arial" w:cs="Arial" w:eastAsia="Arial" w:hAnsi="Arial"/>
          <w:sz w:val="16"/>
          <w:szCs w:val="16"/>
          <w:color w:val="EE2724"/>
          <w:strike w:val="1"/>
        </w:rPr>
        <w:t>the redemption price as provided in Article 27.1.7(a); and</w:t>
      </w:r>
    </w:p>
    <w:p>
      <w:pPr>
        <w:spacing w:after="0" w:line="315" w:lineRule="exact"/>
        <w:rPr>
          <w:rFonts w:ascii="Arial" w:cs="Arial" w:eastAsia="Arial" w:hAnsi="Arial"/>
          <w:sz w:val="16"/>
          <w:szCs w:val="16"/>
          <w:color w:val="EE2724"/>
          <w:strike w:val="1"/>
        </w:rPr>
      </w:pPr>
    </w:p>
    <w:p>
      <w:pPr>
        <w:ind w:left="420" w:hanging="412"/>
        <w:spacing w:after="0"/>
        <w:tabs>
          <w:tab w:leader="none" w:pos="420" w:val="left"/>
        </w:tabs>
        <w:numPr>
          <w:ilvl w:val="0"/>
          <w:numId w:val="174"/>
        </w:numPr>
        <w:rPr>
          <w:rFonts w:ascii="Arial" w:cs="Arial" w:eastAsia="Arial" w:hAnsi="Arial"/>
          <w:sz w:val="16"/>
          <w:szCs w:val="16"/>
          <w:color w:val="EE2724"/>
          <w:strike w:val="1"/>
        </w:rPr>
      </w:pPr>
      <w:r>
        <w:rPr>
          <w:rFonts w:ascii="Arial" w:cs="Arial" w:eastAsia="Arial" w:hAnsi="Arial"/>
          <w:sz w:val="16"/>
          <w:szCs w:val="16"/>
          <w:color w:val="EE2724"/>
          <w:strike w:val="1"/>
        </w:rPr>
        <w:t>the place or places where certificates for such Class A Series 1 Preferred Shares are to be surrendered for payment of the redemption price.</w:t>
      </w:r>
    </w:p>
    <w:p>
      <w:pPr>
        <w:spacing w:after="0" w:line="316" w:lineRule="exact"/>
        <w:rPr>
          <w:sz w:val="20"/>
          <w:szCs w:val="20"/>
          <w:color w:val="auto"/>
        </w:rPr>
      </w:pPr>
    </w:p>
    <w:p>
      <w:pPr>
        <w:jc w:val="both"/>
        <w:ind w:firstLine="8"/>
        <w:spacing w:after="0" w:line="372" w:lineRule="auto"/>
        <w:tabs>
          <w:tab w:leader="none" w:pos="431" w:val="left"/>
        </w:tabs>
        <w:numPr>
          <w:ilvl w:val="0"/>
          <w:numId w:val="175"/>
        </w:numPr>
        <w:rPr>
          <w:rFonts w:ascii="Arial" w:cs="Arial" w:eastAsia="Arial" w:hAnsi="Arial"/>
          <w:sz w:val="16"/>
          <w:szCs w:val="16"/>
          <w:color w:val="EE2724"/>
          <w:strike w:val="1"/>
        </w:rPr>
      </w:pPr>
      <w:r>
        <w:rPr>
          <w:rFonts w:ascii="Arial" w:cs="Arial" w:eastAsia="Arial" w:hAnsi="Arial"/>
          <w:sz w:val="16"/>
          <w:szCs w:val="16"/>
          <w:color w:val="EE2724"/>
          <w:strike w:val="1"/>
        </w:rPr>
        <w:t>Effectiveness of Redemption. If notice of redemption has been duly given and if on or before the Redemption Date specified in the notice all funds necessary for the redemption have been deposited by the Company, in trust for the pro rata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EE2724"/>
          <w:strike w:val="1"/>
        </w:rPr>
        <w:t>27.1.8</w:t>
        <w:tab/>
        <w:t>No Fractional Shares</w:t>
      </w:r>
    </w:p>
    <w:p>
      <w:pPr>
        <w:spacing w:after="0" w:line="316" w:lineRule="exact"/>
        <w:rPr>
          <w:sz w:val="20"/>
          <w:szCs w:val="20"/>
          <w:color w:val="auto"/>
        </w:rPr>
      </w:pPr>
    </w:p>
    <w:p>
      <w:pPr>
        <w:ind w:left="380" w:hanging="372"/>
        <w:spacing w:after="0"/>
        <w:tabs>
          <w:tab w:leader="none" w:pos="380" w:val="left"/>
        </w:tabs>
        <w:numPr>
          <w:ilvl w:val="0"/>
          <w:numId w:val="176"/>
        </w:numPr>
        <w:rPr>
          <w:rFonts w:ascii="Arial" w:cs="Arial" w:eastAsia="Arial" w:hAnsi="Arial"/>
          <w:sz w:val="16"/>
          <w:szCs w:val="16"/>
          <w:color w:val="EE2724"/>
          <w:strike w:val="1"/>
        </w:rPr>
      </w:pPr>
      <w:r>
        <w:rPr>
          <w:rFonts w:ascii="Arial" w:cs="Arial" w:eastAsia="Arial" w:hAnsi="Arial"/>
          <w:sz w:val="16"/>
          <w:szCs w:val="16"/>
          <w:color w:val="EE2724"/>
          <w:strike w:val="1"/>
        </w:rPr>
        <w:t>No fractional Common Shares shall be issued upon Conversion, whether voluntary or mandatory.</w:t>
      </w:r>
    </w:p>
    <w:p>
      <w:pPr>
        <w:spacing w:after="0" w:line="315" w:lineRule="exact"/>
        <w:rPr>
          <w:rFonts w:ascii="Arial" w:cs="Arial" w:eastAsia="Arial" w:hAnsi="Arial"/>
          <w:sz w:val="16"/>
          <w:szCs w:val="16"/>
          <w:color w:val="EE2724"/>
          <w:strike w:val="1"/>
        </w:rPr>
      </w:pPr>
    </w:p>
    <w:p>
      <w:pPr>
        <w:jc w:val="both"/>
        <w:ind w:firstLine="8"/>
        <w:spacing w:after="0" w:line="389" w:lineRule="auto"/>
        <w:tabs>
          <w:tab w:leader="none" w:pos="389" w:val="left"/>
        </w:tabs>
        <w:numPr>
          <w:ilvl w:val="0"/>
          <w:numId w:val="176"/>
        </w:numPr>
        <w:rPr>
          <w:rFonts w:ascii="Arial" w:cs="Arial" w:eastAsia="Arial" w:hAnsi="Arial"/>
          <w:sz w:val="16"/>
          <w:szCs w:val="16"/>
          <w:color w:val="EE2724"/>
          <w:strike w:val="1"/>
        </w:rPr>
      </w:pPr>
      <w:r>
        <w:rPr>
          <w:rFonts w:ascii="Arial" w:cs="Arial" w:eastAsia="Arial" w:hAnsi="Arial"/>
          <w:sz w:val="16"/>
          <w:szCs w:val="16"/>
          <w:color w:val="EE2724"/>
          <w:strike w:val="1"/>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158" w:lineRule="exact"/>
        <w:rPr>
          <w:rFonts w:ascii="Arial" w:cs="Arial" w:eastAsia="Arial" w:hAnsi="Arial"/>
          <w:sz w:val="16"/>
          <w:szCs w:val="16"/>
          <w:color w:val="EE2724"/>
          <w:strike w:val="1"/>
        </w:rPr>
      </w:pPr>
    </w:p>
    <w:p>
      <w:pPr>
        <w:ind w:right="20" w:firstLine="8"/>
        <w:spacing w:after="0" w:line="409" w:lineRule="auto"/>
        <w:tabs>
          <w:tab w:leader="none" w:pos="411" w:val="left"/>
        </w:tabs>
        <w:numPr>
          <w:ilvl w:val="0"/>
          <w:numId w:val="176"/>
        </w:numPr>
        <w:rPr>
          <w:rFonts w:ascii="Arial" w:cs="Arial" w:eastAsia="Arial" w:hAnsi="Arial"/>
          <w:sz w:val="16"/>
          <w:szCs w:val="16"/>
          <w:color w:val="EE2724"/>
          <w:strike w:val="1"/>
        </w:rPr>
      </w:pPr>
      <w:r>
        <w:rPr>
          <w:rFonts w:ascii="Arial" w:cs="Arial" w:eastAsia="Arial" w:hAnsi="Arial"/>
          <w:sz w:val="16"/>
          <w:szCs w:val="16"/>
          <w:color w:val="EE2724"/>
          <w:strike w:val="1"/>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EE2724"/>
          <w:strike w:val="1"/>
        </w:rPr>
        <w:t>27.1.9</w:t>
        <w:tab/>
        <w:t>Anti-Dilution Adjustments to the Conversion Rate</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EE2724"/>
          <w:strike w:val="1"/>
        </w:rPr>
        <w:t>The Conversion Rate shall be subject to the following adjustments:</w:t>
      </w:r>
    </w:p>
    <w:p>
      <w:pPr>
        <w:spacing w:after="0" w:line="316" w:lineRule="exact"/>
        <w:rPr>
          <w:sz w:val="20"/>
          <w:szCs w:val="20"/>
          <w:color w:val="auto"/>
        </w:rPr>
      </w:pPr>
    </w:p>
    <w:p>
      <w:pPr>
        <w:ind w:left="380" w:hanging="372"/>
        <w:spacing w:after="0"/>
        <w:tabs>
          <w:tab w:leader="none" w:pos="380" w:val="left"/>
        </w:tabs>
        <w:numPr>
          <w:ilvl w:val="0"/>
          <w:numId w:val="177"/>
        </w:numPr>
        <w:rPr>
          <w:rFonts w:ascii="Arial" w:cs="Arial" w:eastAsia="Arial" w:hAnsi="Arial"/>
          <w:sz w:val="16"/>
          <w:szCs w:val="16"/>
          <w:color w:val="EE2724"/>
          <w:strike w:val="1"/>
        </w:rPr>
      </w:pPr>
      <w:r>
        <w:rPr>
          <w:rFonts w:ascii="Arial" w:cs="Arial" w:eastAsia="Arial" w:hAnsi="Arial"/>
          <w:sz w:val="16"/>
          <w:szCs w:val="16"/>
          <w:color w:val="EE2724"/>
          <w:strike w:val="1"/>
        </w:rPr>
        <w:t>Stock Dividends and Distributions</w:t>
      </w:r>
    </w:p>
    <w:p>
      <w:pPr>
        <w:spacing w:after="0" w:line="316" w:lineRule="exact"/>
        <w:rPr>
          <w:sz w:val="20"/>
          <w:szCs w:val="20"/>
          <w:color w:val="auto"/>
        </w:rPr>
      </w:pPr>
    </w:p>
    <w:p>
      <w:pPr>
        <w:jc w:val="both"/>
        <w:ind w:firstLine="8"/>
        <w:spacing w:after="0" w:line="389" w:lineRule="auto"/>
        <w:tabs>
          <w:tab w:leader="none" w:pos="335" w:val="left"/>
        </w:tabs>
        <w:numPr>
          <w:ilvl w:val="0"/>
          <w:numId w:val="178"/>
        </w:numPr>
        <w:rPr>
          <w:rFonts w:ascii="Arial" w:cs="Arial" w:eastAsia="Arial" w:hAnsi="Arial"/>
          <w:sz w:val="16"/>
          <w:szCs w:val="16"/>
          <w:color w:val="EE2724"/>
          <w:strike w:val="1"/>
        </w:rPr>
      </w:pPr>
      <w:r>
        <w:rPr>
          <w:rFonts w:ascii="Arial" w:cs="Arial" w:eastAsia="Arial" w:hAnsi="Arial"/>
          <w:sz w:val="16"/>
          <w:szCs w:val="16"/>
          <w:color w:val="EE2724"/>
          <w:strike w:val="1"/>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172" w:lineRule="exact"/>
        <w:rPr>
          <w:sz w:val="20"/>
          <w:szCs w:val="20"/>
          <w:color w:val="auto"/>
        </w:rPr>
      </w:pPr>
    </w:p>
    <w:p>
      <w:pPr>
        <w:ind w:left="400" w:hanging="392"/>
        <w:spacing w:after="0"/>
        <w:tabs>
          <w:tab w:leader="none" w:pos="400" w:val="left"/>
        </w:tabs>
        <w:numPr>
          <w:ilvl w:val="0"/>
          <w:numId w:val="179"/>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is the number of Common Shares outstanding at 5:00 p.m., New York City time, on the date fixed for such determination; and</w:t>
      </w:r>
    </w:p>
    <w:p>
      <w:pPr>
        <w:spacing w:after="0" w:line="315" w:lineRule="exact"/>
        <w:rPr>
          <w:rFonts w:ascii="Arial" w:cs="Arial" w:eastAsia="Arial" w:hAnsi="Arial"/>
          <w:sz w:val="16"/>
          <w:szCs w:val="16"/>
          <w:color w:val="EE2724"/>
          <w:strike w:val="1"/>
        </w:rPr>
      </w:pPr>
    </w:p>
    <w:p>
      <w:pPr>
        <w:ind w:firstLine="8"/>
        <w:spacing w:after="0" w:line="409" w:lineRule="auto"/>
        <w:tabs>
          <w:tab w:leader="none" w:pos="477" w:val="left"/>
        </w:tabs>
        <w:numPr>
          <w:ilvl w:val="0"/>
          <w:numId w:val="179"/>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is the sum of the number of Common Shares outstanding at 5:00 p.m., New York City time, on the date fixed for such determination and the total number of Common Shares constituting such dividend or other distribution.</w:t>
      </w:r>
    </w:p>
    <w:p>
      <w:pPr>
        <w:spacing w:after="0" w:line="142" w:lineRule="exact"/>
        <w:rPr>
          <w:sz w:val="20"/>
          <w:szCs w:val="20"/>
          <w:color w:val="auto"/>
        </w:rPr>
      </w:pPr>
    </w:p>
    <w:p>
      <w:pPr>
        <w:jc w:val="both"/>
        <w:ind w:firstLine="8"/>
        <w:spacing w:after="0" w:line="377" w:lineRule="auto"/>
        <w:tabs>
          <w:tab w:leader="none" w:pos="403" w:val="left"/>
        </w:tabs>
        <w:numPr>
          <w:ilvl w:val="0"/>
          <w:numId w:val="180"/>
        </w:numPr>
        <w:rPr>
          <w:rFonts w:ascii="Arial" w:cs="Arial" w:eastAsia="Arial" w:hAnsi="Arial"/>
          <w:sz w:val="16"/>
          <w:szCs w:val="16"/>
          <w:color w:val="EE2724"/>
          <w:strike w:val="1"/>
        </w:rPr>
      </w:pPr>
      <w:r>
        <w:rPr>
          <w:rFonts w:ascii="Arial" w:cs="Arial" w:eastAsia="Arial" w:hAnsi="Arial"/>
          <w:sz w:val="16"/>
          <w:szCs w:val="16"/>
          <w:color w:val="EE2724"/>
          <w:strike w:val="1"/>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183" w:lineRule="exact"/>
        <w:rPr>
          <w:sz w:val="20"/>
          <w:szCs w:val="20"/>
          <w:color w:val="auto"/>
        </w:rPr>
      </w:pPr>
    </w:p>
    <w:p>
      <w:pPr>
        <w:ind w:left="380" w:hanging="372"/>
        <w:spacing w:after="0"/>
        <w:tabs>
          <w:tab w:leader="none" w:pos="380" w:val="left"/>
        </w:tabs>
        <w:numPr>
          <w:ilvl w:val="0"/>
          <w:numId w:val="181"/>
        </w:numPr>
        <w:rPr>
          <w:rFonts w:ascii="Arial" w:cs="Arial" w:eastAsia="Arial" w:hAnsi="Arial"/>
          <w:sz w:val="16"/>
          <w:szCs w:val="16"/>
          <w:color w:val="EE2724"/>
          <w:strike w:val="1"/>
        </w:rPr>
      </w:pPr>
      <w:r>
        <w:rPr>
          <w:rFonts w:ascii="Arial" w:cs="Arial" w:eastAsia="Arial" w:hAnsi="Arial"/>
          <w:sz w:val="16"/>
          <w:szCs w:val="16"/>
          <w:color w:val="EE2724"/>
          <w:strike w:val="1"/>
        </w:rPr>
        <w:t>Issuance of Stock Purchase Rights</w:t>
      </w:r>
    </w:p>
    <w:p>
      <w:pPr>
        <w:spacing w:after="0" w:line="316" w:lineRule="exact"/>
        <w:rPr>
          <w:sz w:val="20"/>
          <w:szCs w:val="20"/>
          <w:color w:val="auto"/>
        </w:rPr>
      </w:pPr>
    </w:p>
    <w:p>
      <w:pPr>
        <w:jc w:val="both"/>
        <w:ind w:firstLine="8"/>
        <w:spacing w:after="0" w:line="375" w:lineRule="auto"/>
        <w:tabs>
          <w:tab w:leader="none" w:pos="376" w:val="left"/>
        </w:tabs>
        <w:numPr>
          <w:ilvl w:val="0"/>
          <w:numId w:val="182"/>
        </w:numPr>
        <w:rPr>
          <w:rFonts w:ascii="Arial" w:cs="Arial" w:eastAsia="Arial" w:hAnsi="Arial"/>
          <w:sz w:val="16"/>
          <w:szCs w:val="16"/>
          <w:color w:val="EE2724"/>
          <w:strike w:val="1"/>
        </w:rPr>
      </w:pPr>
      <w:r>
        <w:rPr>
          <w:rFonts w:ascii="Arial" w:cs="Arial" w:eastAsia="Arial" w:hAnsi="Arial"/>
          <w:sz w:val="16"/>
          <w:szCs w:val="16"/>
          <w:color w:val="EE2724"/>
          <w:strike w:val="1"/>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183" w:lineRule="exact"/>
        <w:rPr>
          <w:sz w:val="20"/>
          <w:szCs w:val="20"/>
          <w:color w:val="auto"/>
        </w:rPr>
      </w:pPr>
    </w:p>
    <w:p>
      <w:pPr>
        <w:ind w:firstLine="8"/>
        <w:spacing w:after="0" w:line="409" w:lineRule="auto"/>
        <w:tabs>
          <w:tab w:leader="none" w:pos="499" w:val="left"/>
        </w:tabs>
        <w:numPr>
          <w:ilvl w:val="0"/>
          <w:numId w:val="183"/>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is the sum of the number of Common Shares outstanding at 5:00 p.m., New York City time, on the date fixed for such determination and the number of Common Shares issuable pursuant to such rights or warrants; and</w:t>
      </w:r>
    </w:p>
    <w:p>
      <w:pPr>
        <w:spacing w:after="0" w:line="155" w:lineRule="exact"/>
        <w:rPr>
          <w:rFonts w:ascii="Arial" w:cs="Arial" w:eastAsia="Arial" w:hAnsi="Arial"/>
          <w:sz w:val="16"/>
          <w:szCs w:val="16"/>
          <w:color w:val="EE2724"/>
          <w:strike w:val="1"/>
        </w:rPr>
      </w:pPr>
    </w:p>
    <w:p>
      <w:pPr>
        <w:jc w:val="both"/>
        <w:ind w:firstLine="8"/>
        <w:spacing w:after="0" w:line="380" w:lineRule="auto"/>
        <w:tabs>
          <w:tab w:leader="none" w:pos="477" w:val="left"/>
        </w:tabs>
        <w:numPr>
          <w:ilvl w:val="0"/>
          <w:numId w:val="183"/>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6"/>
          <w:szCs w:val="16"/>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8"/>
        <w:spacing w:after="0" w:line="371" w:lineRule="auto"/>
        <w:tabs>
          <w:tab w:leader="none" w:pos="403" w:val="left"/>
        </w:tabs>
        <w:numPr>
          <w:ilvl w:val="0"/>
          <w:numId w:val="184"/>
        </w:numPr>
        <w:rPr>
          <w:rFonts w:ascii="Arial" w:cs="Arial" w:eastAsia="Arial" w:hAnsi="Arial"/>
          <w:sz w:val="16"/>
          <w:szCs w:val="16"/>
          <w:color w:val="EE2724"/>
          <w:strike w:val="1"/>
        </w:rPr>
      </w:pPr>
      <w:r>
        <w:rPr>
          <w:rFonts w:ascii="Arial" w:cs="Arial" w:eastAsia="Arial" w:hAnsi="Arial"/>
          <w:sz w:val="16"/>
          <w:szCs w:val="16"/>
          <w:color w:val="EE2724"/>
          <w:strike w:val="1"/>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200" w:lineRule="exact"/>
        <w:rPr>
          <w:sz w:val="20"/>
          <w:szCs w:val="20"/>
          <w:color w:val="auto"/>
        </w:rPr>
      </w:pPr>
    </w:p>
    <w:p>
      <w:pPr>
        <w:spacing w:after="0" w:line="262" w:lineRule="exact"/>
        <w:rPr>
          <w:sz w:val="20"/>
          <w:szCs w:val="20"/>
          <w:color w:val="auto"/>
        </w:rPr>
      </w:pPr>
    </w:p>
    <w:p>
      <w:pPr>
        <w:ind w:left="380" w:hanging="372"/>
        <w:spacing w:after="0"/>
        <w:tabs>
          <w:tab w:leader="none" w:pos="380" w:val="left"/>
        </w:tabs>
        <w:numPr>
          <w:ilvl w:val="0"/>
          <w:numId w:val="185"/>
        </w:numPr>
        <w:rPr>
          <w:rFonts w:ascii="Arial" w:cs="Arial" w:eastAsia="Arial" w:hAnsi="Arial"/>
          <w:sz w:val="16"/>
          <w:szCs w:val="16"/>
          <w:color w:val="EE2724"/>
          <w:strike w:val="1"/>
        </w:rPr>
      </w:pPr>
      <w:r>
        <w:rPr>
          <w:rFonts w:ascii="Arial" w:cs="Arial" w:eastAsia="Arial" w:hAnsi="Arial"/>
          <w:sz w:val="16"/>
          <w:szCs w:val="16"/>
          <w:color w:val="EE2724"/>
          <w:strike w:val="1"/>
        </w:rPr>
        <w:t>Subdivisions and Combinations of the Common Shares</w:t>
      </w:r>
    </w:p>
    <w:p>
      <w:pPr>
        <w:spacing w:after="0" w:line="316" w:lineRule="exact"/>
        <w:rPr>
          <w:sz w:val="20"/>
          <w:szCs w:val="20"/>
          <w:color w:val="auto"/>
        </w:rPr>
      </w:pPr>
    </w:p>
    <w:p>
      <w:pPr>
        <w:ind w:right="20" w:firstLine="8"/>
        <w:spacing w:after="0" w:line="409" w:lineRule="auto"/>
        <w:tabs>
          <w:tab w:leader="none" w:pos="324" w:val="left"/>
        </w:tabs>
        <w:numPr>
          <w:ilvl w:val="0"/>
          <w:numId w:val="186"/>
        </w:numPr>
        <w:rPr>
          <w:rFonts w:ascii="Arial" w:cs="Arial" w:eastAsia="Arial" w:hAnsi="Arial"/>
          <w:sz w:val="16"/>
          <w:szCs w:val="16"/>
          <w:color w:val="EE2724"/>
          <w:strike w:val="1"/>
        </w:rPr>
      </w:pPr>
      <w:r>
        <w:rPr>
          <w:rFonts w:ascii="Arial" w:cs="Arial" w:eastAsia="Arial" w:hAnsi="Arial"/>
          <w:sz w:val="16"/>
          <w:szCs w:val="16"/>
          <w:color w:val="EE2724"/>
          <w:strike w:val="1"/>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156" w:lineRule="exact"/>
        <w:rPr>
          <w:sz w:val="20"/>
          <w:szCs w:val="20"/>
          <w:color w:val="auto"/>
        </w:rPr>
      </w:pPr>
    </w:p>
    <w:p>
      <w:pPr>
        <w:ind w:firstLine="8"/>
        <w:spacing w:after="0" w:line="409" w:lineRule="auto"/>
        <w:tabs>
          <w:tab w:leader="none" w:pos="438" w:val="left"/>
        </w:tabs>
        <w:numPr>
          <w:ilvl w:val="0"/>
          <w:numId w:val="187"/>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is the number of Common Shares that would be outstanding immediately after, and solely as a result of, such subdivision or combination; and</w:t>
      </w:r>
    </w:p>
    <w:p>
      <w:pPr>
        <w:spacing w:after="0" w:line="142" w:lineRule="exact"/>
        <w:rPr>
          <w:rFonts w:ascii="Arial" w:cs="Arial" w:eastAsia="Arial" w:hAnsi="Arial"/>
          <w:sz w:val="16"/>
          <w:szCs w:val="16"/>
          <w:color w:val="EE2724"/>
          <w:strike w:val="1"/>
        </w:rPr>
      </w:pPr>
    </w:p>
    <w:p>
      <w:pPr>
        <w:ind w:left="400" w:hanging="392"/>
        <w:spacing w:after="0"/>
        <w:tabs>
          <w:tab w:leader="none" w:pos="400" w:val="left"/>
        </w:tabs>
        <w:numPr>
          <w:ilvl w:val="0"/>
          <w:numId w:val="187"/>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is the number of Common Shares outstanding immediately prior to such subdivision or combination.</w:t>
      </w:r>
    </w:p>
    <w:p>
      <w:pPr>
        <w:spacing w:after="0" w:line="316" w:lineRule="exact"/>
        <w:rPr>
          <w:sz w:val="20"/>
          <w:szCs w:val="20"/>
          <w:color w:val="auto"/>
        </w:rPr>
      </w:pPr>
    </w:p>
    <w:p>
      <w:pPr>
        <w:ind w:right="20" w:firstLine="8"/>
        <w:spacing w:after="0" w:line="409" w:lineRule="auto"/>
        <w:tabs>
          <w:tab w:leader="none" w:pos="373" w:val="left"/>
        </w:tabs>
        <w:numPr>
          <w:ilvl w:val="0"/>
          <w:numId w:val="188"/>
        </w:numPr>
        <w:rPr>
          <w:rFonts w:ascii="Arial" w:cs="Arial" w:eastAsia="Arial" w:hAnsi="Arial"/>
          <w:sz w:val="16"/>
          <w:szCs w:val="16"/>
          <w:color w:val="EE2724"/>
          <w:strike w:val="1"/>
        </w:rPr>
      </w:pPr>
      <w:r>
        <w:rPr>
          <w:rFonts w:ascii="Arial" w:cs="Arial" w:eastAsia="Arial" w:hAnsi="Arial"/>
          <w:sz w:val="16"/>
          <w:szCs w:val="16"/>
          <w:color w:val="EE2724"/>
          <w:strike w:val="1"/>
        </w:rPr>
        <w:t>Any adjustment made pursuant to this Article 27.1.9(c) shall become effective immediately after 5:00 p.m., New York City time, on the effective date of such subdivision or combination.</w:t>
      </w:r>
    </w:p>
    <w:p>
      <w:pPr>
        <w:spacing w:after="0" w:line="156" w:lineRule="exact"/>
        <w:rPr>
          <w:sz w:val="20"/>
          <w:szCs w:val="20"/>
          <w:color w:val="auto"/>
        </w:rPr>
      </w:pPr>
    </w:p>
    <w:p>
      <w:pPr>
        <w:ind w:left="380" w:hanging="372"/>
        <w:spacing w:after="0"/>
        <w:tabs>
          <w:tab w:leader="none" w:pos="380" w:val="left"/>
        </w:tabs>
        <w:numPr>
          <w:ilvl w:val="0"/>
          <w:numId w:val="189"/>
        </w:numPr>
        <w:rPr>
          <w:rFonts w:ascii="Arial" w:cs="Arial" w:eastAsia="Arial" w:hAnsi="Arial"/>
          <w:sz w:val="16"/>
          <w:szCs w:val="16"/>
          <w:color w:val="EE2724"/>
          <w:strike w:val="1"/>
        </w:rPr>
      </w:pPr>
      <w:r>
        <w:rPr>
          <w:rFonts w:ascii="Arial" w:cs="Arial" w:eastAsia="Arial" w:hAnsi="Arial"/>
          <w:sz w:val="16"/>
          <w:szCs w:val="16"/>
          <w:color w:val="EE2724"/>
          <w:strike w:val="1"/>
        </w:rPr>
        <w:t>Debt or Asset Distribution</w:t>
      </w:r>
    </w:p>
    <w:p>
      <w:pPr>
        <w:spacing w:after="0" w:line="316" w:lineRule="exact"/>
        <w:rPr>
          <w:sz w:val="20"/>
          <w:szCs w:val="20"/>
          <w:color w:val="auto"/>
        </w:rPr>
      </w:pPr>
    </w:p>
    <w:p>
      <w:pPr>
        <w:jc w:val="both"/>
        <w:ind w:firstLine="8"/>
        <w:spacing w:after="0" w:line="375" w:lineRule="auto"/>
        <w:tabs>
          <w:tab w:leader="none" w:pos="338" w:val="left"/>
        </w:tabs>
        <w:numPr>
          <w:ilvl w:val="0"/>
          <w:numId w:val="190"/>
        </w:numPr>
        <w:rPr>
          <w:rFonts w:ascii="Arial" w:cs="Arial" w:eastAsia="Arial" w:hAnsi="Arial"/>
          <w:sz w:val="16"/>
          <w:szCs w:val="16"/>
          <w:color w:val="EE2724"/>
          <w:strike w:val="1"/>
        </w:rPr>
      </w:pPr>
      <w:r>
        <w:rPr>
          <w:rFonts w:ascii="Arial" w:cs="Arial" w:eastAsia="Arial" w:hAnsi="Arial"/>
          <w:sz w:val="16"/>
          <w:szCs w:val="16"/>
          <w:color w:val="EE2724"/>
          <w:strike w:val="1"/>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 (3)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183" w:lineRule="exact"/>
        <w:rPr>
          <w:sz w:val="20"/>
          <w:szCs w:val="20"/>
          <w:color w:val="auto"/>
        </w:rPr>
      </w:pPr>
    </w:p>
    <w:p>
      <w:pPr>
        <w:ind w:left="400" w:hanging="392"/>
        <w:spacing w:after="0"/>
        <w:tabs>
          <w:tab w:leader="none" w:pos="400" w:val="left"/>
        </w:tabs>
        <w:numPr>
          <w:ilvl w:val="0"/>
          <w:numId w:val="191"/>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is the Current Market Price;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6"/>
          <w:szCs w:val="16"/>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8"/>
        <w:spacing w:after="0" w:line="392" w:lineRule="auto"/>
        <w:tabs>
          <w:tab w:leader="none" w:pos="405" w:val="left"/>
        </w:tabs>
        <w:numPr>
          <w:ilvl w:val="0"/>
          <w:numId w:val="192"/>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spacing w:after="0" w:line="168" w:lineRule="exact"/>
        <w:rPr>
          <w:sz w:val="20"/>
          <w:szCs w:val="20"/>
          <w:color w:val="auto"/>
        </w:rPr>
      </w:pPr>
    </w:p>
    <w:p>
      <w:pPr>
        <w:ind w:firstLine="8"/>
        <w:spacing w:after="0" w:line="409" w:lineRule="auto"/>
        <w:tabs>
          <w:tab w:leader="none" w:pos="377" w:val="left"/>
        </w:tabs>
        <w:numPr>
          <w:ilvl w:val="0"/>
          <w:numId w:val="193"/>
        </w:numPr>
        <w:rPr>
          <w:rFonts w:ascii="Arial" w:cs="Arial" w:eastAsia="Arial" w:hAnsi="Arial"/>
          <w:sz w:val="16"/>
          <w:szCs w:val="16"/>
          <w:color w:val="EE2724"/>
          <w:strike w:val="1"/>
        </w:rPr>
      </w:pPr>
      <w:r>
        <w:rPr>
          <w:rFonts w:ascii="Arial" w:cs="Arial" w:eastAsia="Arial" w:hAnsi="Arial"/>
          <w:sz w:val="16"/>
          <w:szCs w:val="16"/>
          <w:color w:val="EE2724"/>
          <w:strike w:val="1"/>
        </w:rPr>
        <w:t>In the case of a Spin-Off, the Conversion Rate in effect at 5:00 p.m., New York City time, on the date fixed for the determination of holders of Common Shares entitled to receive such distribution shall be multiplied by a fraction:</w:t>
      </w:r>
    </w:p>
    <w:p>
      <w:pPr>
        <w:spacing w:after="0" w:line="156" w:lineRule="exact"/>
        <w:rPr>
          <w:sz w:val="20"/>
          <w:szCs w:val="20"/>
          <w:color w:val="auto"/>
        </w:rPr>
      </w:pPr>
    </w:p>
    <w:p>
      <w:pPr>
        <w:jc w:val="both"/>
        <w:ind w:firstLine="8"/>
        <w:spacing w:after="0" w:line="389" w:lineRule="auto"/>
        <w:tabs>
          <w:tab w:leader="none" w:pos="457" w:val="left"/>
        </w:tabs>
        <w:numPr>
          <w:ilvl w:val="0"/>
          <w:numId w:val="194"/>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is the sum of the Current Market Price of the Common Shares and the Fair Market Value of the portion of those shares or similar equity interests so distributed that is applicable to one Common Share as of the 15th Trading Day after the effective date for such distribution (or, if such shares or equity interests are listed on a U.S. national or regional securities exchange, the Current Market Price of such securities); and</w:t>
      </w:r>
    </w:p>
    <w:p>
      <w:pPr>
        <w:spacing w:after="0" w:line="171" w:lineRule="exact"/>
        <w:rPr>
          <w:rFonts w:ascii="Arial" w:cs="Arial" w:eastAsia="Arial" w:hAnsi="Arial"/>
          <w:sz w:val="16"/>
          <w:szCs w:val="16"/>
          <w:color w:val="EE2724"/>
          <w:strike w:val="1"/>
        </w:rPr>
      </w:pPr>
    </w:p>
    <w:p>
      <w:pPr>
        <w:ind w:left="400" w:hanging="392"/>
        <w:spacing w:after="0"/>
        <w:tabs>
          <w:tab w:leader="none" w:pos="400" w:val="left"/>
        </w:tabs>
        <w:numPr>
          <w:ilvl w:val="0"/>
          <w:numId w:val="194"/>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is the Current Market Price of the Common Shares.</w:t>
      </w:r>
    </w:p>
    <w:p>
      <w:pPr>
        <w:spacing w:after="0" w:line="316" w:lineRule="exact"/>
        <w:rPr>
          <w:sz w:val="20"/>
          <w:szCs w:val="20"/>
          <w:color w:val="auto"/>
        </w:rPr>
      </w:pPr>
    </w:p>
    <w:p>
      <w:pPr>
        <w:jc w:val="both"/>
        <w:ind w:firstLine="8"/>
        <w:spacing w:after="0" w:line="373" w:lineRule="auto"/>
        <w:tabs>
          <w:tab w:leader="none" w:pos="393" w:val="left"/>
        </w:tabs>
        <w:numPr>
          <w:ilvl w:val="0"/>
          <w:numId w:val="195"/>
        </w:numPr>
        <w:rPr>
          <w:rFonts w:ascii="Arial" w:cs="Arial" w:eastAsia="Arial" w:hAnsi="Arial"/>
          <w:sz w:val="16"/>
          <w:szCs w:val="16"/>
          <w:color w:val="EE2724"/>
          <w:strike w:val="1"/>
        </w:rPr>
      </w:pPr>
      <w:r>
        <w:rPr>
          <w:rFonts w:ascii="Arial" w:cs="Arial" w:eastAsia="Arial" w:hAnsi="Arial"/>
          <w:sz w:val="16"/>
          <w:szCs w:val="16"/>
          <w:color w:val="EE2724"/>
          <w:strike w:val="1"/>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185" w:lineRule="exact"/>
        <w:rPr>
          <w:rFonts w:ascii="Arial" w:cs="Arial" w:eastAsia="Arial" w:hAnsi="Arial"/>
          <w:sz w:val="16"/>
          <w:szCs w:val="16"/>
          <w:color w:val="EE2724"/>
          <w:strike w:val="1"/>
        </w:rPr>
      </w:pPr>
    </w:p>
    <w:p>
      <w:pPr>
        <w:jc w:val="both"/>
        <w:ind w:firstLine="8"/>
        <w:spacing w:after="0" w:line="370" w:lineRule="auto"/>
        <w:tabs>
          <w:tab w:leader="none" w:pos="473" w:val="left"/>
        </w:tabs>
        <w:numPr>
          <w:ilvl w:val="0"/>
          <w:numId w:val="195"/>
        </w:numPr>
        <w:rPr>
          <w:rFonts w:ascii="Arial" w:cs="Arial" w:eastAsia="Arial" w:hAnsi="Arial"/>
          <w:sz w:val="16"/>
          <w:szCs w:val="16"/>
          <w:color w:val="EE2724"/>
          <w:strike w:val="1"/>
        </w:rPr>
      </w:pPr>
      <w:r>
        <w:rPr>
          <w:rFonts w:ascii="Arial" w:cs="Arial" w:eastAsia="Arial" w:hAnsi="Arial"/>
          <w:sz w:val="16"/>
          <w:szCs w:val="16"/>
          <w:color w:val="EE2724"/>
          <w:strike w:val="1"/>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(“Trigger Event”):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72" w:lineRule="auto"/>
        <w:rPr>
          <w:sz w:val="20"/>
          <w:szCs w:val="20"/>
          <w:color w:val="auto"/>
        </w:rPr>
      </w:pPr>
      <w:r>
        <w:rPr>
          <w:rFonts w:ascii="Arial" w:cs="Arial" w:eastAsia="Arial" w:hAnsi="Arial"/>
          <w:sz w:val="16"/>
          <w:szCs w:val="16"/>
          <w:color w:val="EE2724"/>
          <w:strike w:val="1"/>
        </w:rPr>
        <w:t>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74" w:lineRule="exact"/>
        <w:rPr>
          <w:sz w:val="20"/>
          <w:szCs w:val="20"/>
          <w:color w:val="auto"/>
        </w:rPr>
      </w:pPr>
    </w:p>
    <w:p>
      <w:pPr>
        <w:ind w:firstLine="8"/>
        <w:spacing w:after="0" w:line="409" w:lineRule="auto"/>
        <w:tabs>
          <w:tab w:leader="none" w:pos="415" w:val="left"/>
        </w:tabs>
        <w:numPr>
          <w:ilvl w:val="0"/>
          <w:numId w:val="196"/>
        </w:numPr>
        <w:rPr>
          <w:rFonts w:ascii="Arial" w:cs="Arial" w:eastAsia="Arial" w:hAnsi="Arial"/>
          <w:sz w:val="16"/>
          <w:szCs w:val="16"/>
          <w:color w:val="EE2724"/>
          <w:strike w:val="1"/>
        </w:rPr>
      </w:pPr>
      <w:r>
        <w:rPr>
          <w:rFonts w:ascii="Arial" w:cs="Arial" w:eastAsia="Arial" w:hAnsi="Arial"/>
          <w:sz w:val="16"/>
          <w:szCs w:val="16"/>
          <w:color w:val="EE2724"/>
          <w:strike w:val="1"/>
        </w:rPr>
        <w:t>For purposes of Article 27.1.9(a), Article 27.1.9(b) and this Article 27.1.9(d), if any dividend or distribution to which this Article 27.1.9(d) is applicable includes one or both of:</w:t>
      </w:r>
    </w:p>
    <w:p>
      <w:pPr>
        <w:spacing w:after="0" w:line="156" w:lineRule="exact"/>
        <w:rPr>
          <w:sz w:val="20"/>
          <w:szCs w:val="20"/>
          <w:color w:val="auto"/>
        </w:rPr>
      </w:pPr>
    </w:p>
    <w:p>
      <w:pPr>
        <w:ind w:left="400" w:hanging="392"/>
        <w:spacing w:after="0"/>
        <w:tabs>
          <w:tab w:leader="none" w:pos="400" w:val="left"/>
        </w:tabs>
        <w:numPr>
          <w:ilvl w:val="0"/>
          <w:numId w:val="197"/>
        </w:numPr>
        <w:rPr>
          <w:rFonts w:ascii="Arial" w:cs="Arial" w:eastAsia="Arial" w:hAnsi="Arial"/>
          <w:sz w:val="16"/>
          <w:szCs w:val="16"/>
          <w:color w:val="EE2724"/>
          <w:strike w:val="1"/>
        </w:rPr>
      </w:pPr>
      <w:r>
        <w:rPr>
          <w:rFonts w:ascii="Arial" w:cs="Arial" w:eastAsia="Arial" w:hAnsi="Arial"/>
          <w:sz w:val="16"/>
          <w:szCs w:val="16"/>
          <w:color w:val="EE2724"/>
          <w:strike w:val="1"/>
        </w:rPr>
        <w:t>a dividend or distribution of Common Shares to which Article 27.1.9(a) is applicable (the “Article 27.1.9(a) Distribution”); or</w:t>
      </w:r>
    </w:p>
    <w:p>
      <w:pPr>
        <w:spacing w:after="0" w:line="315" w:lineRule="exact"/>
        <w:rPr>
          <w:rFonts w:ascii="Arial" w:cs="Arial" w:eastAsia="Arial" w:hAnsi="Arial"/>
          <w:sz w:val="16"/>
          <w:szCs w:val="16"/>
          <w:color w:val="EE2724"/>
          <w:strike w:val="1"/>
        </w:rPr>
      </w:pPr>
    </w:p>
    <w:p>
      <w:pPr>
        <w:ind w:left="400" w:hanging="392"/>
        <w:spacing w:after="0"/>
        <w:tabs>
          <w:tab w:leader="none" w:pos="400" w:val="left"/>
        </w:tabs>
        <w:numPr>
          <w:ilvl w:val="0"/>
          <w:numId w:val="197"/>
        </w:numPr>
        <w:rPr>
          <w:rFonts w:ascii="Arial" w:cs="Arial" w:eastAsia="Arial" w:hAnsi="Arial"/>
          <w:sz w:val="16"/>
          <w:szCs w:val="16"/>
          <w:color w:val="EE2724"/>
          <w:strike w:val="1"/>
        </w:rPr>
      </w:pPr>
      <w:r>
        <w:rPr>
          <w:rFonts w:ascii="Arial" w:cs="Arial" w:eastAsia="Arial" w:hAnsi="Arial"/>
          <w:sz w:val="16"/>
          <w:szCs w:val="16"/>
          <w:color w:val="EE2724"/>
          <w:strike w:val="1"/>
        </w:rPr>
        <w:t>an issuance of rights or warrants to which Article 27.1.9(b) is applicable (the “Article 27.1.9(b) Distribution”), then</w:t>
      </w:r>
    </w:p>
    <w:p>
      <w:pPr>
        <w:spacing w:after="0" w:line="316" w:lineRule="exact"/>
        <w:rPr>
          <w:sz w:val="20"/>
          <w:szCs w:val="20"/>
          <w:color w:val="auto"/>
        </w:rPr>
      </w:pPr>
    </w:p>
    <w:p>
      <w:pPr>
        <w:jc w:val="both"/>
        <w:ind w:firstLine="8"/>
        <w:spacing w:after="0" w:line="389" w:lineRule="auto"/>
        <w:tabs>
          <w:tab w:leader="none" w:pos="419" w:val="left"/>
        </w:tabs>
        <w:numPr>
          <w:ilvl w:val="0"/>
          <w:numId w:val="198"/>
        </w:numPr>
        <w:rPr>
          <w:rFonts w:ascii="Arial" w:cs="Arial" w:eastAsia="Arial" w:hAnsi="Arial"/>
          <w:sz w:val="16"/>
          <w:szCs w:val="16"/>
          <w:color w:val="EE2724"/>
          <w:strike w:val="1"/>
        </w:rPr>
      </w:pPr>
      <w:r>
        <w:rPr>
          <w:rFonts w:ascii="Arial" w:cs="Arial" w:eastAsia="Arial" w:hAnsi="Arial"/>
          <w:sz w:val="16"/>
          <w:szCs w:val="16"/>
          <w:color w:val="EE2724"/>
          <w:strike w:val="1"/>
        </w:rPr>
        <w:t>such dividend or distribution, other than the Article 27.1.9(a) Distribution, if any, and the Article 27.1.9(b) Distribution, if any, shall be deemed to be a dividend or distribution to which this Article 27.1.9(d) is applicable (the “Article 27.1.9(d) Distribution”) and any Conversion Rate adjustment required by this Article 27.1.9(d) with respect to such Article 27.1.9(d) Distribution shall then be made; and</w:t>
      </w:r>
    </w:p>
    <w:p>
      <w:pPr>
        <w:spacing w:after="0" w:line="171" w:lineRule="exact"/>
        <w:rPr>
          <w:rFonts w:ascii="Arial" w:cs="Arial" w:eastAsia="Arial" w:hAnsi="Arial"/>
          <w:sz w:val="16"/>
          <w:szCs w:val="16"/>
          <w:color w:val="EE2724"/>
          <w:strike w:val="1"/>
        </w:rPr>
      </w:pPr>
    </w:p>
    <w:p>
      <w:pPr>
        <w:jc w:val="both"/>
        <w:ind w:firstLine="8"/>
        <w:spacing w:after="0" w:line="380" w:lineRule="auto"/>
        <w:tabs>
          <w:tab w:leader="none" w:pos="395" w:val="left"/>
        </w:tabs>
        <w:numPr>
          <w:ilvl w:val="0"/>
          <w:numId w:val="198"/>
        </w:numPr>
        <w:rPr>
          <w:rFonts w:ascii="Arial" w:cs="Arial" w:eastAsia="Arial" w:hAnsi="Arial"/>
          <w:sz w:val="16"/>
          <w:szCs w:val="16"/>
          <w:color w:val="EE2724"/>
          <w:strike w:val="1"/>
        </w:rPr>
      </w:pPr>
      <w:r>
        <w:rPr>
          <w:rFonts w:ascii="Arial" w:cs="Arial" w:eastAsia="Arial" w:hAnsi="Arial"/>
          <w:sz w:val="16"/>
          <w:szCs w:val="16"/>
          <w:color w:val="EE2724"/>
          <w:strike w:val="1"/>
        </w:rPr>
        <w:t>the Article 27.1.9(a) Distribution, if any, and Article 27.1.9(b) Distribution, if any, shall be deemed to immediately follow the Article 27.1.9(d) Distribution and any Conversion Rate adjustment required by Article 27.1.9(a) and Article 27.1.9(b) with respect thereto shall then be made, except that, if determined by the Company:</w:t>
      </w:r>
    </w:p>
    <w:p>
      <w:pPr>
        <w:spacing w:after="0" w:line="179" w:lineRule="exact"/>
        <w:rPr>
          <w:sz w:val="20"/>
          <w:szCs w:val="20"/>
          <w:color w:val="auto"/>
        </w:rPr>
      </w:pPr>
    </w:p>
    <w:p>
      <w:pPr>
        <w:ind w:firstLine="8"/>
        <w:spacing w:after="0" w:line="409" w:lineRule="auto"/>
        <w:tabs>
          <w:tab w:leader="none" w:pos="380" w:val="left"/>
        </w:tabs>
        <w:numPr>
          <w:ilvl w:val="0"/>
          <w:numId w:val="199"/>
        </w:numPr>
        <w:rPr>
          <w:rFonts w:ascii="Arial" w:cs="Arial" w:eastAsia="Arial" w:hAnsi="Arial"/>
          <w:sz w:val="16"/>
          <w:szCs w:val="16"/>
          <w:color w:val="EE2724"/>
          <w:strike w:val="1"/>
        </w:rPr>
      </w:pPr>
      <w:r>
        <w:rPr>
          <w:rFonts w:ascii="Arial" w:cs="Arial" w:eastAsia="Arial" w:hAnsi="Arial"/>
          <w:sz w:val="16"/>
          <w:szCs w:val="16"/>
          <w:color w:val="EE2724"/>
          <w:strike w:val="1"/>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156" w:lineRule="exact"/>
        <w:rPr>
          <w:sz w:val="20"/>
          <w:szCs w:val="20"/>
          <w:color w:val="auto"/>
        </w:rPr>
      </w:pPr>
    </w:p>
    <w:p>
      <w:pPr>
        <w:ind w:firstLine="8"/>
        <w:spacing w:after="0" w:line="409" w:lineRule="auto"/>
        <w:tabs>
          <w:tab w:leader="none" w:pos="399" w:val="left"/>
        </w:tabs>
        <w:numPr>
          <w:ilvl w:val="0"/>
          <w:numId w:val="200"/>
        </w:numPr>
        <w:rPr>
          <w:rFonts w:ascii="Arial" w:cs="Arial" w:eastAsia="Arial" w:hAnsi="Arial"/>
          <w:sz w:val="16"/>
          <w:szCs w:val="16"/>
          <w:color w:val="EE2724"/>
          <w:strike w:val="1"/>
        </w:rPr>
      </w:pPr>
      <w:r>
        <w:rPr>
          <w:rFonts w:ascii="Arial" w:cs="Arial" w:eastAsia="Arial" w:hAnsi="Arial"/>
          <w:sz w:val="16"/>
          <w:szCs w:val="16"/>
          <w:color w:val="EE2724"/>
          <w:strike w:val="1"/>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156" w:lineRule="exact"/>
        <w:rPr>
          <w:sz w:val="20"/>
          <w:szCs w:val="20"/>
          <w:color w:val="auto"/>
        </w:rPr>
      </w:pPr>
    </w:p>
    <w:p>
      <w:pPr>
        <w:ind w:left="380" w:hanging="372"/>
        <w:spacing w:after="0"/>
        <w:tabs>
          <w:tab w:leader="none" w:pos="380" w:val="left"/>
        </w:tabs>
        <w:numPr>
          <w:ilvl w:val="0"/>
          <w:numId w:val="201"/>
        </w:numPr>
        <w:rPr>
          <w:rFonts w:ascii="Arial" w:cs="Arial" w:eastAsia="Arial" w:hAnsi="Arial"/>
          <w:sz w:val="16"/>
          <w:szCs w:val="16"/>
          <w:color w:val="EE2724"/>
          <w:strike w:val="1"/>
        </w:rPr>
      </w:pPr>
      <w:r>
        <w:rPr>
          <w:rFonts w:ascii="Arial" w:cs="Arial" w:eastAsia="Arial" w:hAnsi="Arial"/>
          <w:sz w:val="16"/>
          <w:szCs w:val="16"/>
          <w:color w:val="EE2724"/>
          <w:strike w:val="1"/>
        </w:rPr>
        <w:t>Cash Distributions</w:t>
      </w:r>
    </w:p>
    <w:p>
      <w:pPr>
        <w:spacing w:after="0" w:line="316" w:lineRule="exact"/>
        <w:rPr>
          <w:sz w:val="20"/>
          <w:szCs w:val="20"/>
          <w:color w:val="auto"/>
        </w:rPr>
      </w:pPr>
    </w:p>
    <w:p>
      <w:pPr>
        <w:jc w:val="both"/>
        <w:ind w:firstLine="8"/>
        <w:spacing w:after="0" w:line="380" w:lineRule="auto"/>
        <w:tabs>
          <w:tab w:leader="none" w:pos="353" w:val="left"/>
        </w:tabs>
        <w:numPr>
          <w:ilvl w:val="0"/>
          <w:numId w:val="202"/>
        </w:numPr>
        <w:rPr>
          <w:rFonts w:ascii="Arial" w:cs="Arial" w:eastAsia="Arial" w:hAnsi="Arial"/>
          <w:sz w:val="16"/>
          <w:szCs w:val="16"/>
          <w:color w:val="EE2724"/>
          <w:strike w:val="1"/>
        </w:rPr>
      </w:pPr>
      <w:r>
        <w:rPr>
          <w:rFonts w:ascii="Arial" w:cs="Arial" w:eastAsia="Arial" w:hAnsi="Arial"/>
          <w:sz w:val="16"/>
          <w:szCs w:val="16"/>
          <w:color w:val="EE2724"/>
          <w:strike w:val="1"/>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975995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6"/>
          <w:szCs w:val="16"/>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80" w:lineRule="auto"/>
        <w:rPr>
          <w:sz w:val="20"/>
          <w:szCs w:val="20"/>
          <w:color w:val="auto"/>
        </w:rPr>
      </w:pPr>
      <w:r>
        <w:rPr>
          <w:rFonts w:ascii="Arial" w:cs="Arial" w:eastAsia="Arial" w:hAnsi="Arial"/>
          <w:sz w:val="16"/>
          <w:szCs w:val="16"/>
          <w:color w:val="EE2724"/>
          <w:strike w:val="1"/>
        </w:rPr>
        <w:t>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179" w:lineRule="exact"/>
        <w:rPr>
          <w:sz w:val="20"/>
          <w:szCs w:val="20"/>
          <w:color w:val="auto"/>
        </w:rPr>
      </w:pPr>
    </w:p>
    <w:p>
      <w:pPr>
        <w:ind w:left="400" w:hanging="392"/>
        <w:spacing w:after="0"/>
        <w:tabs>
          <w:tab w:leader="none" w:pos="400" w:val="left"/>
        </w:tabs>
        <w:numPr>
          <w:ilvl w:val="0"/>
          <w:numId w:val="203"/>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is the Current Market Price per share of Common Shares; and</w:t>
      </w:r>
    </w:p>
    <w:p>
      <w:pPr>
        <w:spacing w:after="0" w:line="315" w:lineRule="exact"/>
        <w:rPr>
          <w:rFonts w:ascii="Arial" w:cs="Arial" w:eastAsia="Arial" w:hAnsi="Arial"/>
          <w:sz w:val="16"/>
          <w:szCs w:val="16"/>
          <w:color w:val="EE2724"/>
          <w:strike w:val="1"/>
        </w:rPr>
      </w:pPr>
    </w:p>
    <w:p>
      <w:pPr>
        <w:ind w:left="400" w:hanging="392"/>
        <w:spacing w:after="0"/>
        <w:tabs>
          <w:tab w:leader="none" w:pos="400" w:val="left"/>
        </w:tabs>
        <w:numPr>
          <w:ilvl w:val="0"/>
          <w:numId w:val="203"/>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is the Current Market Price per share of Common Shares minus the amount per share of such dividend or other distribution.</w:t>
      </w:r>
    </w:p>
    <w:p>
      <w:pPr>
        <w:spacing w:after="0" w:line="316" w:lineRule="exact"/>
        <w:rPr>
          <w:sz w:val="20"/>
          <w:szCs w:val="20"/>
          <w:color w:val="auto"/>
        </w:rPr>
      </w:pPr>
    </w:p>
    <w:p>
      <w:pPr>
        <w:jc w:val="both"/>
        <w:ind w:firstLine="8"/>
        <w:spacing w:after="0" w:line="375" w:lineRule="auto"/>
        <w:tabs>
          <w:tab w:leader="none" w:pos="363" w:val="left"/>
        </w:tabs>
        <w:numPr>
          <w:ilvl w:val="0"/>
          <w:numId w:val="204"/>
        </w:numPr>
        <w:rPr>
          <w:rFonts w:ascii="Arial" w:cs="Arial" w:eastAsia="Arial" w:hAnsi="Arial"/>
          <w:sz w:val="16"/>
          <w:szCs w:val="16"/>
          <w:color w:val="EE2724"/>
          <w:strike w:val="1"/>
        </w:rPr>
      </w:pPr>
      <w:r>
        <w:rPr>
          <w:rFonts w:ascii="Arial" w:cs="Arial" w:eastAsia="Arial" w:hAnsi="Arial"/>
          <w:sz w:val="16"/>
          <w:szCs w:val="16"/>
          <w:color w:val="EE2724"/>
          <w:strike w:val="1"/>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183"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6"/>
          <w:szCs w:val="16"/>
          <w:color w:val="EE2724"/>
          <w:strike w:val="1"/>
        </w:rPr>
      </w:pPr>
      <w:r>
        <w:rPr>
          <w:rFonts w:ascii="Arial" w:cs="Arial" w:eastAsia="Arial" w:hAnsi="Arial"/>
          <w:sz w:val="16"/>
          <w:szCs w:val="16"/>
          <w:color w:val="EE2724"/>
          <w:strike w:val="1"/>
        </w:rPr>
        <w:t>Self Tender Offers and Exchange Offers</w:t>
      </w:r>
    </w:p>
    <w:p>
      <w:pPr>
        <w:spacing w:after="0" w:line="316" w:lineRule="exact"/>
        <w:rPr>
          <w:sz w:val="20"/>
          <w:szCs w:val="20"/>
          <w:color w:val="auto"/>
        </w:rPr>
      </w:pPr>
    </w:p>
    <w:p>
      <w:pPr>
        <w:jc w:val="both"/>
        <w:ind w:firstLine="8"/>
        <w:spacing w:after="0" w:line="383" w:lineRule="auto"/>
        <w:tabs>
          <w:tab w:leader="none" w:pos="430" w:val="left"/>
        </w:tabs>
        <w:numPr>
          <w:ilvl w:val="0"/>
          <w:numId w:val="206"/>
        </w:numPr>
        <w:rPr>
          <w:rFonts w:ascii="Arial" w:cs="Arial" w:eastAsia="Arial" w:hAnsi="Arial"/>
          <w:sz w:val="16"/>
          <w:szCs w:val="16"/>
          <w:color w:val="EE2724"/>
          <w:strike w:val="1"/>
        </w:rPr>
      </w:pPr>
      <w:r>
        <w:rPr>
          <w:rFonts w:ascii="Arial" w:cs="Arial" w:eastAsia="Arial" w:hAnsi="Arial"/>
          <w:sz w:val="16"/>
          <w:szCs w:val="16"/>
          <w:color w:val="EE2724"/>
          <w:strike w:val="1"/>
        </w:rPr>
        <w:t>If the Company or any subsidiary of the Company successfully completes a tender or exchange offer pursuant to a Schedule TO or registration statement on Form S-4 (or any successor form) for 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“Expiration Date”) shall be multiplied by a fraction:</w:t>
      </w:r>
    </w:p>
    <w:p>
      <w:pPr>
        <w:spacing w:after="0" w:line="176" w:lineRule="exact"/>
        <w:rPr>
          <w:sz w:val="20"/>
          <w:szCs w:val="20"/>
          <w:color w:val="auto"/>
        </w:rPr>
      </w:pPr>
    </w:p>
    <w:p>
      <w:pPr>
        <w:ind w:left="400" w:hanging="392"/>
        <w:spacing w:after="0"/>
        <w:tabs>
          <w:tab w:leader="none" w:pos="400" w:val="left"/>
        </w:tabs>
        <w:numPr>
          <w:ilvl w:val="0"/>
          <w:numId w:val="207"/>
        </w:numPr>
        <w:rPr>
          <w:rFonts w:ascii="Arial" w:cs="Arial" w:eastAsia="Arial" w:hAnsi="Arial"/>
          <w:sz w:val="16"/>
          <w:szCs w:val="16"/>
          <w:color w:val="EE2724"/>
          <w:strike w:val="1"/>
        </w:rPr>
      </w:pPr>
      <w:r>
        <w:rPr>
          <w:rFonts w:ascii="Arial" w:cs="Arial" w:eastAsia="Arial" w:hAnsi="Arial"/>
          <w:sz w:val="16"/>
          <w:szCs w:val="16"/>
          <w:color w:val="EE2724"/>
          <w:strike w:val="1"/>
        </w:rPr>
        <w:t>the numerator of which shall be equal to the sum of:</w:t>
      </w:r>
    </w:p>
    <w:p>
      <w:pPr>
        <w:spacing w:after="0" w:line="316" w:lineRule="exact"/>
        <w:rPr>
          <w:sz w:val="20"/>
          <w:szCs w:val="20"/>
          <w:color w:val="auto"/>
        </w:rPr>
      </w:pPr>
    </w:p>
    <w:p>
      <w:pPr>
        <w:ind w:firstLine="8"/>
        <w:spacing w:after="0" w:line="392" w:lineRule="auto"/>
        <w:tabs>
          <w:tab w:leader="none" w:pos="418" w:val="left"/>
        </w:tabs>
        <w:numPr>
          <w:ilvl w:val="0"/>
          <w:numId w:val="208"/>
        </w:numPr>
        <w:rPr>
          <w:rFonts w:ascii="Arial" w:cs="Arial" w:eastAsia="Arial" w:hAnsi="Arial"/>
          <w:sz w:val="16"/>
          <w:szCs w:val="16"/>
          <w:color w:val="EE2724"/>
          <w:strike w:val="1"/>
        </w:rPr>
      </w:pPr>
      <w:r>
        <w:rPr>
          <w:rFonts w:ascii="Arial" w:cs="Arial" w:eastAsia="Arial" w:hAnsi="Arial"/>
          <w:sz w:val="16"/>
          <w:szCs w:val="16"/>
          <w:color w:val="EE2724"/>
          <w:strike w:val="1"/>
        </w:rPr>
        <w:t>the aggregate cash and Fair Market Value on the Expiration Date of any other consideration paid or payable for Common Shares purchased in such tender or exchange offer; and</w:t>
      </w:r>
    </w:p>
    <w:p>
      <w:pPr>
        <w:spacing w:after="0" w:line="168" w:lineRule="exact"/>
        <w:rPr>
          <w:rFonts w:ascii="Arial" w:cs="Arial" w:eastAsia="Arial" w:hAnsi="Arial"/>
          <w:sz w:val="16"/>
          <w:szCs w:val="16"/>
          <w:color w:val="EE2724"/>
          <w:strike w:val="1"/>
        </w:rPr>
      </w:pPr>
    </w:p>
    <w:p>
      <w:pPr>
        <w:ind w:firstLine="8"/>
        <w:spacing w:after="0" w:line="409" w:lineRule="auto"/>
        <w:tabs>
          <w:tab w:leader="none" w:pos="397" w:val="left"/>
        </w:tabs>
        <w:numPr>
          <w:ilvl w:val="0"/>
          <w:numId w:val="208"/>
        </w:numPr>
        <w:rPr>
          <w:rFonts w:ascii="Arial" w:cs="Arial" w:eastAsia="Arial" w:hAnsi="Arial"/>
          <w:sz w:val="16"/>
          <w:szCs w:val="16"/>
          <w:color w:val="EE2724"/>
          <w:strike w:val="1"/>
        </w:rPr>
      </w:pPr>
      <w:r>
        <w:rPr>
          <w:rFonts w:ascii="Arial" w:cs="Arial" w:eastAsia="Arial" w:hAnsi="Arial"/>
          <w:sz w:val="16"/>
          <w:szCs w:val="16"/>
          <w:color w:val="EE2724"/>
          <w:strike w:val="1"/>
        </w:rPr>
        <w:t>the product of (x) the Current Market Price and (y) the number of Common Shares outstanding at the time such tender or exchange offer expires, less any purchased shares; and</w:t>
      </w:r>
    </w:p>
    <w:p>
      <w:pPr>
        <w:spacing w:after="0" w:line="156" w:lineRule="exact"/>
        <w:rPr>
          <w:sz w:val="20"/>
          <w:szCs w:val="20"/>
          <w:color w:val="auto"/>
        </w:rPr>
      </w:pPr>
    </w:p>
    <w:p>
      <w:pPr>
        <w:ind w:left="400" w:hanging="392"/>
        <w:spacing w:after="0"/>
        <w:tabs>
          <w:tab w:leader="none" w:pos="400" w:val="left"/>
        </w:tabs>
        <w:numPr>
          <w:ilvl w:val="0"/>
          <w:numId w:val="209"/>
        </w:numPr>
        <w:rPr>
          <w:rFonts w:ascii="Arial" w:cs="Arial" w:eastAsia="Arial" w:hAnsi="Arial"/>
          <w:sz w:val="16"/>
          <w:szCs w:val="16"/>
          <w:color w:val="EE2724"/>
          <w:strike w:val="1"/>
        </w:rPr>
      </w:pPr>
      <w:r>
        <w:rPr>
          <w:rFonts w:ascii="Arial" w:cs="Arial" w:eastAsia="Arial" w:hAnsi="Arial"/>
          <w:sz w:val="16"/>
          <w:szCs w:val="16"/>
          <w:color w:val="EE2724"/>
          <w:strike w:val="1"/>
        </w:rPr>
        <w:t>the denominator of which shall be equal to the product of:</w:t>
      </w:r>
    </w:p>
    <w:p>
      <w:pPr>
        <w:spacing w:after="0" w:line="316" w:lineRule="exact"/>
        <w:rPr>
          <w:sz w:val="20"/>
          <w:szCs w:val="20"/>
          <w:color w:val="auto"/>
        </w:rPr>
      </w:pPr>
    </w:p>
    <w:p>
      <w:pPr>
        <w:ind w:left="380" w:hanging="372"/>
        <w:spacing w:after="0"/>
        <w:tabs>
          <w:tab w:leader="none" w:pos="380" w:val="left"/>
        </w:tabs>
        <w:numPr>
          <w:ilvl w:val="0"/>
          <w:numId w:val="210"/>
        </w:numPr>
        <w:rPr>
          <w:rFonts w:ascii="Arial" w:cs="Arial" w:eastAsia="Arial" w:hAnsi="Arial"/>
          <w:sz w:val="16"/>
          <w:szCs w:val="16"/>
          <w:color w:val="EE2724"/>
          <w:strike w:val="1"/>
        </w:rPr>
      </w:pPr>
      <w:r>
        <w:rPr>
          <w:rFonts w:ascii="Arial" w:cs="Arial" w:eastAsia="Arial" w:hAnsi="Arial"/>
          <w:sz w:val="16"/>
          <w:szCs w:val="16"/>
          <w:color w:val="EE2724"/>
          <w:strike w:val="1"/>
        </w:rPr>
        <w:t>the Current Market Price; and</w:t>
      </w:r>
    </w:p>
    <w:p>
      <w:pPr>
        <w:spacing w:after="0" w:line="315" w:lineRule="exact"/>
        <w:rPr>
          <w:rFonts w:ascii="Arial" w:cs="Arial" w:eastAsia="Arial" w:hAnsi="Arial"/>
          <w:sz w:val="16"/>
          <w:szCs w:val="16"/>
          <w:color w:val="EE2724"/>
          <w:strike w:val="1"/>
        </w:rPr>
      </w:pPr>
    </w:p>
    <w:p>
      <w:pPr>
        <w:ind w:left="380" w:hanging="372"/>
        <w:spacing w:after="0"/>
        <w:tabs>
          <w:tab w:leader="none" w:pos="380" w:val="left"/>
        </w:tabs>
        <w:numPr>
          <w:ilvl w:val="0"/>
          <w:numId w:val="210"/>
        </w:numPr>
        <w:rPr>
          <w:rFonts w:ascii="Arial" w:cs="Arial" w:eastAsia="Arial" w:hAnsi="Arial"/>
          <w:sz w:val="16"/>
          <w:szCs w:val="16"/>
          <w:color w:val="EE2724"/>
          <w:strike w:val="1"/>
        </w:rPr>
      </w:pPr>
      <w:r>
        <w:rPr>
          <w:rFonts w:ascii="Arial" w:cs="Arial" w:eastAsia="Arial" w:hAnsi="Arial"/>
          <w:sz w:val="16"/>
          <w:szCs w:val="16"/>
          <w:color w:val="EE2724"/>
          <w:strike w:val="1"/>
        </w:rPr>
        <w:t>the number of Common Shares outstanding at the time such tender or exchange offer expires, including any purchased shares.</w:t>
      </w:r>
    </w:p>
    <w:p>
      <w:pPr>
        <w:spacing w:after="0" w:line="316" w:lineRule="exact"/>
        <w:rPr>
          <w:sz w:val="20"/>
          <w:szCs w:val="20"/>
          <w:color w:val="auto"/>
        </w:rPr>
      </w:pPr>
    </w:p>
    <w:p>
      <w:pPr>
        <w:ind w:firstLine="8"/>
        <w:spacing w:after="0" w:line="409" w:lineRule="auto"/>
        <w:tabs>
          <w:tab w:leader="none" w:pos="365" w:val="left"/>
        </w:tabs>
        <w:numPr>
          <w:ilvl w:val="0"/>
          <w:numId w:val="211"/>
        </w:numPr>
        <w:rPr>
          <w:rFonts w:ascii="Arial" w:cs="Arial" w:eastAsia="Arial" w:hAnsi="Arial"/>
          <w:sz w:val="16"/>
          <w:szCs w:val="16"/>
          <w:color w:val="EE2724"/>
          <w:strike w:val="1"/>
        </w:rPr>
      </w:pPr>
      <w:r>
        <w:rPr>
          <w:rFonts w:ascii="Arial" w:cs="Arial" w:eastAsia="Arial" w:hAnsi="Arial"/>
          <w:sz w:val="16"/>
          <w:szCs w:val="16"/>
          <w:color w:val="EE2724"/>
          <w:strike w:val="1"/>
        </w:rPr>
        <w:t>Any adjustment made pursuant to this Article 27.1.9(f) shall become effective immediately after 5:00 p.m., New York City time, on the 10th Trading Day immediately following the Expiration Date but will be given effect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73" w:lineRule="auto"/>
        <w:rPr>
          <w:sz w:val="20"/>
          <w:szCs w:val="20"/>
          <w:color w:val="auto"/>
        </w:rPr>
      </w:pPr>
      <w:r>
        <w:rPr>
          <w:rFonts w:ascii="Arial" w:cs="Arial" w:eastAsia="Arial" w:hAnsi="Arial"/>
          <w:sz w:val="16"/>
          <w:szCs w:val="16"/>
          <w:color w:val="EE2724"/>
          <w:strike w:val="1"/>
        </w:rPr>
        <w:t>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183" w:lineRule="exact"/>
        <w:rPr>
          <w:sz w:val="20"/>
          <w:szCs w:val="20"/>
          <w:color w:val="auto"/>
        </w:rPr>
      </w:pPr>
    </w:p>
    <w:p>
      <w:pPr>
        <w:jc w:val="both"/>
        <w:ind w:firstLine="8"/>
        <w:spacing w:after="0" w:line="370" w:lineRule="auto"/>
        <w:tabs>
          <w:tab w:leader="none" w:pos="411" w:val="left"/>
        </w:tabs>
        <w:numPr>
          <w:ilvl w:val="0"/>
          <w:numId w:val="212"/>
        </w:numPr>
        <w:rPr>
          <w:rFonts w:ascii="Arial" w:cs="Arial" w:eastAsia="Arial" w:hAnsi="Arial"/>
          <w:sz w:val="16"/>
          <w:szCs w:val="16"/>
          <w:color w:val="EE2724"/>
          <w:strike w:val="1"/>
        </w:rPr>
      </w:pPr>
      <w:r>
        <w:rPr>
          <w:rFonts w:ascii="Arial" w:cs="Arial" w:eastAsia="Arial" w:hAnsi="Arial"/>
          <w:sz w:val="16"/>
          <w:szCs w:val="16"/>
          <w:color w:val="EE2724"/>
          <w:strike w:val="1"/>
        </w:rPr>
        <w:t>Fair Market Value in Excess of Current Market Price.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187" w:lineRule="exact"/>
        <w:rPr>
          <w:rFonts w:ascii="Arial" w:cs="Arial" w:eastAsia="Arial" w:hAnsi="Arial"/>
          <w:sz w:val="16"/>
          <w:szCs w:val="16"/>
          <w:color w:val="EE2724"/>
          <w:strike w:val="1"/>
        </w:rPr>
      </w:pPr>
    </w:p>
    <w:p>
      <w:pPr>
        <w:jc w:val="both"/>
        <w:ind w:firstLine="8"/>
        <w:spacing w:after="0" w:line="373" w:lineRule="auto"/>
        <w:tabs>
          <w:tab w:leader="none" w:pos="378" w:val="left"/>
        </w:tabs>
        <w:numPr>
          <w:ilvl w:val="0"/>
          <w:numId w:val="212"/>
        </w:numPr>
        <w:rPr>
          <w:rFonts w:ascii="Arial" w:cs="Arial" w:eastAsia="Arial" w:hAnsi="Arial"/>
          <w:sz w:val="16"/>
          <w:szCs w:val="16"/>
          <w:color w:val="EE2724"/>
          <w:strike w:val="1"/>
        </w:rPr>
      </w:pPr>
      <w:r>
        <w:rPr>
          <w:rFonts w:ascii="Arial" w:cs="Arial" w:eastAsia="Arial" w:hAnsi="Arial"/>
          <w:sz w:val="16"/>
          <w:szCs w:val="16"/>
          <w:color w:val="EE2724"/>
          <w:strike w:val="1"/>
        </w:rPr>
        <w:t>Rights Plans. To the extent that the Company has a rights plan in effect with respect to the Common Shares on any Conversion Date, upon Conversion of any Class A Series 1 Preferred Shares, converting 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182" w:lineRule="exact"/>
        <w:rPr>
          <w:rFonts w:ascii="Arial" w:cs="Arial" w:eastAsia="Arial" w:hAnsi="Arial"/>
          <w:sz w:val="16"/>
          <w:szCs w:val="16"/>
          <w:color w:val="EE2724"/>
          <w:strike w:val="1"/>
        </w:rPr>
      </w:pPr>
    </w:p>
    <w:p>
      <w:pPr>
        <w:jc w:val="both"/>
        <w:ind w:firstLine="8"/>
        <w:spacing w:after="0" w:line="389" w:lineRule="auto"/>
        <w:tabs>
          <w:tab w:leader="none" w:pos="322" w:val="left"/>
        </w:tabs>
        <w:numPr>
          <w:ilvl w:val="0"/>
          <w:numId w:val="212"/>
        </w:numPr>
        <w:rPr>
          <w:rFonts w:ascii="Arial" w:cs="Arial" w:eastAsia="Arial" w:hAnsi="Arial"/>
          <w:sz w:val="16"/>
          <w:szCs w:val="16"/>
          <w:color w:val="EE2724"/>
          <w:strike w:val="1"/>
        </w:rPr>
      </w:pPr>
      <w:r>
        <w:rPr>
          <w:rFonts w:ascii="Arial" w:cs="Arial" w:eastAsia="Arial" w:hAnsi="Arial"/>
          <w:sz w:val="16"/>
          <w:szCs w:val="16"/>
          <w:color w:val="EE2724"/>
          <w:strike w:val="1"/>
        </w:rPr>
        <w:t>Adjustment for Tax Reasons.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6"/>
          <w:szCs w:val="16"/>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392" w:lineRule="auto"/>
        <w:rPr>
          <w:sz w:val="20"/>
          <w:szCs w:val="20"/>
          <w:color w:val="auto"/>
        </w:rPr>
      </w:pPr>
      <w:r>
        <w:rPr>
          <w:rFonts w:ascii="Arial" w:cs="Arial" w:eastAsia="Arial" w:hAnsi="Arial"/>
          <w:sz w:val="16"/>
          <w:szCs w:val="16"/>
          <w:color w:val="EE2724"/>
          <w:strike w:val="1"/>
        </w:rPr>
        <w:t>issuance of rights or warrants to acquire Common Shares) or from any event treated as such for income tax purposes or for any other reason; provided that the same proportionate adjustment must be made to the Conversion Rate.</w:t>
      </w:r>
    </w:p>
    <w:p>
      <w:pPr>
        <w:spacing w:after="0" w:line="168" w:lineRule="exact"/>
        <w:rPr>
          <w:sz w:val="20"/>
          <w:szCs w:val="20"/>
          <w:color w:val="auto"/>
        </w:rPr>
      </w:pPr>
    </w:p>
    <w:p>
      <w:pPr>
        <w:ind w:left="340" w:hanging="332"/>
        <w:spacing w:after="0"/>
        <w:tabs>
          <w:tab w:leader="none" w:pos="340" w:val="left"/>
        </w:tabs>
        <w:numPr>
          <w:ilvl w:val="0"/>
          <w:numId w:val="213"/>
        </w:numPr>
        <w:rPr>
          <w:rFonts w:ascii="Arial" w:cs="Arial" w:eastAsia="Arial" w:hAnsi="Arial"/>
          <w:sz w:val="16"/>
          <w:szCs w:val="16"/>
          <w:color w:val="EE2724"/>
          <w:strike w:val="1"/>
        </w:rPr>
      </w:pPr>
      <w:r>
        <w:rPr>
          <w:rFonts w:ascii="Arial" w:cs="Arial" w:eastAsia="Arial" w:hAnsi="Arial"/>
          <w:sz w:val="16"/>
          <w:szCs w:val="16"/>
          <w:color w:val="EE2724"/>
          <w:strike w:val="1"/>
        </w:rPr>
        <w:t>Calculation of Adjustments; Adjustments to Threshold Appreciation Price, Initial Price and Share Price</w:t>
      </w:r>
    </w:p>
    <w:p>
      <w:pPr>
        <w:spacing w:after="0" w:line="316" w:lineRule="exact"/>
        <w:rPr>
          <w:sz w:val="20"/>
          <w:szCs w:val="20"/>
          <w:color w:val="auto"/>
        </w:rPr>
      </w:pPr>
    </w:p>
    <w:p>
      <w:pPr>
        <w:jc w:val="both"/>
        <w:ind w:firstLine="8"/>
        <w:spacing w:after="0" w:line="379" w:lineRule="auto"/>
        <w:tabs>
          <w:tab w:leader="none" w:pos="330" w:val="left"/>
        </w:tabs>
        <w:numPr>
          <w:ilvl w:val="0"/>
          <w:numId w:val="214"/>
        </w:numPr>
        <w:rPr>
          <w:rFonts w:ascii="Arial" w:cs="Arial" w:eastAsia="Arial" w:hAnsi="Arial"/>
          <w:sz w:val="16"/>
          <w:szCs w:val="16"/>
          <w:color w:val="EE2724"/>
          <w:strike w:val="1"/>
        </w:rPr>
      </w:pPr>
      <w:r>
        <w:rPr>
          <w:rFonts w:ascii="Arial" w:cs="Arial" w:eastAsia="Arial" w:hAnsi="Arial"/>
          <w:sz w:val="16"/>
          <w:szCs w:val="16"/>
          <w:color w:val="EE2724"/>
          <w:strike w:val="1"/>
        </w:rPr>
        <w:t>All adjustments to the Conversion Rate shall be calculated to the nearest 1/10,000th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180" w:lineRule="exact"/>
        <w:rPr>
          <w:rFonts w:ascii="Arial" w:cs="Arial" w:eastAsia="Arial" w:hAnsi="Arial"/>
          <w:sz w:val="16"/>
          <w:szCs w:val="16"/>
          <w:color w:val="EE2724"/>
          <w:strike w:val="1"/>
        </w:rPr>
      </w:pPr>
    </w:p>
    <w:p>
      <w:pPr>
        <w:jc w:val="both"/>
        <w:ind w:firstLine="8"/>
        <w:spacing w:after="0" w:line="375" w:lineRule="auto"/>
        <w:tabs>
          <w:tab w:leader="none" w:pos="371" w:val="left"/>
        </w:tabs>
        <w:numPr>
          <w:ilvl w:val="0"/>
          <w:numId w:val="214"/>
        </w:numPr>
        <w:rPr>
          <w:rFonts w:ascii="Arial" w:cs="Arial" w:eastAsia="Arial" w:hAnsi="Arial"/>
          <w:sz w:val="16"/>
          <w:szCs w:val="16"/>
          <w:color w:val="EE2724"/>
          <w:strike w:val="1"/>
        </w:rPr>
      </w:pPr>
      <w:r>
        <w:rPr>
          <w:rFonts w:ascii="Arial" w:cs="Arial" w:eastAsia="Arial" w:hAnsi="Arial"/>
          <w:sz w:val="16"/>
          <w:szCs w:val="16"/>
          <w:color w:val="EE2724"/>
          <w:strike w:val="1"/>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182" w:lineRule="exact"/>
        <w:rPr>
          <w:rFonts w:ascii="Arial" w:cs="Arial" w:eastAsia="Arial" w:hAnsi="Arial"/>
          <w:sz w:val="16"/>
          <w:szCs w:val="16"/>
          <w:color w:val="EE2724"/>
          <w:strike w:val="1"/>
        </w:rPr>
      </w:pPr>
    </w:p>
    <w:p>
      <w:pPr>
        <w:jc w:val="both"/>
        <w:ind w:firstLine="8"/>
        <w:spacing w:after="0" w:line="374" w:lineRule="auto"/>
        <w:tabs>
          <w:tab w:leader="none" w:pos="466" w:val="left"/>
        </w:tabs>
        <w:numPr>
          <w:ilvl w:val="0"/>
          <w:numId w:val="214"/>
        </w:numPr>
        <w:rPr>
          <w:rFonts w:ascii="Arial" w:cs="Arial" w:eastAsia="Arial" w:hAnsi="Arial"/>
          <w:sz w:val="16"/>
          <w:szCs w:val="16"/>
          <w:color w:val="EE2724"/>
          <w:strike w:val="1"/>
        </w:rPr>
      </w:pPr>
      <w:r>
        <w:rPr>
          <w:rFonts w:ascii="Arial" w:cs="Arial" w:eastAsia="Arial" w:hAnsi="Arial"/>
          <w:sz w:val="16"/>
          <w:szCs w:val="16"/>
          <w:color w:val="EE2724"/>
          <w:strike w:val="1"/>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183" w:lineRule="exact"/>
        <w:rPr>
          <w:sz w:val="20"/>
          <w:szCs w:val="20"/>
          <w:color w:val="auto"/>
        </w:rPr>
      </w:pPr>
    </w:p>
    <w:p>
      <w:pPr>
        <w:ind w:right="20" w:firstLine="8"/>
        <w:spacing w:after="0" w:line="409" w:lineRule="auto"/>
        <w:tabs>
          <w:tab w:leader="none" w:pos="404" w:val="left"/>
        </w:tabs>
        <w:numPr>
          <w:ilvl w:val="0"/>
          <w:numId w:val="215"/>
        </w:numPr>
        <w:rPr>
          <w:rFonts w:ascii="Arial" w:cs="Arial" w:eastAsia="Arial" w:hAnsi="Arial"/>
          <w:sz w:val="16"/>
          <w:szCs w:val="16"/>
          <w:color w:val="EE2724"/>
          <w:strike w:val="1"/>
        </w:rPr>
      </w:pPr>
      <w:r>
        <w:rPr>
          <w:rFonts w:ascii="Arial" w:cs="Arial" w:eastAsia="Arial" w:hAnsi="Arial"/>
          <w:sz w:val="16"/>
          <w:szCs w:val="16"/>
          <w:color w:val="EE2724"/>
          <w:strike w:val="1"/>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155" w:lineRule="exact"/>
        <w:rPr>
          <w:rFonts w:ascii="Arial" w:cs="Arial" w:eastAsia="Arial" w:hAnsi="Arial"/>
          <w:sz w:val="16"/>
          <w:szCs w:val="16"/>
          <w:color w:val="EE2724"/>
          <w:strike w:val="1"/>
        </w:rPr>
      </w:pPr>
    </w:p>
    <w:p>
      <w:pPr>
        <w:ind w:firstLine="8"/>
        <w:spacing w:after="0" w:line="409" w:lineRule="auto"/>
        <w:tabs>
          <w:tab w:leader="none" w:pos="478" w:val="left"/>
        </w:tabs>
        <w:numPr>
          <w:ilvl w:val="0"/>
          <w:numId w:val="215"/>
        </w:numPr>
        <w:rPr>
          <w:rFonts w:ascii="Arial" w:cs="Arial" w:eastAsia="Arial" w:hAnsi="Arial"/>
          <w:sz w:val="16"/>
          <w:szCs w:val="16"/>
          <w:color w:val="EE2724"/>
          <w:strike w:val="1"/>
        </w:rPr>
      </w:pPr>
      <w:r>
        <w:rPr>
          <w:rFonts w:ascii="Arial" w:cs="Arial" w:eastAsia="Arial" w:hAnsi="Arial"/>
          <w:sz w:val="16"/>
          <w:szCs w:val="16"/>
          <w:color w:val="EE2724"/>
          <w:strike w:val="1"/>
        </w:rPr>
        <w:t>upon the issuance of any Common Shares or options or rights to purchase those shares pursuant to any present or future employee, director or consultant benefit, compensation or stock purchase plan or program of or assumed by the Company or any of its subsidiaries;</w:t>
      </w:r>
    </w:p>
    <w:p>
      <w:pPr>
        <w:spacing w:after="0" w:line="155" w:lineRule="exact"/>
        <w:rPr>
          <w:rFonts w:ascii="Arial" w:cs="Arial" w:eastAsia="Arial" w:hAnsi="Arial"/>
          <w:sz w:val="16"/>
          <w:szCs w:val="16"/>
          <w:color w:val="EE2724"/>
          <w:strike w:val="1"/>
        </w:rPr>
      </w:pPr>
    </w:p>
    <w:p>
      <w:pPr>
        <w:ind w:firstLine="8"/>
        <w:spacing w:after="0" w:line="409" w:lineRule="auto"/>
        <w:tabs>
          <w:tab w:leader="none" w:pos="409" w:val="left"/>
        </w:tabs>
        <w:numPr>
          <w:ilvl w:val="0"/>
          <w:numId w:val="215"/>
        </w:numPr>
        <w:rPr>
          <w:rFonts w:ascii="Arial" w:cs="Arial" w:eastAsia="Arial" w:hAnsi="Arial"/>
          <w:sz w:val="16"/>
          <w:szCs w:val="16"/>
          <w:color w:val="EE2724"/>
          <w:strike w:val="1"/>
        </w:rPr>
      </w:pPr>
      <w:r>
        <w:rPr>
          <w:rFonts w:ascii="Arial" w:cs="Arial" w:eastAsia="Arial" w:hAnsi="Arial"/>
          <w:sz w:val="16"/>
          <w:szCs w:val="16"/>
          <w:color w:val="EE2724"/>
          <w:strike w:val="1"/>
        </w:rPr>
        <w:t>upon the issuance of any Common Shares pursuant to any option, warrant, right or exercisable, exchangeable or convertible security outstanding as of the Issue Date;</w:t>
      </w:r>
    </w:p>
    <w:p>
      <w:pPr>
        <w:spacing w:after="0" w:line="142" w:lineRule="exact"/>
        <w:rPr>
          <w:rFonts w:ascii="Arial" w:cs="Arial" w:eastAsia="Arial" w:hAnsi="Arial"/>
          <w:sz w:val="16"/>
          <w:szCs w:val="16"/>
          <w:color w:val="EE2724"/>
          <w:strike w:val="1"/>
        </w:rPr>
      </w:pPr>
    </w:p>
    <w:p>
      <w:pPr>
        <w:ind w:left="420" w:hanging="412"/>
        <w:spacing w:after="0"/>
        <w:tabs>
          <w:tab w:leader="none" w:pos="420" w:val="left"/>
        </w:tabs>
        <w:numPr>
          <w:ilvl w:val="0"/>
          <w:numId w:val="215"/>
        </w:numPr>
        <w:rPr>
          <w:rFonts w:ascii="Arial" w:cs="Arial" w:eastAsia="Arial" w:hAnsi="Arial"/>
          <w:sz w:val="16"/>
          <w:szCs w:val="16"/>
          <w:color w:val="EE2724"/>
          <w:strike w:val="1"/>
        </w:rPr>
      </w:pPr>
      <w:r>
        <w:rPr>
          <w:rFonts w:ascii="Arial" w:cs="Arial" w:eastAsia="Arial" w:hAnsi="Arial"/>
          <w:sz w:val="16"/>
          <w:szCs w:val="16"/>
          <w:color w:val="EE2724"/>
          <w:strike w:val="1"/>
        </w:rPr>
        <w:t>for a change in the par value of the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6"/>
          <w:szCs w:val="16"/>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216"/>
        </w:numPr>
        <w:rPr>
          <w:rFonts w:ascii="Arial" w:cs="Arial" w:eastAsia="Arial" w:hAnsi="Arial"/>
          <w:sz w:val="16"/>
          <w:szCs w:val="16"/>
          <w:color w:val="EE2724"/>
          <w:strike w:val="1"/>
        </w:rPr>
      </w:pPr>
      <w:r>
        <w:rPr>
          <w:rFonts w:ascii="Arial" w:cs="Arial" w:eastAsia="Arial" w:hAnsi="Arial"/>
          <w:sz w:val="16"/>
          <w:szCs w:val="16"/>
          <w:color w:val="EE2724"/>
          <w:strike w:val="1"/>
        </w:rPr>
        <w:t>for stock repurchases that are not tender offers or exchange offers, including structured or derivative transactions; or</w:t>
      </w:r>
    </w:p>
    <w:p>
      <w:pPr>
        <w:spacing w:after="0" w:line="302" w:lineRule="exact"/>
        <w:rPr>
          <w:rFonts w:ascii="Arial" w:cs="Arial" w:eastAsia="Arial" w:hAnsi="Arial"/>
          <w:sz w:val="16"/>
          <w:szCs w:val="16"/>
          <w:color w:val="EE2724"/>
          <w:strike w:val="1"/>
        </w:rPr>
      </w:pPr>
    </w:p>
    <w:p>
      <w:pPr>
        <w:ind w:left="400" w:hanging="392"/>
        <w:spacing w:after="0"/>
        <w:tabs>
          <w:tab w:leader="none" w:pos="400" w:val="left"/>
        </w:tabs>
        <w:numPr>
          <w:ilvl w:val="0"/>
          <w:numId w:val="216"/>
        </w:numPr>
        <w:rPr>
          <w:rFonts w:ascii="Arial" w:cs="Arial" w:eastAsia="Arial" w:hAnsi="Arial"/>
          <w:sz w:val="16"/>
          <w:szCs w:val="16"/>
          <w:color w:val="EE2724"/>
          <w:strike w:val="1"/>
        </w:rPr>
      </w:pPr>
      <w:r>
        <w:rPr>
          <w:rFonts w:ascii="Arial" w:cs="Arial" w:eastAsia="Arial" w:hAnsi="Arial"/>
          <w:sz w:val="16"/>
          <w:szCs w:val="16"/>
          <w:color w:val="EE2724"/>
          <w:strike w:val="1"/>
        </w:rPr>
        <w:t>for Accrued Dividends.</w:t>
      </w:r>
    </w:p>
    <w:p>
      <w:pPr>
        <w:spacing w:after="0" w:line="316" w:lineRule="exact"/>
        <w:rPr>
          <w:sz w:val="20"/>
          <w:szCs w:val="20"/>
          <w:color w:val="auto"/>
        </w:rPr>
      </w:pPr>
    </w:p>
    <w:p>
      <w:pPr>
        <w:jc w:val="both"/>
        <w:ind w:right="20" w:firstLine="8"/>
        <w:spacing w:after="0" w:line="389" w:lineRule="auto"/>
        <w:tabs>
          <w:tab w:leader="none" w:pos="400" w:val="left"/>
        </w:tabs>
        <w:numPr>
          <w:ilvl w:val="0"/>
          <w:numId w:val="217"/>
        </w:numPr>
        <w:rPr>
          <w:rFonts w:ascii="Arial" w:cs="Arial" w:eastAsia="Arial" w:hAnsi="Arial"/>
          <w:sz w:val="16"/>
          <w:szCs w:val="16"/>
          <w:color w:val="EE2724"/>
          <w:strike w:val="1"/>
        </w:rPr>
      </w:pPr>
      <w:r>
        <w:rPr>
          <w:rFonts w:ascii="Arial" w:cs="Arial" w:eastAsia="Arial" w:hAnsi="Arial"/>
          <w:sz w:val="16"/>
          <w:szCs w:val="16"/>
          <w:color w:val="EE2724"/>
          <w:strike w:val="1"/>
        </w:rPr>
        <w:t>Notice of Adjustment.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EE2724"/>
          <w:strike w:val="1"/>
        </w:rPr>
        <w:t>27.1.10</w:t>
        <w:tab/>
        <w:t>Recapitalization, Reclassifications and Changes of Common Shares</w:t>
      </w:r>
    </w:p>
    <w:p>
      <w:pPr>
        <w:spacing w:after="0" w:line="316" w:lineRule="exact"/>
        <w:rPr>
          <w:sz w:val="20"/>
          <w:szCs w:val="20"/>
          <w:color w:val="auto"/>
        </w:rPr>
      </w:pPr>
    </w:p>
    <w:p>
      <w:pPr>
        <w:ind w:left="1040" w:hanging="384"/>
        <w:spacing w:after="0"/>
        <w:tabs>
          <w:tab w:leader="none" w:pos="1040" w:val="left"/>
        </w:tabs>
        <w:numPr>
          <w:ilvl w:val="0"/>
          <w:numId w:val="218"/>
        </w:numPr>
        <w:rPr>
          <w:rFonts w:ascii="Arial" w:cs="Arial" w:eastAsia="Arial" w:hAnsi="Arial"/>
          <w:sz w:val="16"/>
          <w:szCs w:val="16"/>
          <w:color w:val="EE2724"/>
          <w:strike w:val="1"/>
        </w:rPr>
      </w:pPr>
      <w:r>
        <w:rPr>
          <w:rFonts w:ascii="Arial" w:cs="Arial" w:eastAsia="Arial" w:hAnsi="Arial"/>
          <w:sz w:val="16"/>
          <w:szCs w:val="16"/>
          <w:color w:val="EE2724"/>
          <w:strike w:val="1"/>
        </w:rPr>
        <w:t>In the event of the following, other than on a transaction which results in a Change of Control (each, a “Reorganization Event”):</w:t>
      </w:r>
    </w:p>
    <w:p>
      <w:pPr>
        <w:spacing w:after="0" w:line="315" w:lineRule="exact"/>
        <w:rPr>
          <w:rFonts w:ascii="Arial" w:cs="Arial" w:eastAsia="Arial" w:hAnsi="Arial"/>
          <w:sz w:val="16"/>
          <w:szCs w:val="16"/>
          <w:color w:val="EE2724"/>
          <w:strike w:val="1"/>
        </w:rPr>
      </w:pPr>
    </w:p>
    <w:p>
      <w:pPr>
        <w:jc w:val="both"/>
        <w:ind w:left="1300" w:firstLine="4"/>
        <w:spacing w:after="0" w:line="377" w:lineRule="auto"/>
        <w:tabs>
          <w:tab w:leader="none" w:pos="1655" w:val="left"/>
        </w:tabs>
        <w:numPr>
          <w:ilvl w:val="1"/>
          <w:numId w:val="218"/>
        </w:numPr>
        <w:rPr>
          <w:rFonts w:ascii="Arial" w:cs="Arial" w:eastAsia="Arial" w:hAnsi="Arial"/>
          <w:sz w:val="16"/>
          <w:szCs w:val="16"/>
          <w:color w:val="EE2724"/>
          <w:strike w:val="1"/>
        </w:rPr>
      </w:pPr>
      <w:r>
        <w:rPr>
          <w:rFonts w:ascii="Arial" w:cs="Arial" w:eastAsia="Arial" w:hAnsi="Arial"/>
          <w:sz w:val="16"/>
          <w:szCs w:val="16"/>
          <w:color w:val="EE2724"/>
          <w:strike w:val="1"/>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180" w:lineRule="exact"/>
        <w:rPr>
          <w:rFonts w:ascii="Arial" w:cs="Arial" w:eastAsia="Arial" w:hAnsi="Arial"/>
          <w:sz w:val="16"/>
          <w:szCs w:val="16"/>
          <w:color w:val="EE2724"/>
          <w:strike w:val="1"/>
        </w:rPr>
      </w:pPr>
    </w:p>
    <w:p>
      <w:pPr>
        <w:ind w:left="1660" w:hanging="356"/>
        <w:spacing w:after="0"/>
        <w:tabs>
          <w:tab w:leader="none" w:pos="1660" w:val="left"/>
        </w:tabs>
        <w:numPr>
          <w:ilvl w:val="1"/>
          <w:numId w:val="218"/>
        </w:numPr>
        <w:rPr>
          <w:rFonts w:ascii="Arial" w:cs="Arial" w:eastAsia="Arial" w:hAnsi="Arial"/>
          <w:sz w:val="16"/>
          <w:szCs w:val="16"/>
          <w:color w:val="EE2724"/>
          <w:strike w:val="1"/>
        </w:rPr>
      </w:pPr>
      <w:r>
        <w:rPr>
          <w:rFonts w:ascii="Arial" w:cs="Arial" w:eastAsia="Arial" w:hAnsi="Arial"/>
          <w:sz w:val="16"/>
          <w:szCs w:val="16"/>
          <w:color w:val="EE2724"/>
          <w:strike w:val="1"/>
        </w:rPr>
        <w:t>any sale, transfer, lease or conveyance to another Person of all or substantially all of the property and assets of the Company;</w:t>
      </w:r>
    </w:p>
    <w:p>
      <w:pPr>
        <w:spacing w:after="0" w:line="315" w:lineRule="exact"/>
        <w:rPr>
          <w:rFonts w:ascii="Arial" w:cs="Arial" w:eastAsia="Arial" w:hAnsi="Arial"/>
          <w:sz w:val="16"/>
          <w:szCs w:val="16"/>
          <w:color w:val="EE2724"/>
          <w:strike w:val="1"/>
        </w:rPr>
      </w:pPr>
    </w:p>
    <w:p>
      <w:pPr>
        <w:ind w:left="1700" w:hanging="396"/>
        <w:spacing w:after="0"/>
        <w:tabs>
          <w:tab w:leader="none" w:pos="1700" w:val="left"/>
        </w:tabs>
        <w:numPr>
          <w:ilvl w:val="1"/>
          <w:numId w:val="218"/>
        </w:numPr>
        <w:rPr>
          <w:rFonts w:ascii="Arial" w:cs="Arial" w:eastAsia="Arial" w:hAnsi="Arial"/>
          <w:sz w:val="16"/>
          <w:szCs w:val="16"/>
          <w:color w:val="EE2724"/>
          <w:strike w:val="1"/>
        </w:rPr>
      </w:pPr>
      <w:r>
        <w:rPr>
          <w:rFonts w:ascii="Arial" w:cs="Arial" w:eastAsia="Arial" w:hAnsi="Arial"/>
          <w:sz w:val="16"/>
          <w:szCs w:val="16"/>
          <w:color w:val="EE2724"/>
          <w:strike w:val="1"/>
        </w:rPr>
        <w:t>any reclassification of Common Shares into securities other than Common Shares; or</w:t>
      </w:r>
    </w:p>
    <w:p>
      <w:pPr>
        <w:spacing w:after="0" w:line="315" w:lineRule="exact"/>
        <w:rPr>
          <w:rFonts w:ascii="Arial" w:cs="Arial" w:eastAsia="Arial" w:hAnsi="Arial"/>
          <w:sz w:val="16"/>
          <w:szCs w:val="16"/>
          <w:color w:val="EE2724"/>
          <w:strike w:val="1"/>
        </w:rPr>
      </w:pPr>
    </w:p>
    <w:p>
      <w:pPr>
        <w:ind w:left="1300" w:firstLine="4"/>
        <w:spacing w:after="0" w:line="409" w:lineRule="auto"/>
        <w:tabs>
          <w:tab w:leader="none" w:pos="1716" w:val="left"/>
        </w:tabs>
        <w:numPr>
          <w:ilvl w:val="1"/>
          <w:numId w:val="218"/>
        </w:numPr>
        <w:rPr>
          <w:rFonts w:ascii="Arial" w:cs="Arial" w:eastAsia="Arial" w:hAnsi="Arial"/>
          <w:sz w:val="16"/>
          <w:szCs w:val="16"/>
          <w:color w:val="EE2724"/>
          <w:strike w:val="1"/>
        </w:rPr>
      </w:pPr>
      <w:r>
        <w:rPr>
          <w:rFonts w:ascii="Arial" w:cs="Arial" w:eastAsia="Arial" w:hAnsi="Arial"/>
          <w:sz w:val="16"/>
          <w:szCs w:val="16"/>
          <w:color w:val="EE2724"/>
          <w:strike w:val="1"/>
        </w:rPr>
        <w:t>any statutory exchange or arrangement of securities of the Company with another Person (other than in connection with a merger or acquisition);</w:t>
      </w:r>
    </w:p>
    <w:p>
      <w:pPr>
        <w:spacing w:after="0" w:line="156" w:lineRule="exact"/>
        <w:rPr>
          <w:sz w:val="20"/>
          <w:szCs w:val="20"/>
          <w:color w:val="auto"/>
        </w:rPr>
      </w:pPr>
    </w:p>
    <w:p>
      <w:pPr>
        <w:jc w:val="both"/>
        <w:ind w:left="660"/>
        <w:spacing w:after="0" w:line="374" w:lineRule="auto"/>
        <w:rPr>
          <w:sz w:val="20"/>
          <w:szCs w:val="20"/>
          <w:color w:val="auto"/>
        </w:rPr>
      </w:pPr>
      <w:r>
        <w:rPr>
          <w:rFonts w:ascii="Arial" w:cs="Arial" w:eastAsia="Arial" w:hAnsi="Arial"/>
          <w:sz w:val="16"/>
          <w:szCs w:val="16"/>
          <w:color w:val="EE2724"/>
          <w:strike w:val="1"/>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“Exchange Property,” with each “Unit of Exchange Property” meaning the kind and amount of such Exchange Property that a holder of one Common Share is entitled to receive).</w:t>
      </w:r>
    </w:p>
    <w:p>
      <w:pPr>
        <w:spacing w:after="0" w:line="183" w:lineRule="exact"/>
        <w:rPr>
          <w:sz w:val="20"/>
          <w:szCs w:val="20"/>
          <w:color w:val="auto"/>
        </w:rPr>
      </w:pPr>
    </w:p>
    <w:p>
      <w:pPr>
        <w:jc w:val="both"/>
        <w:ind w:left="660" w:hanging="4"/>
        <w:spacing w:after="0" w:line="383" w:lineRule="auto"/>
        <w:tabs>
          <w:tab w:leader="none" w:pos="1073" w:val="left"/>
        </w:tabs>
        <w:numPr>
          <w:ilvl w:val="0"/>
          <w:numId w:val="219"/>
        </w:numPr>
        <w:rPr>
          <w:rFonts w:ascii="Arial" w:cs="Arial" w:eastAsia="Arial" w:hAnsi="Arial"/>
          <w:sz w:val="16"/>
          <w:szCs w:val="16"/>
          <w:color w:val="EE2724"/>
          <w:strike w:val="1"/>
        </w:rPr>
      </w:pPr>
      <w:r>
        <w:rPr>
          <w:rFonts w:ascii="Arial" w:cs="Arial" w:eastAsia="Arial" w:hAnsi="Arial"/>
          <w:sz w:val="16"/>
          <w:szCs w:val="16"/>
          <w:color w:val="EE2724"/>
          <w:strike w:val="1"/>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6"/>
          <w:szCs w:val="16"/>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660"/>
        <w:spacing w:after="0" w:line="374" w:lineRule="auto"/>
        <w:rPr>
          <w:sz w:val="20"/>
          <w:szCs w:val="20"/>
          <w:color w:val="auto"/>
        </w:rPr>
      </w:pPr>
      <w:r>
        <w:rPr>
          <w:rFonts w:ascii="Arial" w:cs="Arial" w:eastAsia="Arial" w:hAnsi="Arial"/>
          <w:sz w:val="16"/>
          <w:szCs w:val="16"/>
          <w:color w:val="EE2724"/>
          <w:strike w:val="1"/>
        </w:rPr>
        <w:t>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83" w:lineRule="exact"/>
        <w:rPr>
          <w:sz w:val="20"/>
          <w:szCs w:val="20"/>
          <w:color w:val="auto"/>
        </w:rPr>
      </w:pPr>
    </w:p>
    <w:p>
      <w:pPr>
        <w:ind w:left="660" w:hanging="4"/>
        <w:spacing w:after="0" w:line="409" w:lineRule="auto"/>
        <w:tabs>
          <w:tab w:leader="none" w:pos="1052" w:val="left"/>
        </w:tabs>
        <w:numPr>
          <w:ilvl w:val="0"/>
          <w:numId w:val="220"/>
        </w:numPr>
        <w:rPr>
          <w:rFonts w:ascii="Arial" w:cs="Arial" w:eastAsia="Arial" w:hAnsi="Arial"/>
          <w:sz w:val="16"/>
          <w:szCs w:val="16"/>
          <w:color w:val="EE2724"/>
          <w:strike w:val="1"/>
        </w:rPr>
      </w:pPr>
      <w:r>
        <w:rPr>
          <w:rFonts w:ascii="Arial" w:cs="Arial" w:eastAsia="Arial" w:hAnsi="Arial"/>
          <w:sz w:val="16"/>
          <w:szCs w:val="16"/>
          <w:color w:val="EE2724"/>
          <w:strike w:val="1"/>
        </w:rPr>
        <w:t>The above provisions of this Article 27.1.10 shall apply to any shares or capital stock of the Company (or any successor thereto) received by the holders of Common Shares in connection with any such Reorganization Event.</w:t>
      </w:r>
    </w:p>
    <w:p>
      <w:pPr>
        <w:spacing w:after="0" w:line="155" w:lineRule="exact"/>
        <w:rPr>
          <w:rFonts w:ascii="Arial" w:cs="Arial" w:eastAsia="Arial" w:hAnsi="Arial"/>
          <w:sz w:val="16"/>
          <w:szCs w:val="16"/>
          <w:color w:val="EE2724"/>
          <w:strike w:val="1"/>
        </w:rPr>
      </w:pPr>
    </w:p>
    <w:p>
      <w:pPr>
        <w:jc w:val="both"/>
        <w:ind w:left="660" w:hanging="4"/>
        <w:spacing w:after="0" w:line="377" w:lineRule="auto"/>
        <w:tabs>
          <w:tab w:leader="none" w:pos="1141" w:val="left"/>
        </w:tabs>
        <w:numPr>
          <w:ilvl w:val="0"/>
          <w:numId w:val="220"/>
        </w:numPr>
        <w:rPr>
          <w:rFonts w:ascii="Arial" w:cs="Arial" w:eastAsia="Arial" w:hAnsi="Arial"/>
          <w:sz w:val="16"/>
          <w:szCs w:val="16"/>
          <w:color w:val="EE2724"/>
          <w:strike w:val="1"/>
        </w:rPr>
      </w:pPr>
      <w:r>
        <w:rPr>
          <w:rFonts w:ascii="Arial" w:cs="Arial" w:eastAsia="Arial" w:hAnsi="Arial"/>
          <w:sz w:val="16"/>
          <w:szCs w:val="16"/>
          <w:color w:val="EE2724"/>
          <w:strike w:val="1"/>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EE2724"/>
          <w:strike w:val="1"/>
        </w:rPr>
        <w:t>27.1.11</w:t>
        <w:tab/>
        <w:t>Other Provisions.</w:t>
      </w:r>
    </w:p>
    <w:p>
      <w:pPr>
        <w:spacing w:after="0" w:line="316" w:lineRule="exact"/>
        <w:rPr>
          <w:sz w:val="20"/>
          <w:szCs w:val="20"/>
          <w:color w:val="auto"/>
        </w:rPr>
      </w:pPr>
    </w:p>
    <w:p>
      <w:pPr>
        <w:jc w:val="both"/>
        <w:ind w:left="660" w:hanging="4"/>
        <w:spacing w:after="0" w:line="389" w:lineRule="auto"/>
        <w:tabs>
          <w:tab w:leader="none" w:pos="1078" w:val="left"/>
        </w:tabs>
        <w:numPr>
          <w:ilvl w:val="0"/>
          <w:numId w:val="221"/>
        </w:numPr>
        <w:rPr>
          <w:rFonts w:ascii="Arial" w:cs="Arial" w:eastAsia="Arial" w:hAnsi="Arial"/>
          <w:sz w:val="16"/>
          <w:szCs w:val="16"/>
          <w:color w:val="EE2724"/>
          <w:strike w:val="1"/>
        </w:rPr>
      </w:pPr>
      <w:r>
        <w:rPr>
          <w:rFonts w:ascii="Arial" w:cs="Arial" w:eastAsia="Arial" w:hAnsi="Arial"/>
          <w:sz w:val="16"/>
          <w:szCs w:val="16"/>
          <w:color w:val="EE2724"/>
          <w:strike w:val="1"/>
        </w:rPr>
        <w:t>If any of the Class A Series 1 Preferred Shares are issued in uncertificated, book entry form as permitted by the Business Corporations Act and the Articles of the Company, then within a reasonable time after the issuance or transfer of such uncertificated shares, the Company shall send to the registered owner thereof an Ownership Notice.</w:t>
      </w:r>
    </w:p>
    <w:p>
      <w:pPr>
        <w:spacing w:after="0" w:line="171" w:lineRule="exact"/>
        <w:rPr>
          <w:rFonts w:ascii="Arial" w:cs="Arial" w:eastAsia="Arial" w:hAnsi="Arial"/>
          <w:sz w:val="16"/>
          <w:szCs w:val="16"/>
          <w:color w:val="EE2724"/>
          <w:strike w:val="1"/>
        </w:rPr>
      </w:pPr>
    </w:p>
    <w:p>
      <w:pPr>
        <w:ind w:left="660" w:right="320" w:hanging="4"/>
        <w:spacing w:after="0" w:line="392" w:lineRule="auto"/>
        <w:tabs>
          <w:tab w:leader="none" w:pos="1035" w:val="left"/>
        </w:tabs>
        <w:numPr>
          <w:ilvl w:val="0"/>
          <w:numId w:val="221"/>
        </w:numPr>
        <w:rPr>
          <w:rFonts w:ascii="Arial" w:cs="Arial" w:eastAsia="Arial" w:hAnsi="Arial"/>
          <w:sz w:val="16"/>
          <w:szCs w:val="16"/>
          <w:color w:val="EE2724"/>
          <w:strike w:val="1"/>
        </w:rPr>
      </w:pPr>
      <w:r>
        <w:rPr>
          <w:rFonts w:ascii="Arial" w:cs="Arial" w:eastAsia="Arial" w:hAnsi="Arial"/>
          <w:sz w:val="16"/>
          <w:szCs w:val="16"/>
          <w:color w:val="EE2724"/>
          <w:strike w:val="1"/>
        </w:rPr>
        <w:t>The Company shall use its commercially reasonable efforts to ensure that all Common Shares issued upon a Conversion will be listed and posted for trading on each stock exchange on which the Common Shares are then listed and posted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EE2724"/>
          <w:strike w:val="1"/>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EE2724"/>
          <w:strike w:val="1"/>
        </w:rPr>
        <w:t>NOTICE OF CONVERSION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EE2724"/>
          <w:strike w:val="1"/>
        </w:rPr>
        <w:t>(To be Executed by the Holder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EE2724"/>
          <w:strike w:val="1"/>
        </w:rPr>
        <w:t>in order to Convert Class A Series 1 Preferred Shares)</w:t>
      </w:r>
    </w:p>
    <w:p>
      <w:pPr>
        <w:spacing w:after="0" w:line="100" w:lineRule="exact"/>
        <w:rPr>
          <w:sz w:val="20"/>
          <w:szCs w:val="20"/>
          <w:color w:val="auto"/>
        </w:rPr>
      </w:pPr>
    </w:p>
    <w:p>
      <w:pPr>
        <w:jc w:val="both"/>
        <w:ind w:firstLine="648"/>
        <w:spacing w:after="0" w:line="366" w:lineRule="auto"/>
        <w:rPr>
          <w:sz w:val="20"/>
          <w:szCs w:val="20"/>
          <w:color w:val="auto"/>
        </w:rPr>
      </w:pPr>
      <w:r>
        <w:rPr>
          <w:rFonts w:ascii="Arial" w:cs="Arial" w:eastAsia="Arial" w:hAnsi="Arial"/>
          <w:sz w:val="16"/>
          <w:szCs w:val="16"/>
          <w:b w:val="1"/>
          <w:bCs w:val="1"/>
          <w:color w:val="EE2724"/>
          <w:strike w:val="1"/>
        </w:rPr>
        <w:t>The undersigned hereby irrevocably elects to convert (the “Conversion”) Class A Series 1 Preferred Shares (the “Class A Series 1 Preferred Shares”), of Civeo Corporation (hereinafter called the “Company”), represented by stock certificate No(s). [ ] (the “Class A Series 1 Preferred Shares Certificates”), into Common Shares, without par value, of the Company (the “Common Shares”) according to the conditions of the Articles of the Company (“Articles”),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EE2724"/>
          <w:strike w:val="1"/>
        </w:rPr>
        <w:t>Capitalized terms used but not defined herein shall have the meanings ascribed thereto in or pursuant to the Articles of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12014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5430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64731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4731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66306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5151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4572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686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EE2724"/>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54864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80" w:lineRule="exact"/>
        <w:rPr>
          <w:sz w:val="20"/>
          <w:szCs w:val="20"/>
          <w:color w:val="auto"/>
        </w:rPr>
      </w:pPr>
    </w:p>
    <w:p>
      <w:pPr>
        <w:jc w:val="both"/>
        <w:ind w:firstLine="8"/>
        <w:spacing w:after="0" w:line="369" w:lineRule="auto"/>
        <w:tabs>
          <w:tab w:leader="none" w:pos="266" w:val="left"/>
        </w:tabs>
        <w:numPr>
          <w:ilvl w:val="0"/>
          <w:numId w:val="222"/>
        </w:numPr>
        <w:rPr>
          <w:rFonts w:ascii="Arial" w:cs="Arial" w:eastAsia="Arial" w:hAnsi="Arial"/>
          <w:sz w:val="16"/>
          <w:szCs w:val="16"/>
          <w:b w:val="1"/>
          <w:bCs w:val="1"/>
          <w:color w:val="EE2724"/>
          <w:strike w:val="1"/>
        </w:rPr>
      </w:pPr>
      <w:r>
        <w:rPr>
          <w:rFonts w:ascii="Arial" w:cs="Arial" w:eastAsia="Arial" w:hAnsi="Arial"/>
          <w:sz w:val="16"/>
          <w:szCs w:val="16"/>
          <w:b w:val="1"/>
          <w:bCs w:val="1"/>
          <w:color w:val="EE2724"/>
          <w:strike w:val="1"/>
        </w:rPr>
        <w:t>If the Class A Series 1 Preferred Shares are evidenced by a Share Certificate, the Company is not required to issue Common Shares until the original Class A Series 1 Preferred Shares Certificate(s) (or evidence of loss, theft or destruction thereof) to be converted are received by the Company or its transfer agent.</w:t>
      </w:r>
    </w:p>
    <w:p>
      <w:pPr>
        <w:spacing w:after="0" w:line="1" w:lineRule="exact"/>
        <w:rPr>
          <w:rFonts w:ascii="Arial" w:cs="Arial" w:eastAsia="Arial" w:hAnsi="Arial"/>
          <w:sz w:val="16"/>
          <w:szCs w:val="16"/>
          <w:b w:val="1"/>
          <w:bCs w:val="1"/>
          <w:color w:val="EE2724"/>
          <w:strike w:val="1"/>
        </w:rPr>
      </w:pPr>
    </w:p>
    <w:p>
      <w:pPr>
        <w:spacing w:after="0"/>
        <w:rPr>
          <w:rFonts w:ascii="Arial" w:cs="Arial" w:eastAsia="Arial" w:hAnsi="Arial"/>
          <w:sz w:val="16"/>
          <w:szCs w:val="16"/>
          <w:b w:val="1"/>
          <w:bCs w:val="1"/>
          <w:color w:val="EE2724"/>
          <w:strike w:val="1"/>
        </w:rPr>
      </w:pPr>
      <w:r>
        <w:rPr>
          <w:rFonts w:ascii="Arial" w:cs="Arial" w:eastAsia="Arial" w:hAnsi="Arial"/>
          <w:sz w:val="16"/>
          <w:szCs w:val="16"/>
          <w:b w:val="1"/>
          <w:bCs w:val="1"/>
          <w:color w:val="EE2724"/>
          <w:strike w:val="1"/>
        </w:rPr>
        <w:t>**  Address where Common Shares and any other payments or certificates shall be sent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6"/>
          <w:szCs w:val="16"/>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EE2724"/>
          <w:strike w:val="1"/>
        </w:rPr>
        <w:t>EXHIBIT B</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EE2724"/>
          <w:strike w:val="1"/>
        </w:rPr>
        <w:t>OWNERSHIP NOTICE</w:t>
      </w:r>
    </w:p>
    <w:p>
      <w:pPr>
        <w:spacing w:after="0" w:line="100" w:lineRule="exact"/>
        <w:rPr>
          <w:sz w:val="20"/>
          <w:szCs w:val="20"/>
          <w:color w:val="auto"/>
        </w:rPr>
      </w:pPr>
    </w:p>
    <w:p>
      <w:pPr>
        <w:ind w:firstLine="648"/>
        <w:spacing w:after="0" w:line="420" w:lineRule="auto"/>
        <w:rPr>
          <w:sz w:val="20"/>
          <w:szCs w:val="20"/>
          <w:color w:val="auto"/>
        </w:rPr>
      </w:pPr>
      <w:r>
        <w:rPr>
          <w:rFonts w:ascii="Arial" w:cs="Arial" w:eastAsia="Arial" w:hAnsi="Arial"/>
          <w:sz w:val="16"/>
          <w:szCs w:val="16"/>
          <w:b w:val="1"/>
          <w:bCs w:val="1"/>
          <w:color w:val="EE2724"/>
          <w:strike w:val="1"/>
        </w:rPr>
        <w:t>There are special rights or restrictions attached to each Class A Series 1 Preferred Share. A copy of the full text of those special rights or restrictions may be obtained, without charge, at the registered or records office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2" w:name="page143"/>
    <w:bookmarkEnd w:id="142"/>
    <w:p>
      <w:pPr>
        <w:spacing w:after="0"/>
        <w:rPr>
          <w:sz w:val="20"/>
          <w:szCs w:val="20"/>
          <w:color w:val="auto"/>
        </w:rPr>
      </w:pPr>
      <w:r>
        <w:rPr>
          <w:rFonts w:ascii="Arial" w:cs="Arial" w:eastAsia="Arial" w:hAnsi="Arial"/>
          <w:sz w:val="45"/>
          <w:szCs w:val="45"/>
          <w:b w:val="1"/>
          <w:bCs w:val="1"/>
          <w:color w:val="006DB6"/>
        </w:rPr>
        <w:t>Appendix B</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Non-GAAP Reconciliations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terms Adjusted EBITDA and AICP EBITDA are non-GAAP financial measures that are defined as EBITDA adjusted to exclude certain other unusual or non-operating items.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2023 were consistent with past practices. EBITDA, Adjusted EBITDA and AICP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Adjusted EBITDA and AICP EBITDA may not be comparable to other similarly titled measures of other companies. Civeo has included EBITDA, Adjusted EBITDA and AICP EBITDA as supplemental disclosures because its management believes that EBITDA, Adjusted EBITDA and AICP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Adjusted EBITDA and AICP EBITDA to compare and to monitor the performance of its business segments to other comparable public companies and as a benchmark for the award of incentive compensation under its annual incentive compensation plan.</w:t>
      </w:r>
    </w:p>
    <w:p>
      <w:pPr>
        <w:spacing w:after="0" w:line="200" w:lineRule="exact"/>
        <w:rPr>
          <w:sz w:val="20"/>
          <w:szCs w:val="20"/>
          <w:color w:val="auto"/>
        </w:rPr>
      </w:pP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 sets forth a reconciliation of EBITDA, Adjusted EBITDA and AICP EBITDA to net income attributable to Civeo Corporation, which is the most directly comparable measure of financial performance calculated under generally accepted accounting principles (in thousands) (unaudited):</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706F6F"/>
              </w:rPr>
              <w:t>12 Months Ended December 31,</w:t>
            </w:r>
          </w:p>
        </w:tc>
      </w:tr>
      <w:tr>
        <w:trPr>
          <w:trHeight w:val="252"/>
        </w:trPr>
        <w:tc>
          <w:tcPr>
            <w:tcW w:w="5960" w:type="dxa"/>
            <w:vAlign w:val="bottom"/>
          </w:tcPr>
          <w:p>
            <w:pPr>
              <w:spacing w:after="0"/>
              <w:rPr>
                <w:sz w:val="21"/>
                <w:szCs w:val="21"/>
                <w:color w:val="auto"/>
              </w:rPr>
            </w:pPr>
          </w:p>
        </w:tc>
        <w:tc>
          <w:tcPr>
            <w:tcW w:w="32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2023</w:t>
            </w:r>
          </w:p>
        </w:tc>
        <w:tc>
          <w:tcPr>
            <w:tcW w:w="30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2022</w:t>
            </w:r>
          </w:p>
        </w:tc>
        <w:tc>
          <w:tcPr>
            <w:tcW w:w="34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706F6F"/>
              </w:rPr>
              <w:t>2021</w:t>
            </w:r>
          </w:p>
        </w:tc>
      </w:tr>
      <w:tr>
        <w:trPr>
          <w:trHeight w:val="227"/>
        </w:trPr>
        <w:tc>
          <w:tcPr>
            <w:tcW w:w="5960" w:type="dxa"/>
            <w:vAlign w:val="bottom"/>
          </w:tcPr>
          <w:p>
            <w:pPr>
              <w:spacing w:after="0"/>
              <w:rPr>
                <w:sz w:val="20"/>
                <w:szCs w:val="20"/>
                <w:color w:val="auto"/>
              </w:rPr>
            </w:pPr>
            <w:r>
              <w:rPr>
                <w:rFonts w:ascii="Arial" w:cs="Arial" w:eastAsia="Arial" w:hAnsi="Arial"/>
                <w:sz w:val="16"/>
                <w:szCs w:val="16"/>
                <w:color w:val="auto"/>
              </w:rPr>
              <w:t>Net income attributable to Civeo Corporation</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30,157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3,997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1,350</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Income tax provision (benefit)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10,633</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4,402</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3,376</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75,142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87,214</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83,101</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52"/>
        </w:trPr>
        <w:tc>
          <w:tcPr>
            <w:tcW w:w="59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13,177</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11,474</w:t>
            </w: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12,964</w:t>
            </w:r>
          </w:p>
        </w:tc>
      </w:tr>
      <w:tr>
        <w:trPr>
          <w:trHeight w:val="236"/>
        </w:trPr>
        <w:tc>
          <w:tcPr>
            <w:tcW w:w="5960" w:type="dxa"/>
            <w:vAlign w:val="bottom"/>
          </w:tcPr>
          <w:p>
            <w:pPr>
              <w:spacing w:after="0"/>
              <w:rPr>
                <w:sz w:val="20"/>
                <w:szCs w:val="20"/>
                <w:color w:val="auto"/>
              </w:rPr>
            </w:pPr>
            <w:r>
              <w:rPr>
                <w:rFonts w:ascii="Arial" w:cs="Arial" w:eastAsia="Arial" w:hAnsi="Arial"/>
                <w:sz w:val="16"/>
                <w:szCs w:val="16"/>
                <w:color w:val="auto"/>
              </w:rPr>
              <w:t>EBITDA</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128,937</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107,048</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101,205</w:t>
            </w:r>
          </w:p>
        </w:tc>
      </w:tr>
      <w:tr>
        <w:trPr>
          <w:trHeight w:val="214"/>
        </w:trPr>
        <w:tc>
          <w:tcPr>
            <w:tcW w:w="5960" w:type="dxa"/>
            <w:vAlign w:val="bottom"/>
          </w:tcPr>
          <w:p>
            <w:pPr>
              <w:spacing w:after="0"/>
              <w:rPr>
                <w:sz w:val="20"/>
                <w:szCs w:val="20"/>
                <w:color w:val="auto"/>
              </w:rPr>
            </w:pPr>
            <w:r>
              <w:rPr>
                <w:rFonts w:ascii="Arial" w:cs="Arial" w:eastAsia="Arial" w:hAnsi="Arial"/>
                <w:sz w:val="16"/>
                <w:szCs w:val="16"/>
                <w:color w:val="auto"/>
              </w:rPr>
              <w:t>Adjustments to EBITDA</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1"/>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Impairment of long-lived assets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1,395</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5,721</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7,935</w:t>
            </w:r>
          </w:p>
        </w:tc>
      </w:tr>
      <w:tr>
        <w:trPr>
          <w:trHeight w:val="203"/>
        </w:trPr>
        <w:tc>
          <w:tcPr>
            <w:tcW w:w="5960" w:type="dxa"/>
            <w:vAlign w:val="bottom"/>
          </w:tcPr>
          <w:p>
            <w:pPr>
              <w:ind w:left="220"/>
              <w:spacing w:after="0"/>
              <w:rPr>
                <w:sz w:val="20"/>
                <w:szCs w:val="20"/>
                <w:color w:val="auto"/>
              </w:rPr>
            </w:pPr>
            <w:r>
              <w:rPr>
                <w:rFonts w:ascii="Arial" w:cs="Arial" w:eastAsia="Arial" w:hAnsi="Arial"/>
                <w:sz w:val="16"/>
                <w:szCs w:val="16"/>
                <w:color w:val="auto"/>
              </w:rPr>
              <w:t>Net gain on disposition of McClelland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96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Lake Lodge assets </w:t>
            </w:r>
            <w:r>
              <w:rPr>
                <w:rFonts w:ascii="Arial" w:cs="Arial" w:eastAsia="Arial" w:hAnsi="Arial"/>
                <w:sz w:val="21"/>
                <w:szCs w:val="21"/>
                <w:color w:val="auto"/>
                <w:vertAlign w:val="superscript"/>
              </w:rPr>
              <w:t>(2)</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(28,298)</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6"/>
                <w:szCs w:val="16"/>
                <w:color w:val="auto"/>
              </w:rPr>
              <w:t>Adjusted EBITDA</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102,034</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112,769</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109,140</w:t>
            </w:r>
          </w:p>
        </w:tc>
      </w:tr>
      <w:tr>
        <w:trPr>
          <w:trHeight w:val="430"/>
        </w:trPr>
        <w:tc>
          <w:tcPr>
            <w:tcW w:w="5960" w:type="dxa"/>
            <w:vAlign w:val="bottom"/>
          </w:tcPr>
          <w:p>
            <w:pPr>
              <w:ind w:left="220"/>
              <w:spacing w:after="0"/>
              <w:rPr>
                <w:sz w:val="20"/>
                <w:szCs w:val="20"/>
                <w:color w:val="auto"/>
              </w:rPr>
            </w:pPr>
            <w:r>
              <w:rPr>
                <w:rFonts w:ascii="Arial" w:cs="Arial" w:eastAsia="Arial" w:hAnsi="Arial"/>
                <w:sz w:val="16"/>
                <w:szCs w:val="16"/>
                <w:color w:val="auto"/>
              </w:rPr>
              <w:t>Unbudgeted changes in foreign exchange rates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6,522</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5,510</w:t>
            </w: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(7,848)</w:t>
            </w:r>
          </w:p>
        </w:tc>
      </w:tr>
      <w:tr>
        <w:trPr>
          <w:trHeight w:val="243"/>
        </w:trPr>
        <w:tc>
          <w:tcPr>
            <w:tcW w:w="5960" w:type="dxa"/>
            <w:vAlign w:val="bottom"/>
          </w:tcPr>
          <w:p>
            <w:pPr>
              <w:ind w:left="220"/>
              <w:spacing w:after="0"/>
              <w:rPr>
                <w:sz w:val="20"/>
                <w:szCs w:val="20"/>
                <w:color w:val="auto"/>
              </w:rPr>
            </w:pPr>
            <w:r>
              <w:rPr>
                <w:rFonts w:ascii="Arial" w:cs="Arial" w:eastAsia="Arial" w:hAnsi="Arial"/>
                <w:sz w:val="16"/>
                <w:szCs w:val="16"/>
                <w:color w:val="auto"/>
              </w:rPr>
              <w:t>Unbudgeted variability in stock-based compensation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(1,872)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3,950</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1,997</w:t>
            </w:r>
          </w:p>
        </w:tc>
      </w:tr>
      <w:tr>
        <w:trPr>
          <w:trHeight w:val="271"/>
        </w:trPr>
        <w:tc>
          <w:tcPr>
            <w:tcW w:w="5960" w:type="dxa"/>
            <w:vAlign w:val="bottom"/>
          </w:tcPr>
          <w:p>
            <w:pPr>
              <w:ind w:left="220"/>
              <w:spacing w:after="0"/>
              <w:rPr>
                <w:sz w:val="20"/>
                <w:szCs w:val="20"/>
                <w:color w:val="auto"/>
              </w:rPr>
            </w:pPr>
            <w:r>
              <w:rPr>
                <w:rFonts w:ascii="Arial" w:cs="Arial" w:eastAsia="Arial" w:hAnsi="Arial"/>
                <w:sz w:val="16"/>
                <w:szCs w:val="16"/>
                <w:color w:val="auto"/>
              </w:rPr>
              <w:t xml:space="preserve">Gain on dismantlement of McClelland Lake Lodge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13,449</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960" w:type="dxa"/>
            <w:vAlign w:val="bottom"/>
          </w:tcPr>
          <w:p>
            <w:pPr>
              <w:ind w:left="220"/>
              <w:spacing w:after="0" w:line="23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(4)</w:t>
            </w:r>
          </w:p>
        </w:tc>
        <w:tc>
          <w:tcPr>
            <w:tcW w:w="32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(10,721)</w:t>
            </w:r>
          </w:p>
        </w:tc>
        <w:tc>
          <w:tcPr>
            <w:tcW w:w="3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(3,528)</w:t>
            </w:r>
          </w:p>
        </w:tc>
      </w:tr>
      <w:tr>
        <w:trPr>
          <w:trHeight w:val="236"/>
        </w:trPr>
        <w:tc>
          <w:tcPr>
            <w:tcW w:w="5960" w:type="dxa"/>
            <w:vAlign w:val="bottom"/>
          </w:tcPr>
          <w:p>
            <w:pPr>
              <w:spacing w:after="0"/>
              <w:rPr>
                <w:sz w:val="20"/>
                <w:szCs w:val="20"/>
                <w:color w:val="auto"/>
              </w:rPr>
            </w:pPr>
            <w:r>
              <w:rPr>
                <w:rFonts w:ascii="Arial" w:cs="Arial" w:eastAsia="Arial" w:hAnsi="Arial"/>
                <w:sz w:val="16"/>
                <w:szCs w:val="16"/>
                <w:color w:val="auto"/>
              </w:rPr>
              <w:t>AICP EBITDA</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119,738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111,508</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99,761</w:t>
            </w:r>
          </w:p>
        </w:tc>
      </w:tr>
      <w:tr>
        <w:trPr>
          <w:trHeight w:val="21"/>
        </w:trPr>
        <w:tc>
          <w:tcPr>
            <w:tcW w:w="5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right="380" w:hanging="252"/>
        <w:spacing w:after="0" w:line="286" w:lineRule="auto"/>
        <w:tabs>
          <w:tab w:leader="none" w:pos="28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Relates to asset impairments recorded in 2023, 2022 and 2021. In the fourth quarter of 2023, we recorded a pretax loss related to the impairment of long-lived assets in the U.S. of $1.4 million, which is included in Impairment expense on the statements of operations.</w:t>
      </w:r>
    </w:p>
    <w:p>
      <w:pPr>
        <w:spacing w:after="0" w:line="61" w:lineRule="exact"/>
        <w:rPr>
          <w:sz w:val="20"/>
          <w:szCs w:val="20"/>
          <w:color w:val="auto"/>
        </w:rPr>
      </w:pPr>
    </w:p>
    <w:p>
      <w:pPr>
        <w:ind w:left="260"/>
        <w:spacing w:after="0" w:line="287" w:lineRule="auto"/>
        <w:rPr>
          <w:sz w:val="20"/>
          <w:szCs w:val="20"/>
          <w:color w:val="auto"/>
        </w:rPr>
      </w:pPr>
      <w:r>
        <w:rPr>
          <w:rFonts w:ascii="Arial" w:cs="Arial" w:eastAsia="Arial" w:hAnsi="Arial"/>
          <w:sz w:val="16"/>
          <w:szCs w:val="16"/>
          <w:color w:val="auto"/>
        </w:rPr>
        <w:t>In the fourth quarter of 2022, we recorded a pre-tax loss related to the impairment of long-lived assets in our Australian segment of $3.8 million and a pre-tax loss related to the impairment of long-lived assets in the U.S. of $1.9 million, which is included in Impairment expense on the statements of operations.</w:t>
      </w:r>
    </w:p>
    <w:p>
      <w:pPr>
        <w:spacing w:after="0" w:line="248" w:lineRule="exact"/>
        <w:rPr>
          <w:sz w:val="20"/>
          <w:szCs w:val="20"/>
          <w:color w:val="auto"/>
        </w:rPr>
      </w:pPr>
    </w:p>
    <w:p>
      <w:pPr>
        <w:ind w:left="260" w:right="20"/>
        <w:spacing w:after="0" w:line="286" w:lineRule="auto"/>
        <w:rPr>
          <w:sz w:val="20"/>
          <w:szCs w:val="20"/>
          <w:color w:val="auto"/>
        </w:rPr>
      </w:pPr>
      <w:r>
        <w:rPr>
          <w:rFonts w:ascii="Arial" w:cs="Arial" w:eastAsia="Arial" w:hAnsi="Arial"/>
          <w:sz w:val="16"/>
          <w:szCs w:val="16"/>
          <w:color w:val="auto"/>
        </w:rPr>
        <w:t>In the second quarter of 2021, we recorded a pre-tax loss related to the impairment of long-lived assets in our Australian segment of $7.9 million, which is included in Impairment expense on the statements of operations.</w:t>
      </w:r>
    </w:p>
    <w:p>
      <w:pPr>
        <w:spacing w:after="0" w:line="61" w:lineRule="exact"/>
        <w:rPr>
          <w:sz w:val="20"/>
          <w:szCs w:val="20"/>
          <w:color w:val="auto"/>
        </w:rPr>
      </w:pPr>
    </w:p>
    <w:p>
      <w:pPr>
        <w:ind w:left="260" w:right="120" w:hanging="252"/>
        <w:spacing w:after="0" w:line="286" w:lineRule="auto"/>
        <w:tabs>
          <w:tab w:leader="none" w:pos="2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quarter of 2023, we recorded gains associated with the sale of the McClelland Lake Lodge of $33.2</w:t>
      </w:r>
    </w:p>
    <w:p>
      <w:pPr>
        <w:sectPr>
          <w:pgSz w:w="11900" w:h="16838" w:orient="portrait"/>
          <w:cols w:equalWidth="0" w:num="1">
            <w:col w:w="11240"/>
          </w:cols>
          <w:pgMar w:left="320" w:top="969"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b w:val="1"/>
          <w:bCs w:val="1"/>
          <w:color w:val="006DB6"/>
        </w:rPr>
        <w:t>Appendix</w:t>
      </w:r>
    </w:p>
    <w:p>
      <w:pPr>
        <w:spacing w:after="0" w:line="200" w:lineRule="exact"/>
        <w:rPr>
          <w:sz w:val="20"/>
          <w:szCs w:val="20"/>
          <w:color w:val="auto"/>
        </w:rPr>
      </w:pPr>
    </w:p>
    <w:p>
      <w:pPr>
        <w:spacing w:after="0" w:line="372" w:lineRule="exact"/>
        <w:rPr>
          <w:sz w:val="20"/>
          <w:szCs w:val="20"/>
          <w:color w:val="auto"/>
        </w:rPr>
      </w:pPr>
    </w:p>
    <w:p>
      <w:pPr>
        <w:ind w:left="260"/>
        <w:spacing w:after="0" w:line="275" w:lineRule="auto"/>
        <w:rPr>
          <w:sz w:val="20"/>
          <w:szCs w:val="20"/>
          <w:color w:val="auto"/>
        </w:rPr>
      </w:pPr>
      <w:r>
        <w:rPr>
          <w:rFonts w:ascii="Arial" w:cs="Arial" w:eastAsia="Arial" w:hAnsi="Arial"/>
          <w:sz w:val="16"/>
          <w:szCs w:val="16"/>
          <w:color w:val="auto"/>
        </w:rPr>
        <w:t>million, which are included in Gain on sale of McClelland Lake Lodge assets, net ($23.5 million) and Other income ($9.7 million) on the statements of operations. In the third quarter of 2023, we recorded expenses associated with the sale of our McClelland Lake Lodge of $4.9 million, which are included in Gain on sale of McClelland Lake Lodge assets, net on the statements of operations.</w:t>
      </w:r>
    </w:p>
    <w:p>
      <w:pPr>
        <w:spacing w:after="0" w:line="56" w:lineRule="exact"/>
        <w:rPr>
          <w:sz w:val="20"/>
          <w:szCs w:val="20"/>
          <w:color w:val="auto"/>
        </w:rPr>
      </w:pPr>
    </w:p>
    <w:p>
      <w:pPr>
        <w:ind w:left="280" w:hanging="272"/>
        <w:spacing w:after="0"/>
        <w:tabs>
          <w:tab w:leader="none" w:pos="28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Relates to proceeds received associated with the dismantlement of McClelland Lake Lodge assets.</w:t>
      </w:r>
    </w:p>
    <w:p>
      <w:pPr>
        <w:spacing w:after="0" w:line="126" w:lineRule="exact"/>
        <w:rPr>
          <w:rFonts w:ascii="Arial" w:cs="Arial" w:eastAsia="Arial" w:hAnsi="Arial"/>
          <w:sz w:val="16"/>
          <w:szCs w:val="16"/>
          <w:color w:val="auto"/>
        </w:rPr>
      </w:pPr>
    </w:p>
    <w:p>
      <w:pPr>
        <w:jc w:val="both"/>
        <w:ind w:left="260" w:right="20" w:hanging="252"/>
        <w:spacing w:after="0" w:line="286" w:lineRule="auto"/>
        <w:tabs>
          <w:tab w:leader="none" w:pos="28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Relates to certain other unbudgeted costs (approved by the board of directors). These included demobilization costs that were deferred into future years ($0.4 million in 2023 and $10.7 million in 2022) and unbudgeted proceeds from the Canadian Emergency Wage Subsidy program ($3.5 million in 2021).</w:t>
      </w:r>
    </w:p>
    <w:p>
      <w:pPr>
        <w:spacing w:after="0" w:line="48" w:lineRule="exact"/>
        <w:rPr>
          <w:sz w:val="20"/>
          <w:szCs w:val="20"/>
          <w:color w:val="auto"/>
        </w:rPr>
      </w:pPr>
    </w:p>
    <w:p>
      <w:pPr>
        <w:ind w:right="2280"/>
        <w:spacing w:after="0" w:line="258" w:lineRule="auto"/>
        <w:rPr>
          <w:sz w:val="20"/>
          <w:szCs w:val="20"/>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8" w:lineRule="exact"/>
        <w:rPr>
          <w:sz w:val="20"/>
          <w:szCs w:val="20"/>
          <w:color w:val="auto"/>
        </w:rPr>
      </w:pPr>
    </w:p>
    <w:p>
      <w:pPr>
        <w:ind w:right="2420"/>
        <w:spacing w:after="0" w:line="286" w:lineRule="auto"/>
        <w:rPr>
          <w:sz w:val="20"/>
          <w:szCs w:val="20"/>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706F6F"/>
              </w:rPr>
              <w:t>As of December 31,</w:t>
            </w:r>
          </w:p>
        </w:tc>
        <w:tc>
          <w:tcPr>
            <w:tcW w:w="0" w:type="dxa"/>
            <w:vAlign w:val="bottom"/>
          </w:tcPr>
          <w:p>
            <w:pPr>
              <w:spacing w:after="0"/>
              <w:rPr>
                <w:sz w:val="1"/>
                <w:szCs w:val="1"/>
                <w:color w:val="auto"/>
              </w:rPr>
            </w:pPr>
          </w:p>
        </w:tc>
      </w:tr>
      <w:tr>
        <w:trPr>
          <w:trHeight w:val="252"/>
        </w:trPr>
        <w:tc>
          <w:tcPr>
            <w:tcW w:w="6920" w:type="dxa"/>
            <w:vAlign w:val="bottom"/>
          </w:tcPr>
          <w:p>
            <w:pPr>
              <w:spacing w:after="0"/>
              <w:rPr>
                <w:sz w:val="21"/>
                <w:szCs w:val="21"/>
                <w:color w:val="auto"/>
              </w:rPr>
            </w:pPr>
          </w:p>
        </w:tc>
        <w:tc>
          <w:tcPr>
            <w:tcW w:w="300" w:type="dxa"/>
            <w:vAlign w:val="bottom"/>
            <w:tcBorders>
              <w:bottom w:val="single" w:sz="8" w:color="006DB6"/>
            </w:tcBorders>
          </w:tcPr>
          <w:p>
            <w:pPr>
              <w:spacing w:after="0"/>
              <w:rPr>
                <w:sz w:val="21"/>
                <w:szCs w:val="21"/>
                <w:color w:val="auto"/>
              </w:rPr>
            </w:pPr>
          </w:p>
        </w:tc>
        <w:tc>
          <w:tcPr>
            <w:tcW w:w="108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2023</w:t>
            </w:r>
          </w:p>
        </w:tc>
        <w:tc>
          <w:tcPr>
            <w:tcW w:w="280" w:type="dxa"/>
            <w:vAlign w:val="bottom"/>
            <w:tcBorders>
              <w:bottom w:val="single" w:sz="8" w:color="006DB6"/>
            </w:tcBorders>
          </w:tcPr>
          <w:p>
            <w:pPr>
              <w:spacing w:after="0"/>
              <w:rPr>
                <w:sz w:val="21"/>
                <w:szCs w:val="21"/>
                <w:color w:val="auto"/>
              </w:rPr>
            </w:pPr>
          </w:p>
        </w:tc>
        <w:tc>
          <w:tcPr>
            <w:tcW w:w="1100" w:type="dxa"/>
            <w:vAlign w:val="bottom"/>
            <w:tcBorders>
              <w:bottom w:val="single" w:sz="8" w:color="006DB6"/>
            </w:tcBorders>
          </w:tcPr>
          <w:p>
            <w:pPr>
              <w:jc w:val="right"/>
              <w:spacing w:after="0"/>
              <w:rPr>
                <w:sz w:val="20"/>
                <w:szCs w:val="20"/>
                <w:color w:val="auto"/>
              </w:rPr>
            </w:pPr>
            <w:r>
              <w:rPr>
                <w:rFonts w:ascii="Arial" w:cs="Arial" w:eastAsia="Arial" w:hAnsi="Arial"/>
                <w:sz w:val="14"/>
                <w:szCs w:val="14"/>
                <w:b w:val="1"/>
                <w:bCs w:val="1"/>
                <w:color w:val="6D6D6D"/>
              </w:rPr>
              <w:t>2022</w:t>
            </w: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6"/>
                <w:szCs w:val="16"/>
                <w:color w:val="auto"/>
              </w:rPr>
              <w:t>Total debt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65,554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132,037</w:t>
            </w:r>
          </w:p>
        </w:tc>
        <w:tc>
          <w:tcPr>
            <w:tcW w:w="0" w:type="dxa"/>
            <w:vAlign w:val="bottom"/>
          </w:tcPr>
          <w:p>
            <w:pPr>
              <w:spacing w:after="0"/>
              <w:rPr>
                <w:sz w:val="1"/>
                <w:szCs w:val="1"/>
                <w:color w:val="auto"/>
              </w:rPr>
            </w:pPr>
          </w:p>
        </w:tc>
      </w:tr>
      <w:tr>
        <w:trPr>
          <w:trHeight w:val="252"/>
        </w:trPr>
        <w:tc>
          <w:tcPr>
            <w:tcW w:w="692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30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c>
          <w:tcPr>
            <w:tcW w:w="0" w:type="dxa"/>
            <w:vAlign w:val="bottom"/>
          </w:tcPr>
          <w:p>
            <w:pPr>
              <w:spacing w:after="0"/>
              <w:rPr>
                <w:sz w:val="1"/>
                <w:szCs w:val="1"/>
                <w:color w:val="auto"/>
              </w:rPr>
            </w:pPr>
          </w:p>
        </w:tc>
      </w:tr>
      <w:tr>
        <w:trPr>
          <w:trHeight w:val="243"/>
        </w:trPr>
        <w:tc>
          <w:tcPr>
            <w:tcW w:w="6920" w:type="dxa"/>
            <w:vAlign w:val="bottom"/>
          </w:tcPr>
          <w:p>
            <w:pPr>
              <w:ind w:left="120"/>
              <w:spacing w:after="0"/>
              <w:rPr>
                <w:sz w:val="20"/>
                <w:szCs w:val="20"/>
                <w:color w:val="auto"/>
              </w:rPr>
            </w:pPr>
            <w:r>
              <w:rPr>
                <w:rFonts w:ascii="Arial" w:cs="Arial" w:eastAsia="Arial" w:hAnsi="Arial"/>
                <w:sz w:val="16"/>
                <w:szCs w:val="16"/>
                <w:color w:val="auto"/>
              </w:rPr>
              <w:t>Net debt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124,083</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6"/>
                <w:szCs w:val="16"/>
                <w:color w:val="auto"/>
              </w:rPr>
              <w:t xml:space="preserve">Adjusted EBITDA for the twelve months ended December 31, 2023 and 2022 </w:t>
            </w:r>
            <w:r>
              <w:rPr>
                <w:rFonts w:ascii="Arial" w:cs="Arial" w:eastAsia="Arial" w:hAnsi="Arial"/>
                <w:sz w:val="21"/>
                <w:szCs w:val="21"/>
                <w:color w:val="auto"/>
                <w:vertAlign w:val="superscript"/>
              </w:rPr>
              <w:t>(1)</w:t>
            </w: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92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102,034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112,769</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4,460</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43"/>
        </w:trPr>
        <w:tc>
          <w:tcPr>
            <w:tcW w:w="692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8"/>
        </w:trPr>
        <w:tc>
          <w:tcPr>
            <w:tcW w:w="6920" w:type="dxa"/>
            <w:vAlign w:val="bottom"/>
          </w:tcPr>
          <w:p>
            <w:pPr>
              <w:ind w:left="120"/>
              <w:spacing w:after="0"/>
              <w:rPr>
                <w:sz w:val="20"/>
                <w:szCs w:val="20"/>
                <w:color w:val="auto"/>
              </w:rPr>
            </w:pPr>
            <w:r>
              <w:rPr>
                <w:rFonts w:ascii="Arial" w:cs="Arial" w:eastAsia="Arial" w:hAnsi="Arial"/>
                <w:sz w:val="16"/>
                <w:szCs w:val="16"/>
                <w:color w:val="auto"/>
              </w:rPr>
              <w:t xml:space="preserve">Incremental adjustments for McClelland Lake Lodge disposition </w:t>
            </w:r>
            <w:r>
              <w:rPr>
                <w:rFonts w:ascii="Arial" w:cs="Arial" w:eastAsia="Arial" w:hAnsi="Arial"/>
                <w:sz w:val="21"/>
                <w:szCs w:val="21"/>
                <w:color w:val="auto"/>
                <w:vertAlign w:val="superscript"/>
              </w:rPr>
              <w:t>(2)</w:t>
            </w:r>
          </w:p>
        </w:tc>
        <w:tc>
          <w:tcPr>
            <w:tcW w:w="30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2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20" w:type="dxa"/>
            <w:vAlign w:val="bottom"/>
          </w:tcPr>
          <w:p>
            <w:pPr>
              <w:ind w:left="220"/>
              <w:spacing w:after="0"/>
              <w:rPr>
                <w:sz w:val="20"/>
                <w:szCs w:val="20"/>
                <w:color w:val="auto"/>
              </w:rPr>
            </w:pPr>
            <w:r>
              <w:rPr>
                <w:rFonts w:ascii="Arial" w:cs="Arial" w:eastAsia="Arial" w:hAnsi="Arial"/>
                <w:sz w:val="16"/>
                <w:szCs w:val="16"/>
                <w:color w:val="auto"/>
              </w:rPr>
              <w:t>Bank-adjusted EBITDA</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109,996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116,595</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120"/>
              <w:spacing w:after="0"/>
              <w:rPr>
                <w:sz w:val="20"/>
                <w:szCs w:val="20"/>
                <w:color w:val="auto"/>
              </w:rPr>
            </w:pPr>
            <w:r>
              <w:rPr>
                <w:rFonts w:ascii="Arial" w:cs="Arial" w:eastAsia="Arial" w:hAnsi="Arial"/>
                <w:sz w:val="16"/>
                <w:szCs w:val="16"/>
                <w:color w:val="auto"/>
              </w:rPr>
              <w:t xml:space="preserve">Net leverage ratio </w:t>
            </w:r>
            <w:r>
              <w:rPr>
                <w:rFonts w:ascii="Arial" w:cs="Arial" w:eastAsia="Arial" w:hAnsi="Arial"/>
                <w:sz w:val="21"/>
                <w:szCs w:val="21"/>
                <w:color w:val="auto"/>
                <w:vertAlign w:val="superscript"/>
              </w:rPr>
              <w:t>(3)</w:t>
            </w: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6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0.6x</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1.1x</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260" w:hanging="252"/>
        <w:spacing w:after="0"/>
        <w:tabs>
          <w:tab w:leader="none" w:pos="2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See above for reconciliation of Adjusted EBITDA to net income (loss) attributable to Civeo Corporation.</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791845</wp:posOffset>
            </wp:positionV>
            <wp:extent cx="7157720" cy="83191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8319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086475" cy="78606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606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
      <w:numFmt w:val="bullet"/>
      <w:start w:val="1"/>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
      <w:numFmt w:val="bullet"/>
      <w:start w:val="1"/>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8"/>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
      <w:numFmt w:val="bullet"/>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
      <w:numFmt w:val="bullet"/>
      <w:start w:val="1"/>
    </w:lvl>
  </w:abstractNum>
  <w:abstractNum w:abstractNumId="15">
    <w:nsid w:val="3DD15094"/>
    <w:multiLevelType w:val="hybridMultilevel"/>
    <w:lvl w:ilvl="0">
      <w:lvlJc w:val="left"/>
      <w:lvlText w:val="•"/>
      <w:numFmt w:val="bullet"/>
      <w:start w:val="1"/>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
      <w:numFmt w:val="bullet"/>
      <w:start w:val="1"/>
    </w:lvl>
    <w:lvl w:ilvl="1">
      <w:lvlJc w:val="left"/>
      <w:lvlText w:val="◦"/>
      <w:numFmt w:val="bullet"/>
      <w:start w:val="1"/>
    </w:lvl>
  </w:abstractNum>
  <w:abstractNum w:abstractNumId="18">
    <w:nsid w:val="5B25ACE2"/>
    <w:multiLevelType w:val="hybridMultilevel"/>
    <w:lvl w:ilvl="0">
      <w:lvlJc w:val="left"/>
      <w:lvlText w:val="•"/>
      <w:numFmt w:val="bullet"/>
      <w:start w:val="1"/>
    </w:lvl>
    <w:lvl w:ilvl="1">
      <w:lvlJc w:val="left"/>
      <w:lvlText w:val="◦"/>
      <w:numFmt w:val="bullet"/>
      <w:start w:val="1"/>
    </w:lvl>
  </w:abstractNum>
  <w:abstractNum w:abstractNumId="19">
    <w:nsid w:val="175DFCF0"/>
    <w:multiLevelType w:val="hybridMultilevel"/>
    <w:lvl w:ilvl="0">
      <w:lvlJc w:val="left"/>
      <w:lvlText w:val="•"/>
      <w:numFmt w:val="bullet"/>
      <w:start w:val="1"/>
    </w:lvl>
    <w:lvl w:ilvl="1">
      <w:lvlJc w:val="left"/>
      <w:lvlText w:val="◦"/>
      <w:numFmt w:val="bullet"/>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
      <w:numFmt w:val="bullet"/>
      <w:start w:val="1"/>
    </w:lvl>
  </w:abstractNum>
  <w:abstractNum w:abstractNumId="23">
    <w:nsid w:val="5915FF32"/>
    <w:multiLevelType w:val="hybridMultilevel"/>
    <w:lvl w:ilvl="0">
      <w:lvlJc w:val="left"/>
      <w:lvlText w:val="•"/>
      <w:numFmt w:val="bullet"/>
      <w:start w:val="1"/>
    </w:lvl>
  </w:abstractNum>
  <w:abstractNum w:abstractNumId="24">
    <w:nsid w:val="56438D15"/>
    <w:multiLevelType w:val="hybridMultilevel"/>
    <w:lvl w:ilvl="0">
      <w:lvlJc w:val="left"/>
      <w:lvlText w:val="•"/>
      <w:numFmt w:val="bullet"/>
      <w:start w:val="1"/>
    </w:lvl>
  </w:abstractNum>
  <w:abstractNum w:abstractNumId="25">
    <w:nsid w:val="519E3149"/>
    <w:multiLevelType w:val="hybridMultilevel"/>
    <w:lvl w:ilvl="0">
      <w:lvlJc w:val="left"/>
      <w:lvlText w:val="•"/>
      <w:numFmt w:val="bullet"/>
      <w:start w:val="1"/>
    </w:lvl>
  </w:abstractNum>
  <w:abstractNum w:abstractNumId="26">
    <w:nsid w:val="2C6E4AFD"/>
    <w:multiLevelType w:val="hybridMultilevel"/>
    <w:lvl w:ilvl="0">
      <w:lvlJc w:val="left"/>
      <w:lvlText w:val="•"/>
      <w:numFmt w:val="bullet"/>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
      <w:numFmt w:val="bullet"/>
      <w:start w:val="1"/>
    </w:lvl>
  </w:abstractNum>
  <w:abstractNum w:abstractNumId="29">
    <w:nsid w:val="5046B5A9"/>
    <w:multiLevelType w:val="hybridMultilevel"/>
    <w:lvl w:ilvl="0">
      <w:lvlJc w:val="left"/>
      <w:lvlText w:val="%1."/>
      <w:numFmt w:val="decimal"/>
      <w:start w:val="1"/>
    </w:lvl>
  </w:abstractNum>
  <w:abstractNum w:abstractNumId="30">
    <w:nsid w:val="5D888A08"/>
    <w:multiLevelType w:val="hybridMultilevel"/>
    <w:lvl w:ilvl="0">
      <w:lvlJc w:val="left"/>
      <w:lvlText w:val="(%1)"/>
      <w:numFmt w:val="decimal"/>
      <w:start w:val="1"/>
    </w:lvl>
  </w:abstractNum>
  <w:abstractNum w:abstractNumId="31">
    <w:nsid w:val="2A082C70"/>
    <w:multiLevelType w:val="hybridMultilevel"/>
    <w:lvl w:ilvl="0">
      <w:lvlJc w:val="left"/>
      <w:lvlText w:val="*"/>
      <w:numFmt w:val="bullet"/>
      <w:start w:val="1"/>
    </w:lvl>
  </w:abstractNum>
  <w:abstractNum w:abstractNumId="32">
    <w:nsid w:val="5EC6AFD4"/>
    <w:multiLevelType w:val="hybridMultilevel"/>
    <w:lvl w:ilvl="0">
      <w:lvlJc w:val="left"/>
      <w:lvlText w:val="*"/>
      <w:numFmt w:val="bullet"/>
      <w:start w:val="1"/>
    </w:lvl>
  </w:abstractNum>
  <w:abstractNum w:abstractNumId="33">
    <w:nsid w:val="19E21BB2"/>
    <w:multiLevelType w:val="hybridMultilevel"/>
    <w:lvl w:ilvl="0">
      <w:lvlJc w:val="left"/>
      <w:lvlText w:val="•"/>
      <w:numFmt w:val="bullet"/>
      <w:start w:val="1"/>
    </w:lvl>
    <w:lvl w:ilvl="1">
      <w:lvlJc w:val="left"/>
      <w:lvlText w:val="(%2)"/>
      <w:numFmt w:val="decimal"/>
      <w:start w:val="1"/>
    </w:lvl>
  </w:abstractNum>
  <w:abstractNum w:abstractNumId="34">
    <w:nsid w:val="75E0858A"/>
    <w:multiLevelType w:val="hybridMultilevel"/>
    <w:lvl w:ilvl="0">
      <w:lvlJc w:val="left"/>
      <w:lvlText w:val="•"/>
      <w:numFmt w:val="bullet"/>
      <w:start w:val="1"/>
    </w:lvl>
  </w:abstractNum>
  <w:abstractNum w:abstractNumId="35">
    <w:nsid w:val="57A61A29"/>
    <w:multiLevelType w:val="hybridMultilevel"/>
    <w:lvl w:ilvl="0">
      <w:lvlJc w:val="left"/>
      <w:lvlText w:val="•"/>
      <w:numFmt w:val="bullet"/>
      <w:start w:val="1"/>
    </w:lvl>
  </w:abstractNum>
  <w:abstractNum w:abstractNumId="36">
    <w:nsid w:val="5399C654"/>
    <w:multiLevelType w:val="hybridMultilevel"/>
    <w:lvl w:ilvl="0">
      <w:lvlJc w:val="left"/>
      <w:lvlText w:val="•"/>
      <w:numFmt w:val="bullet"/>
      <w:start w:val="1"/>
    </w:lvl>
  </w:abstractNum>
  <w:abstractNum w:abstractNumId="37">
    <w:nsid w:val="20EE1348"/>
    <w:multiLevelType w:val="hybridMultilevel"/>
    <w:lvl w:ilvl="0">
      <w:lvlJc w:val="left"/>
      <w:lvlText w:val="•"/>
      <w:numFmt w:val="bullet"/>
      <w:start w:val="1"/>
    </w:lvl>
  </w:abstractNum>
  <w:abstractNum w:abstractNumId="38">
    <w:nsid w:val="4427069A"/>
    <w:multiLevelType w:val="hybridMultilevel"/>
    <w:lvl w:ilvl="0">
      <w:lvlJc w:val="left"/>
      <w:lvlText w:val="•"/>
      <w:numFmt w:val="bullet"/>
      <w:start w:val="1"/>
    </w:lvl>
  </w:abstractNum>
  <w:abstractNum w:abstractNumId="39">
    <w:nsid w:val="B37E80A"/>
    <w:multiLevelType w:val="hybridMultilevel"/>
    <w:lvl w:ilvl="0">
      <w:lvlJc w:val="left"/>
      <w:lvlText w:val="(%1)"/>
      <w:numFmt w:val="decimal"/>
      <w:start w:val="1"/>
    </w:lvl>
  </w:abstractNum>
  <w:abstractNum w:abstractNumId="40">
    <w:nsid w:val="2157F6BC"/>
    <w:multiLevelType w:val="hybridMultilevel"/>
    <w:lvl w:ilvl="0">
      <w:lvlJc w:val="left"/>
      <w:lvlText w:val="•"/>
      <w:numFmt w:val="bullet"/>
      <w:start w:val="1"/>
    </w:lvl>
  </w:abstractNum>
  <w:abstractNum w:abstractNumId="41">
    <w:nsid w:val="704E1DD5"/>
    <w:multiLevelType w:val="hybridMultilevel"/>
    <w:lvl w:ilvl="0">
      <w:lvlJc w:val="left"/>
      <w:lvlText w:val="•"/>
      <w:numFmt w:val="bullet"/>
      <w:start w:val="1"/>
    </w:lvl>
  </w:abstractNum>
  <w:abstractNum w:abstractNumId="42">
    <w:nsid w:val="57D2F10E"/>
    <w:multiLevelType w:val="hybridMultilevel"/>
    <w:lvl w:ilvl="0">
      <w:lvlJc w:val="left"/>
      <w:lvlText w:val="(%1)"/>
      <w:numFmt w:val="decimal"/>
      <w:start w:val="1"/>
    </w:lvl>
  </w:abstractNum>
  <w:abstractNum w:abstractNumId="43">
    <w:nsid w:val="BFFAE18"/>
    <w:multiLevelType w:val="hybridMultilevel"/>
    <w:lvl w:ilvl="0">
      <w:lvlJc w:val="left"/>
      <w:lvlText w:val="\endash "/>
      <w:numFmt w:val="bullet"/>
      <w:start w:val="1"/>
    </w:lvl>
  </w:abstractNum>
  <w:abstractNum w:abstractNumId="44">
    <w:nsid w:val="E3E47A8"/>
    <w:multiLevelType w:val="hybridMultilevel"/>
    <w:lvl w:ilvl="0">
      <w:lvlJc w:val="left"/>
      <w:lvlText w:val="•"/>
      <w:numFmt w:val="bullet"/>
      <w:start w:val="1"/>
    </w:lvl>
  </w:abstractNum>
  <w:abstractNum w:abstractNumId="45">
    <w:nsid w:val="2E48F044"/>
    <w:multiLevelType w:val="hybridMultilevel"/>
    <w:lvl w:ilvl="0">
      <w:lvlJc w:val="left"/>
      <w:lvlText w:val="(%1)"/>
      <w:numFmt w:val="decimal"/>
      <w:start w:val="1"/>
    </w:lvl>
  </w:abstractNum>
  <w:abstractNum w:abstractNumId="46">
    <w:nsid w:val="49D0FEAC"/>
    <w:multiLevelType w:val="hybridMultilevel"/>
    <w:lvl w:ilvl="0">
      <w:lvlJc w:val="left"/>
      <w:lvlText w:val="(%1)"/>
      <w:numFmt w:val="lowerLetter"/>
      <w:start w:val="1"/>
    </w:lvl>
  </w:abstractNum>
  <w:abstractNum w:abstractNumId="47">
    <w:nsid w:val="4BEE5A5B"/>
    <w:multiLevelType w:val="hybridMultilevel"/>
    <w:lvl w:ilvl="0">
      <w:lvlJc w:val="left"/>
      <w:lvlText w:val="(%1)"/>
      <w:numFmt w:val="decimal"/>
      <w:start w:val="1"/>
    </w:lvl>
  </w:abstractNum>
  <w:abstractNum w:abstractNumId="48">
    <w:nsid w:val="5551B9F3"/>
    <w:multiLevelType w:val="hybridMultilevel"/>
    <w:lvl w:ilvl="0">
      <w:lvlJc w:val="left"/>
      <w:lvlText w:val="(%1)"/>
      <w:numFmt w:val="decimal"/>
      <w:start w:val="6"/>
    </w:lvl>
  </w:abstractNum>
  <w:abstractNum w:abstractNumId="49">
    <w:nsid w:val="24F6AB8E"/>
    <w:multiLevelType w:val="hybridMultilevel"/>
    <w:lvl w:ilvl="0">
      <w:lvlJc w:val="left"/>
      <w:lvlText w:val="(%1)"/>
      <w:numFmt w:val="decimal"/>
      <w:start w:val="1"/>
    </w:lvl>
  </w:abstractNum>
  <w:abstractNum w:abstractNumId="50">
    <w:nsid w:val="634C574C"/>
    <w:multiLevelType w:val="hybridMultilevel"/>
    <w:lvl w:ilvl="0">
      <w:lvlJc w:val="left"/>
      <w:lvlText w:val="(%1)"/>
      <w:numFmt w:val="decimal"/>
      <w:start w:val="1"/>
    </w:lvl>
  </w:abstractNum>
  <w:abstractNum w:abstractNumId="51">
    <w:nsid w:val="24E99DD7"/>
    <w:multiLevelType w:val="hybridMultilevel"/>
    <w:lvl w:ilvl="0">
      <w:lvlJc w:val="left"/>
      <w:lvlText w:val="(%1)"/>
      <w:numFmt w:val="decimal"/>
      <w:start w:val="1"/>
    </w:lvl>
  </w:abstractNum>
  <w:abstractNum w:abstractNumId="52">
    <w:nsid w:val="2A31B62D"/>
    <w:multiLevelType w:val="hybridMultilevel"/>
    <w:lvl w:ilvl="0">
      <w:lvlJc w:val="left"/>
      <w:lvlText w:val="(%1)"/>
      <w:numFmt w:val="decimal"/>
      <w:start w:val="1"/>
    </w:lvl>
  </w:abstractNum>
  <w:abstractNum w:abstractNumId="53">
    <w:nsid w:val="1849C29B"/>
    <w:multiLevelType w:val="hybridMultilevel"/>
    <w:lvl w:ilvl="0">
      <w:lvlJc w:val="left"/>
      <w:lvlText w:val="(%1)"/>
      <w:numFmt w:val="decimal"/>
      <w:start w:val="2"/>
    </w:lvl>
  </w:abstractNum>
  <w:abstractNum w:abstractNumId="54">
    <w:nsid w:val="7DFF9D09"/>
    <w:multiLevelType w:val="hybridMultilevel"/>
    <w:lvl w:ilvl="0">
      <w:lvlJc w:val="left"/>
      <w:lvlText w:val="•"/>
      <w:numFmt w:val="bullet"/>
      <w:start w:val="1"/>
    </w:lvl>
  </w:abstractNum>
  <w:abstractNum w:abstractNumId="55">
    <w:nsid w:val="754342"/>
    <w:multiLevelType w:val="hybridMultilevel"/>
    <w:lvl w:ilvl="0">
      <w:lvlJc w:val="left"/>
      <w:lvlText w:val="•"/>
      <w:numFmt w:val="bullet"/>
      <w:start w:val="1"/>
    </w:lvl>
  </w:abstractNum>
  <w:abstractNum w:abstractNumId="56">
    <w:nsid w:val="69E7F3E5"/>
    <w:multiLevelType w:val="hybridMultilevel"/>
    <w:lvl w:ilvl="0">
      <w:lvlJc w:val="left"/>
      <w:lvlText w:val="•"/>
      <w:numFmt w:val="bullet"/>
      <w:start w:val="1"/>
    </w:lvl>
  </w:abstractNum>
  <w:abstractNum w:abstractNumId="57">
    <w:nsid w:val="2A6DE806"/>
    <w:multiLevelType w:val="hybridMultilevel"/>
    <w:lvl w:ilvl="0">
      <w:lvlJc w:val="left"/>
      <w:lvlText w:val="*"/>
      <w:numFmt w:val="bullet"/>
      <w:start w:val="1"/>
    </w:lvl>
  </w:abstractNum>
  <w:abstractNum w:abstractNumId="58">
    <w:nsid w:val="1816F8C4"/>
    <w:multiLevelType w:val="hybridMultilevel"/>
    <w:lvl w:ilvl="0">
      <w:lvlJc w:val="left"/>
      <w:lvlText w:val="(%1)"/>
      <w:numFmt w:val="decimal"/>
      <w:start w:val="1"/>
    </w:lvl>
  </w:abstractNum>
  <w:abstractNum w:abstractNumId="59">
    <w:nsid w:val="37DF2233"/>
    <w:multiLevelType w:val="hybridMultilevel"/>
    <w:lvl w:ilvl="0">
      <w:lvlJc w:val="left"/>
      <w:lvlText w:val="(%1)"/>
      <w:numFmt w:val="decimal"/>
      <w:start w:val="5"/>
    </w:lvl>
  </w:abstractNum>
  <w:abstractNum w:abstractNumId="60">
    <w:nsid w:val="7AB49DAF"/>
    <w:multiLevelType w:val="hybridMultilevel"/>
    <w:lvl w:ilvl="0">
      <w:lvlJc w:val="left"/>
      <w:lvlText w:val="•"/>
      <w:numFmt w:val="bullet"/>
      <w:start w:val="1"/>
    </w:lvl>
  </w:abstractNum>
  <w:abstractNum w:abstractNumId="61">
    <w:nsid w:val="759F82CD"/>
    <w:multiLevelType w:val="hybridMultilevel"/>
    <w:lvl w:ilvl="0">
      <w:lvlJc w:val="left"/>
      <w:lvlText w:val="%1:"/>
      <w:numFmt w:val="upperLetter"/>
      <w:start w:val="1"/>
    </w:lvl>
  </w:abstractNum>
  <w:abstractNum w:abstractNumId="62">
    <w:nsid w:val="61E74EA3"/>
    <w:multiLevelType w:val="hybridMultilevel"/>
    <w:lvl w:ilvl="0">
      <w:lvlJc w:val="left"/>
      <w:lvlText w:val="%1:"/>
      <w:numFmt w:val="upperLetter"/>
      <w:start w:val="1"/>
    </w:lvl>
  </w:abstractNum>
  <w:abstractNum w:abstractNumId="63">
    <w:nsid w:val="597B4D84"/>
    <w:multiLevelType w:val="hybridMultilevel"/>
    <w:lvl w:ilvl="0">
      <w:lvlJc w:val="left"/>
      <w:lvlText w:val="%1:"/>
      <w:numFmt w:val="upperLetter"/>
      <w:start w:val="1"/>
    </w:lvl>
  </w:abstractNum>
  <w:abstractNum w:abstractNumId="64">
    <w:nsid w:val="F819E7F"/>
    <w:multiLevelType w:val="hybridMultilevel"/>
    <w:lvl w:ilvl="0">
      <w:lvlJc w:val="left"/>
      <w:lvlText w:val="%1:"/>
      <w:numFmt w:val="upperLetter"/>
      <w:start w:val="1"/>
    </w:lvl>
  </w:abstractNum>
  <w:abstractNum w:abstractNumId="65">
    <w:nsid w:val="57C7D42D"/>
    <w:multiLevelType w:val="hybridMultilevel"/>
    <w:lvl w:ilvl="0">
      <w:lvlJc w:val="left"/>
      <w:lvlText w:val="•"/>
      <w:numFmt w:val="bullet"/>
      <w:start w:val="1"/>
    </w:lvl>
  </w:abstractNum>
  <w:abstractNum w:abstractNumId="66">
    <w:nsid w:val="312167AD"/>
    <w:multiLevelType w:val="hybridMultilevel"/>
    <w:lvl w:ilvl="0">
      <w:lvlJc w:val="left"/>
      <w:lvlText w:val="%1:"/>
      <w:numFmt w:val="upperLetter"/>
      <w:start w:val="1"/>
    </w:lvl>
  </w:abstractNum>
  <w:abstractNum w:abstractNumId="67">
    <w:nsid w:val="631B64D4"/>
    <w:multiLevelType w:val="hybridMultilevel"/>
    <w:lvl w:ilvl="0">
      <w:lvlJc w:val="left"/>
      <w:lvlText w:val="%1:"/>
      <w:numFmt w:val="upperLetter"/>
      <w:start w:val="1"/>
    </w:lvl>
  </w:abstractNum>
  <w:abstractNum w:abstractNumId="68">
    <w:nsid w:val="78B5E776"/>
    <w:multiLevelType w:val="hybridMultilevel"/>
    <w:lvl w:ilvl="0">
      <w:lvlJc w:val="left"/>
      <w:lvlText w:val="%1."/>
      <w:numFmt w:val="decimal"/>
      <w:start w:val="1"/>
    </w:lvl>
  </w:abstractNum>
  <w:abstractNum w:abstractNumId="69">
    <w:nsid w:val="75486E47"/>
    <w:multiLevelType w:val="hybridMultilevel"/>
    <w:lvl w:ilvl="0">
      <w:lvlJc w:val="left"/>
      <w:lvlText w:val="%1:"/>
      <w:numFmt w:val="upperLetter"/>
      <w:start w:val="1"/>
    </w:lvl>
  </w:abstractNum>
  <w:abstractNum w:abstractNumId="70">
    <w:nsid w:val="6E534CDE"/>
    <w:multiLevelType w:val="hybridMultilevel"/>
    <w:lvl w:ilvl="0">
      <w:lvlJc w:val="left"/>
      <w:lvlText w:val="%1:"/>
      <w:numFmt w:val="upperLetter"/>
      <w:start w:val="1"/>
    </w:lvl>
  </w:abstractNum>
  <w:abstractNum w:abstractNumId="71">
    <w:nsid w:val="1A0DDE32"/>
    <w:multiLevelType w:val="hybridMultilevel"/>
    <w:lvl w:ilvl="0">
      <w:lvlJc w:val="left"/>
      <w:lvlText w:val="%1:"/>
      <w:numFmt w:val="upperLetter"/>
      <w:start w:val="1"/>
    </w:lvl>
  </w:abstractNum>
  <w:abstractNum w:abstractNumId="72">
    <w:nsid w:val="65968C1C"/>
    <w:multiLevelType w:val="hybridMultilevel"/>
    <w:lvl w:ilvl="0">
      <w:lvlJc w:val="left"/>
      <w:lvlText w:val="•"/>
      <w:numFmt w:val="bullet"/>
      <w:start w:val="1"/>
    </w:lvl>
  </w:abstractNum>
  <w:abstractNum w:abstractNumId="73">
    <w:nsid w:val="46263DEC"/>
    <w:multiLevelType w:val="hybridMultilevel"/>
    <w:lvl w:ilvl="0">
      <w:lvlJc w:val="left"/>
      <w:lvlText w:val="%1:"/>
      <w:numFmt w:val="upperLetter"/>
      <w:start w:val="1"/>
    </w:lvl>
  </w:abstractNum>
  <w:abstractNum w:abstractNumId="74">
    <w:nsid w:val="260D8C4A"/>
    <w:multiLevelType w:val="hybridMultilevel"/>
    <w:lvl w:ilvl="0">
      <w:lvlJc w:val="left"/>
      <w:lvlText w:val="%1:"/>
      <w:numFmt w:val="upperLetter"/>
      <w:start w:val="1"/>
    </w:lvl>
  </w:abstractNum>
  <w:abstractNum w:abstractNumId="75">
    <w:nsid w:val="73D4D3C4"/>
    <w:multiLevelType w:val="hybridMultilevel"/>
    <w:lvl w:ilvl="0">
      <w:lvlJc w:val="left"/>
      <w:lvlText w:val="•"/>
      <w:numFmt w:val="bullet"/>
      <w:start w:val="1"/>
    </w:lvl>
  </w:abstractNum>
  <w:abstractNum w:abstractNumId="76">
    <w:nsid w:val="746F2E30"/>
    <w:multiLevelType w:val="hybridMultilevel"/>
    <w:lvl w:ilvl="0">
      <w:lvlJc w:val="left"/>
      <w:lvlText w:val="%1:"/>
      <w:numFmt w:val="upperLetter"/>
      <w:start w:val="1"/>
    </w:lvl>
  </w:abstractNum>
  <w:abstractNum w:abstractNumId="77">
    <w:nsid w:val="6FDE8AF6"/>
    <w:multiLevelType w:val="hybridMultilevel"/>
    <w:lvl w:ilvl="0">
      <w:lvlJc w:val="left"/>
      <w:lvlText w:val="%1:"/>
      <w:numFmt w:val="upperLetter"/>
      <w:start w:val="1"/>
    </w:lvl>
  </w:abstractNum>
  <w:abstractNum w:abstractNumId="78">
    <w:nsid w:val="3FC32E20"/>
    <w:multiLevelType w:val="hybridMultilevel"/>
    <w:lvl w:ilvl="0">
      <w:lvlJc w:val="left"/>
      <w:lvlText w:val="%1:"/>
      <w:numFmt w:val="upperLetter"/>
      <w:start w:val="1"/>
    </w:lvl>
  </w:abstractNum>
  <w:abstractNum w:abstractNumId="79">
    <w:nsid w:val="49C0E823"/>
    <w:multiLevelType w:val="hybridMultilevel"/>
    <w:lvl w:ilvl="0">
      <w:lvlJc w:val="left"/>
      <w:lvlText w:val="%1:"/>
      <w:numFmt w:val="upperLetter"/>
      <w:start w:val="1"/>
    </w:lvl>
  </w:abstractNum>
  <w:abstractNum w:abstractNumId="80">
    <w:nsid w:val="14D53685"/>
    <w:multiLevelType w:val="hybridMultilevel"/>
    <w:lvl w:ilvl="0">
      <w:lvlJc w:val="left"/>
      <w:lvlText w:val="%1."/>
      <w:numFmt w:val="lowerLetter"/>
      <w:start w:val="1"/>
    </w:lvl>
  </w:abstractNum>
  <w:abstractNum w:abstractNumId="81">
    <w:nsid w:val="230F856C"/>
    <w:multiLevelType w:val="hybridMultilevel"/>
    <w:lvl w:ilvl="0">
      <w:lvlJc w:val="left"/>
      <w:lvlText w:val="%1."/>
      <w:numFmt w:val="lowerLetter"/>
      <w:start w:val="1"/>
    </w:lvl>
  </w:abstractNum>
  <w:abstractNum w:abstractNumId="82">
    <w:nsid w:val="6EAA85FB"/>
    <w:multiLevelType w:val="hybridMultilevel"/>
    <w:lvl w:ilvl="0">
      <w:lvlJc w:val="left"/>
      <w:lvlText w:val="%1."/>
      <w:numFmt w:val="lowerLetter"/>
      <w:start w:val="1"/>
    </w:lvl>
    <w:lvl w:ilvl="1">
      <w:lvlJc w:val="left"/>
      <w:lvlText w:val="%2."/>
      <w:numFmt w:val="lowerRoman"/>
      <w:start w:val="1"/>
    </w:lvl>
  </w:abstractNum>
  <w:abstractNum w:abstractNumId="83">
    <w:nsid w:val="3F06ECB2"/>
    <w:multiLevelType w:val="hybridMultilevel"/>
    <w:lvl w:ilvl="0">
      <w:lvlJc w:val="left"/>
      <w:lvlText w:val="%1."/>
      <w:numFmt w:val="lowerLetter"/>
      <w:start w:val="1"/>
    </w:lvl>
  </w:abstractNum>
  <w:abstractNum w:abstractNumId="84">
    <w:nsid w:val="3B594807"/>
    <w:multiLevelType w:val="hybridMultilevel"/>
    <w:lvl w:ilvl="0">
      <w:lvlJc w:val="left"/>
      <w:lvlText w:val="%1."/>
      <w:numFmt w:val="lowerLetter"/>
      <w:start w:val="1"/>
    </w:lvl>
  </w:abstractNum>
  <w:abstractNum w:abstractNumId="85">
    <w:nsid w:val="6CAA2304"/>
    <w:multiLevelType w:val="hybridMultilevel"/>
    <w:lvl w:ilvl="0">
      <w:lvlJc w:val="left"/>
      <w:lvlText w:val="%1."/>
      <w:numFmt w:val="lowerLetter"/>
      <w:start w:val="1"/>
    </w:lvl>
  </w:abstractNum>
  <w:abstractNum w:abstractNumId="86">
    <w:nsid w:val="3F7C2FF4"/>
    <w:multiLevelType w:val="hybridMultilevel"/>
    <w:lvl w:ilvl="0">
      <w:lvlJc w:val="left"/>
      <w:lvlText w:val="%1."/>
      <w:numFmt w:val="lowerLetter"/>
      <w:start w:val="1"/>
    </w:lvl>
  </w:abstractNum>
  <w:abstractNum w:abstractNumId="87">
    <w:nsid w:val="25413BEC"/>
    <w:multiLevelType w:val="hybridMultilevel"/>
    <w:lvl w:ilvl="0">
      <w:lvlJc w:val="left"/>
      <w:lvlText w:val="%1."/>
      <w:numFmt w:val="decimal"/>
      <w:start w:val="8"/>
    </w:lvl>
    <w:lvl w:ilvl="1">
      <w:lvlJc w:val="left"/>
      <w:lvlText w:val="%2."/>
      <w:numFmt w:val="lowerLetter"/>
      <w:start w:val="1"/>
    </w:lvl>
  </w:abstractNum>
  <w:abstractNum w:abstractNumId="88">
    <w:nsid w:val="17180B0B"/>
    <w:multiLevelType w:val="hybridMultilevel"/>
    <w:lvl w:ilvl="0">
      <w:lvlJc w:val="left"/>
      <w:lvlText w:val="%1."/>
      <w:numFmt w:val="decimal"/>
      <w:start w:val="9"/>
    </w:lvl>
    <w:lvl w:ilvl="1">
      <w:lvlJc w:val="left"/>
      <w:lvlText w:val="%2."/>
      <w:numFmt w:val="lowerLetter"/>
      <w:start w:val="1"/>
    </w:lvl>
  </w:abstractNum>
  <w:abstractNum w:abstractNumId="89">
    <w:nsid w:val="579328B9"/>
    <w:multiLevelType w:val="hybridMultilevel"/>
    <w:lvl w:ilvl="0">
      <w:lvlJc w:val="left"/>
      <w:lvlText w:val="%1."/>
      <w:numFmt w:val="lowerLetter"/>
      <w:start w:val="5"/>
    </w:lvl>
  </w:abstractNum>
  <w:abstractNum w:abstractNumId="90">
    <w:nsid w:val="5D205E20"/>
    <w:multiLevelType w:val="hybridMultilevel"/>
    <w:lvl w:ilvl="0">
      <w:lvlJc w:val="left"/>
      <w:lvlText w:val="%1."/>
      <w:numFmt w:val="lowerLetter"/>
      <w:start w:val="1"/>
    </w:lvl>
  </w:abstractNum>
  <w:abstractNum w:abstractNumId="91">
    <w:nsid w:val="11CCA8BA"/>
    <w:multiLevelType w:val="hybridMultilevel"/>
    <w:lvl w:ilvl="0">
      <w:lvlJc w:val="left"/>
      <w:lvlText w:val="%1."/>
      <w:numFmt w:val="lowerLetter"/>
      <w:start w:val="1"/>
    </w:lvl>
  </w:abstractNum>
  <w:abstractNum w:abstractNumId="92">
    <w:nsid w:val="4D32AB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
    <w:nsid w:val="3F07ACC3"/>
    <w:multiLevelType w:val="hybridMultilevel"/>
    <w:lvl w:ilvl="0">
      <w:lvlJc w:val="left"/>
      <w:lvlText w:val="%1."/>
      <w:numFmt w:val="lowerLetter"/>
      <w:start w:val="1"/>
    </w:lvl>
  </w:abstractNum>
  <w:abstractNum w:abstractNumId="94">
    <w:nsid w:val="6B47F63E"/>
    <w:multiLevelType w:val="hybridMultilevel"/>
    <w:lvl w:ilvl="0">
      <w:lvlJc w:val="left"/>
      <w:lvlText w:val="%1."/>
      <w:numFmt w:val="lowerLetter"/>
      <w:start w:val="1"/>
    </w:lvl>
  </w:abstractNum>
  <w:abstractNum w:abstractNumId="95">
    <w:nsid w:val="5CB44A05"/>
    <w:multiLevelType w:val="hybridMultilevel"/>
    <w:lvl w:ilvl="0">
      <w:lvlJc w:val="left"/>
      <w:lvlText w:val="%1."/>
      <w:numFmt w:val="lowerLetter"/>
      <w:start w:val="1"/>
    </w:lvl>
  </w:abstractNum>
  <w:abstractNum w:abstractNumId="96">
    <w:nsid w:val="16CF80F1"/>
    <w:multiLevelType w:val="hybridMultilevel"/>
    <w:lvl w:ilvl="0">
      <w:lvlJc w:val="left"/>
      <w:lvlText w:val="%1."/>
      <w:numFmt w:val="lowerLetter"/>
      <w:start w:val="1"/>
    </w:lvl>
  </w:abstractNum>
  <w:abstractNum w:abstractNumId="97">
    <w:nsid w:val="1C695DEC"/>
    <w:multiLevelType w:val="hybridMultilevel"/>
    <w:lvl w:ilvl="0">
      <w:lvlJc w:val="left"/>
      <w:lvlText w:val="%1."/>
      <w:numFmt w:val="lowerLetter"/>
      <w:start w:val="1"/>
    </w:lvl>
    <w:lvl w:ilvl="1">
      <w:lvlJc w:val="left"/>
      <w:lvlText w:val="%2"/>
      <w:numFmt w:val="lowerLetter"/>
      <w:start w:val="1"/>
    </w:lvl>
  </w:abstractNum>
  <w:abstractNum w:abstractNumId="98">
    <w:nsid w:val="3FCFAED9"/>
    <w:multiLevelType w:val="hybridMultilevel"/>
    <w:lvl w:ilvl="0">
      <w:lvlJc w:val="left"/>
      <w:lvlText w:val="%1."/>
      <w:numFmt w:val="lowerRoman"/>
      <w:start w:val="2"/>
    </w:lvl>
    <w:lvl w:ilvl="1">
      <w:lvlJc w:val="left"/>
      <w:lvlText w:val="%2."/>
      <w:numFmt w:val="upperLetter"/>
      <w:start w:val="1"/>
    </w:lvl>
  </w:abstractNum>
  <w:abstractNum w:abstractNumId="99">
    <w:nsid w:val="F856867"/>
    <w:multiLevelType w:val="hybridMultilevel"/>
    <w:lvl w:ilvl="0">
      <w:lvlJc w:val="left"/>
      <w:lvlText w:val="%1."/>
      <w:numFmt w:val="upperLetter"/>
      <w:start w:val="3"/>
    </w:lvl>
  </w:abstractNum>
  <w:abstractNum w:abstractNumId="100">
    <w:nsid w:val="11B1CC33"/>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01">
    <w:nsid w:val="2E22FBB7"/>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abstractNum>
  <w:abstractNum w:abstractNumId="102">
    <w:nsid w:val="29934699"/>
    <w:multiLevelType w:val="hybridMultilevel"/>
    <w:lvl w:ilvl="0">
      <w:lvlJc w:val="left"/>
      <w:lvlText w:val="%1."/>
      <w:numFmt w:val="lowerLetter"/>
      <w:start w:val="3"/>
    </w:lvl>
    <w:lvl w:ilvl="1">
      <w:lvlJc w:val="left"/>
      <w:lvlText w:val="%2."/>
      <w:numFmt w:val="lowerRoman"/>
      <w:start w:val="1"/>
    </w:lvl>
  </w:abstractNum>
  <w:abstractNum w:abstractNumId="103">
    <w:nsid w:val="77485850"/>
    <w:multiLevelType w:val="hybridMultilevel"/>
    <w:lvl w:ilvl="0">
      <w:lvlJc w:val="left"/>
      <w:lvlText w:val="%1."/>
      <w:numFmt w:val="lowerLetter"/>
      <w:start w:val="1"/>
    </w:lvl>
    <w:lvl w:ilvl="1">
      <w:lvlJc w:val="left"/>
      <w:lvlText w:val="%2."/>
      <w:numFmt w:val="lowerRoman"/>
      <w:start w:val="1"/>
    </w:lvl>
  </w:abstractNum>
  <w:abstractNum w:abstractNumId="104">
    <w:nsid w:val="744939A3"/>
    <w:multiLevelType w:val="hybridMultilevel"/>
    <w:lvl w:ilvl="0">
      <w:lvlJc w:val="left"/>
      <w:lvlText w:val="%1."/>
      <w:numFmt w:val="lowerLetter"/>
      <w:start w:val="1"/>
    </w:lvl>
  </w:abstractNum>
  <w:abstractNum w:abstractNumId="105">
    <w:nsid w:val="4FA0D2E3"/>
    <w:multiLevelType w:val="hybridMultilevel"/>
    <w:lvl w:ilvl="0">
      <w:lvlJc w:val="left"/>
      <w:lvlText w:val="%1."/>
      <w:numFmt w:val="lowerLetter"/>
      <w:start w:val="1"/>
    </w:lvl>
  </w:abstractNum>
  <w:abstractNum w:abstractNumId="106">
    <w:nsid w:val="6B1D2C14"/>
    <w:multiLevelType w:val="hybridMultilevel"/>
    <w:lvl w:ilvl="0">
      <w:lvlJc w:val="left"/>
      <w:lvlText w:val="%1."/>
      <w:numFmt w:val="lowerLetter"/>
      <w:start w:val="1"/>
    </w:lvl>
  </w:abstractNum>
  <w:abstractNum w:abstractNumId="107">
    <w:nsid w:val="68B867D3"/>
    <w:multiLevelType w:val="hybridMultilevel"/>
    <w:lvl w:ilvl="0">
      <w:lvlJc w:val="left"/>
      <w:lvlText w:val="%1."/>
      <w:numFmt w:val="lowerLetter"/>
      <w:start w:val="1"/>
    </w:lvl>
  </w:abstractNum>
  <w:abstractNum w:abstractNumId="108">
    <w:nsid w:val="3F7F5DD9"/>
    <w:multiLevelType w:val="hybridMultilevel"/>
    <w:lvl w:ilvl="0">
      <w:lvlJc w:val="left"/>
      <w:lvlText w:val="%1."/>
      <w:numFmt w:val="lowerLetter"/>
      <w:start w:val="1"/>
    </w:lvl>
    <w:lvl w:ilvl="1">
      <w:lvlJc w:val="left"/>
      <w:lvlText w:val="%2."/>
      <w:numFmt w:val="lowerLetter"/>
      <w:start w:val="9"/>
    </w:lvl>
  </w:abstractNum>
  <w:abstractNum w:abstractNumId="109">
    <w:nsid w:val="2AE05A34"/>
    <w:multiLevelType w:val="hybridMultilevel"/>
    <w:lvl w:ilvl="0">
      <w:lvlJc w:val="left"/>
      <w:lvlText w:val="%1"/>
      <w:numFmt w:val="lowerLetter"/>
      <w:start w:val="1"/>
    </w:lvl>
    <w:lvl w:ilvl="1">
      <w:lvlJc w:val="left"/>
      <w:lvlText w:val="%2."/>
      <w:numFmt w:val="lowerLetter"/>
      <w:start w:val="35"/>
    </w:lvl>
  </w:abstractNum>
  <w:abstractNum w:abstractNumId="110">
    <w:nsid w:val="32794FF7"/>
    <w:multiLevelType w:val="hybridMultilevel"/>
    <w:lvl w:ilvl="0">
      <w:lvlJc w:val="left"/>
      <w:lvlText w:val="%1."/>
      <w:numFmt w:val="lowerLetter"/>
      <w:start w:val="2"/>
    </w:lvl>
    <w:lvl w:ilvl="1">
      <w:lvlJc w:val="left"/>
      <w:lvlText w:val="%2."/>
      <w:numFmt w:val="lowerLetter"/>
      <w:start w:val="9"/>
    </w:lvl>
  </w:abstractNum>
  <w:abstractNum w:abstractNumId="111">
    <w:nsid w:val="5454945E"/>
    <w:multiLevelType w:val="hybridMultilevel"/>
    <w:lvl w:ilvl="0">
      <w:lvlJc w:val="left"/>
      <w:lvlText w:val="%1."/>
      <w:numFmt w:val="lowerRoman"/>
      <w:start w:val="2"/>
    </w:lvl>
  </w:abstractNum>
  <w:abstractNum w:abstractNumId="112">
    <w:nsid w:val="4DEFDFA0"/>
    <w:multiLevelType w:val="hybridMultilevel"/>
    <w:lvl w:ilvl="0">
      <w:lvlJc w:val="left"/>
      <w:lvlText w:val="%1."/>
      <w:numFmt w:val="lowerLetter"/>
      <w:start w:val="1"/>
    </w:lvl>
  </w:abstractNum>
  <w:abstractNum w:abstractNumId="113">
    <w:nsid w:val="2123D5F2"/>
    <w:multiLevelType w:val="hybridMultilevel"/>
    <w:lvl w:ilvl="0">
      <w:lvlJc w:val="left"/>
      <w:lvlText w:val="%1."/>
      <w:numFmt w:val="lowerLetter"/>
      <w:start w:val="1"/>
    </w:lvl>
  </w:abstractNum>
  <w:abstractNum w:abstractNumId="114">
    <w:nsid w:val="135B8110"/>
    <w:multiLevelType w:val="hybridMultilevel"/>
    <w:lvl w:ilvl="0">
      <w:lvlJc w:val="left"/>
      <w:lvlText w:val="%1."/>
      <w:numFmt w:val="lowerLetter"/>
      <w:start w:val="2"/>
    </w:lvl>
  </w:abstractNum>
  <w:abstractNum w:abstractNumId="115">
    <w:nsid w:val="94927A8"/>
    <w:multiLevelType w:val="hybridMultilevel"/>
    <w:lvl w:ilvl="0">
      <w:lvlJc w:val="left"/>
      <w:lvlText w:val="%1."/>
      <w:numFmt w:val="lowerLetter"/>
      <w:start w:val="1"/>
    </w:lvl>
  </w:abstractNum>
  <w:abstractNum w:abstractNumId="116">
    <w:nsid w:val="DCDF8F6"/>
    <w:multiLevelType w:val="hybridMultilevel"/>
    <w:lvl w:ilvl="0">
      <w:lvlJc w:val="left"/>
      <w:lvlText w:val="%1."/>
      <w:numFmt w:val="lowerLetter"/>
      <w:start w:val="1"/>
    </w:lvl>
  </w:abstractNum>
  <w:abstractNum w:abstractNumId="117">
    <w:nsid w:val="52D7B105"/>
    <w:multiLevelType w:val="hybridMultilevel"/>
    <w:lvl w:ilvl="0">
      <w:lvlJc w:val="left"/>
      <w:lvlText w:val="%1."/>
      <w:numFmt w:val="lowerLetter"/>
      <w:start w:val="1"/>
    </w:lvl>
  </w:abstractNum>
  <w:abstractNum w:abstractNumId="118">
    <w:nsid w:val="2E8A6394"/>
    <w:multiLevelType w:val="hybridMultilevel"/>
    <w:lvl w:ilvl="0">
      <w:lvlJc w:val="left"/>
      <w:lvlText w:val="%1."/>
      <w:numFmt w:val="lowerLetter"/>
      <w:start w:val="2"/>
    </w:lvl>
  </w:abstractNum>
  <w:abstractNum w:abstractNumId="119">
    <w:nsid w:val="24E60401"/>
    <w:multiLevelType w:val="hybridMultilevel"/>
    <w:lvl w:ilvl="0">
      <w:lvlJc w:val="left"/>
      <w:lvlText w:val="%1."/>
      <w:numFmt w:val="lowerLetter"/>
      <w:start w:val="1"/>
    </w:lvl>
    <w:lvl w:ilvl="1">
      <w:lvlJc w:val="left"/>
      <w:lvlText w:val="%2."/>
      <w:numFmt w:val="lowerRoman"/>
      <w:start w:val="1"/>
    </w:lvl>
  </w:abstractNum>
  <w:abstractNum w:abstractNumId="120">
    <w:nsid w:val="2A6AD9BE"/>
    <w:multiLevelType w:val="hybridMultilevel"/>
    <w:lvl w:ilvl="0">
      <w:lvlJc w:val="left"/>
      <w:lvlText w:val="%1."/>
      <w:numFmt w:val="lowerLetter"/>
      <w:start w:val="1"/>
    </w:lvl>
  </w:abstractNum>
  <w:abstractNum w:abstractNumId="121">
    <w:nsid w:val="BAAC1B4"/>
    <w:multiLevelType w:val="hybridMultilevel"/>
    <w:lvl w:ilvl="0">
      <w:lvlJc w:val="left"/>
      <w:lvlText w:val="%1."/>
      <w:numFmt w:val="lowerLetter"/>
      <w:start w:val="1"/>
    </w:lvl>
  </w:abstractNum>
  <w:abstractNum w:abstractNumId="122">
    <w:nsid w:val="36B2ACBC"/>
    <w:multiLevelType w:val="hybridMultilevel"/>
    <w:lvl w:ilvl="0">
      <w:lvlJc w:val="left"/>
      <w:lvlText w:val="%1."/>
      <w:numFmt w:val="lowerLetter"/>
      <w:start w:val="1"/>
    </w:lvl>
  </w:abstractNum>
  <w:abstractNum w:abstractNumId="123">
    <w:nsid w:val="779D8544"/>
    <w:multiLevelType w:val="hybridMultilevel"/>
    <w:lvl w:ilvl="0">
      <w:lvlJc w:val="left"/>
      <w:lvlText w:val="%1."/>
      <w:numFmt w:val="lowerLetter"/>
      <w:start w:val="1"/>
    </w:lvl>
  </w:abstractNum>
  <w:abstractNum w:abstractNumId="124">
    <w:nsid w:val="4AB26E78"/>
    <w:multiLevelType w:val="hybridMultilevel"/>
    <w:lvl w:ilvl="0">
      <w:lvlJc w:val="left"/>
      <w:lvlText w:val="%1."/>
      <w:numFmt w:val="lowerLetter"/>
      <w:start w:val="1"/>
    </w:lvl>
  </w:abstractNum>
  <w:abstractNum w:abstractNumId="125">
    <w:nsid w:val="21FAA2FA"/>
    <w:multiLevelType w:val="hybridMultilevel"/>
    <w:lvl w:ilvl="0">
      <w:lvlJc w:val="left"/>
      <w:lvlText w:val="%1."/>
      <w:numFmt w:val="lowerLetter"/>
      <w:start w:val="1"/>
    </w:lvl>
  </w:abstractNum>
  <w:abstractNum w:abstractNumId="126">
    <w:nsid w:val="5451CF49"/>
    <w:multiLevelType w:val="hybridMultilevel"/>
    <w:lvl w:ilvl="0">
      <w:lvlJc w:val="left"/>
      <w:lvlText w:val="%1."/>
      <w:numFmt w:val="lowerLetter"/>
      <w:start w:val="1"/>
    </w:lvl>
  </w:abstractNum>
  <w:abstractNum w:abstractNumId="127">
    <w:nsid w:val="6181EF69"/>
    <w:multiLevelType w:val="hybridMultilevel"/>
    <w:lvl w:ilvl="0">
      <w:lvlJc w:val="left"/>
      <w:lvlText w:val="%1."/>
      <w:numFmt w:val="lowerLetter"/>
      <w:start w:val="1"/>
    </w:lvl>
    <w:lvl w:ilvl="1">
      <w:lvlJc w:val="left"/>
      <w:lvlText w:val="%2"/>
      <w:numFmt w:val="lowerLetter"/>
      <w:start w:val="1"/>
    </w:lvl>
  </w:abstractNum>
  <w:abstractNum w:abstractNumId="128">
    <w:nsid w:val="3E6400E6"/>
    <w:multiLevelType w:val="hybridMultilevel"/>
    <w:lvl w:ilvl="0">
      <w:lvlJc w:val="left"/>
      <w:lvlText w:val="%1."/>
      <w:numFmt w:val="lowerRoman"/>
      <w:start w:val="2"/>
    </w:lvl>
  </w:abstractNum>
  <w:abstractNum w:abstractNumId="129">
    <w:nsid w:val="14217E23"/>
    <w:multiLevelType w:val="hybridMultilevel"/>
    <w:lvl w:ilvl="0">
      <w:lvlJc w:val="left"/>
      <w:lvlText w:val="%1."/>
      <w:numFmt w:val="lowerLetter"/>
      <w:start w:val="3"/>
    </w:lvl>
  </w:abstractNum>
  <w:abstractNum w:abstractNumId="130">
    <w:nsid w:val="710757D0"/>
    <w:multiLevelType w:val="hybridMultilevel"/>
    <w:lvl w:ilvl="0">
      <w:lvlJc w:val="left"/>
      <w:lvlText w:val="%1."/>
      <w:numFmt w:val="lowerLetter"/>
      <w:start w:val="1"/>
    </w:lvl>
  </w:abstractNum>
  <w:abstractNum w:abstractNumId="131">
    <w:nsid w:val="5015CD1A"/>
    <w:multiLevelType w:val="hybridMultilevel"/>
    <w:lvl w:ilvl="0">
      <w:lvlJc w:val="left"/>
      <w:lvlText w:val="%1."/>
      <w:numFmt w:val="lowerLetter"/>
      <w:start w:val="1"/>
    </w:lvl>
  </w:abstractNum>
  <w:abstractNum w:abstractNumId="132">
    <w:nsid w:val="424479DA"/>
    <w:multiLevelType w:val="hybridMultilevel"/>
    <w:lvl w:ilvl="0">
      <w:lvlJc w:val="left"/>
      <w:lvlText w:val="%1."/>
      <w:numFmt w:val="lowerLetter"/>
      <w:start w:val="1"/>
    </w:lvl>
  </w:abstractNum>
  <w:abstractNum w:abstractNumId="133">
    <w:nsid w:val="1A9A9E69"/>
    <w:multiLevelType w:val="hybridMultilevel"/>
    <w:lvl w:ilvl="0">
      <w:lvlJc w:val="left"/>
      <w:lvlText w:val="%1."/>
      <w:numFmt w:val="lowerLetter"/>
      <w:start w:val="1"/>
    </w:lvl>
  </w:abstractNum>
  <w:abstractNum w:abstractNumId="134">
    <w:nsid w:val="475E256A"/>
    <w:multiLevelType w:val="hybridMultilevel"/>
    <w:lvl w:ilvl="0">
      <w:lvlJc w:val="left"/>
      <w:lvlText w:val="%1."/>
      <w:numFmt w:val="lowerLetter"/>
      <w:start w:val="1"/>
    </w:lvl>
  </w:abstractNum>
  <w:abstractNum w:abstractNumId="135">
    <w:nsid w:val="368DB37E"/>
    <w:multiLevelType w:val="hybridMultilevel"/>
    <w:lvl w:ilvl="0">
      <w:lvlJc w:val="left"/>
      <w:lvlText w:val="%1."/>
      <w:numFmt w:val="lowerLetter"/>
      <w:start w:val="1"/>
    </w:lvl>
  </w:abstractNum>
  <w:abstractNum w:abstractNumId="136">
    <w:nsid w:val="6A3B714C"/>
    <w:multiLevelType w:val="hybridMultilevel"/>
    <w:lvl w:ilvl="0">
      <w:lvlJc w:val="left"/>
      <w:lvlText w:val="%1."/>
      <w:numFmt w:val="lowerLetter"/>
      <w:start w:val="1"/>
    </w:lvl>
    <w:lvl w:ilvl="1">
      <w:lvlJc w:val="left"/>
      <w:lvlText w:val="%2."/>
      <w:numFmt w:val="lowerRoman"/>
      <w:start w:val="1"/>
    </w:lvl>
  </w:abstractNum>
  <w:abstractNum w:abstractNumId="137">
    <w:nsid w:val="327B517E"/>
    <w:multiLevelType w:val="hybridMultilevel"/>
    <w:lvl w:ilvl="0">
      <w:lvlJc w:val="left"/>
      <w:lvlText w:val="%1."/>
      <w:numFmt w:val="lowerLetter"/>
      <w:start w:val="3"/>
    </w:lvl>
  </w:abstractNum>
  <w:abstractNum w:abstractNumId="138">
    <w:nsid w:val="1F461B51"/>
    <w:multiLevelType w:val="hybridMultilevel"/>
    <w:lvl w:ilvl="0">
      <w:lvlJc w:val="left"/>
      <w:lvlText w:val="%1."/>
      <w:numFmt w:val="lowerLetter"/>
      <w:start w:val="1"/>
    </w:lvl>
    <w:lvl w:ilvl="1">
      <w:lvlJc w:val="left"/>
      <w:lvlText w:val="%2."/>
      <w:numFmt w:val="lowerRoman"/>
      <w:start w:val="1"/>
    </w:lvl>
  </w:abstractNum>
  <w:abstractNum w:abstractNumId="139">
    <w:nsid w:val="29BACF25"/>
    <w:multiLevelType w:val="hybridMultilevel"/>
    <w:lvl w:ilvl="0">
      <w:lvlJc w:val="left"/>
      <w:lvlText w:val="%1."/>
      <w:numFmt w:val="lowerLetter"/>
      <w:start w:val="1"/>
    </w:lvl>
  </w:abstractNum>
  <w:abstractNum w:abstractNumId="140">
    <w:nsid w:val="5D5BABB3"/>
    <w:multiLevelType w:val="hybridMultilevel"/>
    <w:lvl w:ilvl="0">
      <w:lvlJc w:val="left"/>
      <w:lvlText w:val="%1."/>
      <w:numFmt w:val="lowerLetter"/>
      <w:start w:val="3"/>
    </w:lvl>
  </w:abstractNum>
  <w:abstractNum w:abstractNumId="141">
    <w:nsid w:val="51BF6B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2">
    <w:nsid w:val="7E0F6384"/>
    <w:multiLevelType w:val="hybridMultilevel"/>
    <w:lvl w:ilvl="0">
      <w:lvlJc w:val="left"/>
      <w:lvlText w:val="%1."/>
      <w:numFmt w:val="upperLetter"/>
      <w:start w:val="4"/>
    </w:lvl>
  </w:abstractNum>
  <w:abstractNum w:abstractNumId="143">
    <w:nsid w:val="2B4B8B53"/>
    <w:multiLevelType w:val="hybridMultilevel"/>
    <w:lvl w:ilvl="0">
      <w:lvlJc w:val="left"/>
      <w:lvlText w:val="%1."/>
      <w:numFmt w:val="lowerLetter"/>
      <w:start w:val="2"/>
    </w:lvl>
  </w:abstractNum>
  <w:abstractNum w:abstractNumId="144">
    <w:nsid w:val="72E341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5">
    <w:nsid w:val="116AE494"/>
    <w:multiLevelType w:val="hybridMultilevel"/>
    <w:lvl w:ilvl="0">
      <w:lvlJc w:val="left"/>
      <w:lvlText w:val="%1."/>
      <w:numFmt w:val="lowerLetter"/>
      <w:start w:val="2"/>
    </w:lvl>
  </w:abstractNum>
  <w:abstractNum w:abstractNumId="146">
    <w:nsid w:val="3494B2FB"/>
    <w:multiLevelType w:val="hybridMultilevel"/>
    <w:lvl w:ilvl="0">
      <w:lvlJc w:val="left"/>
      <w:lvlText w:val="(%1)"/>
      <w:numFmt w:val="lowerLetter"/>
      <w:start w:val="1"/>
    </w:lvl>
  </w:abstractNum>
  <w:abstractNum w:abstractNumId="147">
    <w:nsid w:val="B13A31"/>
    <w:multiLevelType w:val="hybridMultilevel"/>
    <w:lvl w:ilvl="0">
      <w:lvlJc w:val="left"/>
      <w:lvlText w:val="(%1)"/>
      <w:numFmt w:val="lowerLetter"/>
      <w:start w:val="11"/>
    </w:lvl>
  </w:abstractNum>
  <w:abstractNum w:abstractNumId="148">
    <w:nsid w:val="64429599"/>
    <w:multiLevelType w:val="hybridMultilevel"/>
    <w:lvl w:ilvl="0">
      <w:lvlJc w:val="left"/>
      <w:lvlText w:val="(%1)"/>
      <w:numFmt w:val="lowerRoman"/>
      <w:start w:val="1"/>
    </w:lvl>
  </w:abstractNum>
  <w:abstractNum w:abstractNumId="149">
    <w:nsid w:val="631F1690"/>
    <w:multiLevelType w:val="hybridMultilevel"/>
    <w:lvl w:ilvl="0">
      <w:lvlJc w:val="left"/>
      <w:lvlText w:val="(%1)"/>
      <w:numFmt w:val="lowerLetter"/>
      <w:start w:val="17"/>
    </w:lvl>
  </w:abstractNum>
  <w:abstractNum w:abstractNumId="150">
    <w:nsid w:val="25973E32"/>
    <w:multiLevelType w:val="hybridMultilevel"/>
    <w:lvl w:ilvl="0">
      <w:lvlJc w:val="left"/>
      <w:lvlText w:val="(%1)"/>
      <w:numFmt w:val="lowerLetter"/>
      <w:start w:val="21"/>
    </w:lvl>
  </w:abstractNum>
  <w:abstractNum w:abstractNumId="151">
    <w:nsid w:val="EAD6F57"/>
    <w:multiLevelType w:val="hybridMultilevel"/>
    <w:lvl w:ilvl="0">
      <w:lvlJc w:val="left"/>
      <w:lvlText w:val="(%1)"/>
      <w:numFmt w:val="lowerLetter"/>
      <w:start w:val="27"/>
    </w:lvl>
  </w:abstractNum>
  <w:abstractNum w:abstractNumId="152">
    <w:nsid w:val="6EC9D844"/>
    <w:multiLevelType w:val="hybridMultilevel"/>
    <w:lvl w:ilvl="0">
      <w:lvlJc w:val="left"/>
      <w:lvlText w:val="(%1)"/>
      <w:numFmt w:val="lowerLetter"/>
      <w:start w:val="40"/>
    </w:lvl>
  </w:abstractNum>
  <w:abstractNum w:abstractNumId="153">
    <w:nsid w:val="5C49EAEE"/>
    <w:multiLevelType w:val="hybridMultilevel"/>
    <w:lvl w:ilvl="0">
      <w:lvlJc w:val="left"/>
      <w:lvlText w:val="(%1)"/>
      <w:numFmt w:val="lowerLetter"/>
      <w:start w:val="1"/>
    </w:lvl>
  </w:abstractNum>
  <w:abstractNum w:abstractNumId="154">
    <w:nsid w:val="64AF49B"/>
    <w:multiLevelType w:val="hybridMultilevel"/>
    <w:lvl w:ilvl="0">
      <w:lvlJc w:val="left"/>
      <w:lvlText w:val="(%1)"/>
      <w:numFmt w:val="lowerLetter"/>
      <w:start w:val="1"/>
    </w:lvl>
  </w:abstractNum>
  <w:abstractNum w:abstractNumId="155">
    <w:nsid w:val="397C46BC"/>
    <w:multiLevelType w:val="hybridMultilevel"/>
    <w:lvl w:ilvl="0">
      <w:lvlJc w:val="left"/>
      <w:lvlText w:val="(%1)"/>
      <w:numFmt w:val="lowerLetter"/>
      <w:start w:val="2"/>
    </w:lvl>
  </w:abstractNum>
  <w:abstractNum w:abstractNumId="156">
    <w:nsid w:val="7E448DE9"/>
    <w:multiLevelType w:val="hybridMultilevel"/>
    <w:lvl w:ilvl="0">
      <w:lvlJc w:val="left"/>
      <w:lvlText w:val="(%1)"/>
      <w:numFmt w:val="lowerLetter"/>
      <w:start w:val="1"/>
    </w:lvl>
  </w:abstractNum>
  <w:abstractNum w:abstractNumId="157">
    <w:nsid w:val="5A9CC3E5"/>
    <w:multiLevelType w:val="hybridMultilevel"/>
    <w:lvl w:ilvl="0">
      <w:lvlJc w:val="left"/>
      <w:lvlText w:val="(%1)"/>
      <w:numFmt w:val="lowerLetter"/>
      <w:start w:val="1"/>
    </w:lvl>
  </w:abstractNum>
  <w:abstractNum w:abstractNumId="158">
    <w:nsid w:val="1AFE3625"/>
    <w:multiLevelType w:val="hybridMultilevel"/>
    <w:lvl w:ilvl="0">
      <w:lvlJc w:val="left"/>
      <w:lvlText w:val="(%1)"/>
      <w:numFmt w:val="lowerLetter"/>
      <w:start w:val="1"/>
    </w:lvl>
  </w:abstractNum>
  <w:abstractNum w:abstractNumId="159">
    <w:nsid w:val="3CA88ECF"/>
    <w:multiLevelType w:val="hybridMultilevel"/>
    <w:lvl w:ilvl="0">
      <w:lvlJc w:val="left"/>
      <w:lvlText w:val="(%1)"/>
      <w:numFmt w:val="lowerRoman"/>
      <w:start w:val="1"/>
    </w:lvl>
  </w:abstractNum>
  <w:abstractNum w:abstractNumId="160">
    <w:nsid w:val="6EBE4208"/>
    <w:multiLevelType w:val="hybridMultilevel"/>
    <w:lvl w:ilvl="0">
      <w:lvlJc w:val="left"/>
      <w:lvlText w:val="(%1)"/>
      <w:numFmt w:val="lowerRoman"/>
      <w:start w:val="5"/>
    </w:lvl>
  </w:abstractNum>
  <w:abstractNum w:abstractNumId="161">
    <w:nsid w:val="C058DF5"/>
    <w:multiLevelType w:val="hybridMultilevel"/>
    <w:lvl w:ilvl="0">
      <w:lvlJc w:val="left"/>
      <w:lvlText w:val="(%1)"/>
      <w:numFmt w:val="lowerLetter"/>
      <w:start w:val="2"/>
    </w:lvl>
  </w:abstractNum>
  <w:abstractNum w:abstractNumId="162">
    <w:nsid w:val="CBE5BE9"/>
    <w:multiLevelType w:val="hybridMultilevel"/>
    <w:lvl w:ilvl="0">
      <w:lvlJc w:val="left"/>
      <w:lvlText w:val="(%1)"/>
      <w:numFmt w:val="lowerRoman"/>
      <w:start w:val="1"/>
    </w:lvl>
  </w:abstractNum>
  <w:abstractNum w:abstractNumId="163">
    <w:nsid w:val="3102BBE2"/>
    <w:multiLevelType w:val="hybridMultilevel"/>
    <w:lvl w:ilvl="0">
      <w:lvlJc w:val="left"/>
      <w:lvlText w:val="(%1)"/>
      <w:numFmt w:val="upperLetter"/>
      <w:start w:val="1"/>
    </w:lvl>
  </w:abstractNum>
  <w:abstractNum w:abstractNumId="164">
    <w:nsid w:val="26A02C5E"/>
    <w:multiLevelType w:val="hybridMultilevel"/>
    <w:lvl w:ilvl="0">
      <w:lvlJc w:val="left"/>
      <w:lvlText w:val="(%1)"/>
      <w:numFmt w:val="lowerRoman"/>
      <w:start w:val="3"/>
    </w:lvl>
  </w:abstractNum>
  <w:abstractNum w:abstractNumId="165">
    <w:nsid w:val="541C8153"/>
    <w:multiLevelType w:val="hybridMultilevel"/>
    <w:lvl w:ilvl="0">
      <w:lvlJc w:val="left"/>
      <w:lvlText w:val="(%1)"/>
      <w:numFmt w:val="lowerRoman"/>
      <w:start w:val="4"/>
    </w:lvl>
  </w:abstractNum>
  <w:abstractNum w:abstractNumId="166">
    <w:nsid w:val="67906F60"/>
    <w:multiLevelType w:val="hybridMultilevel"/>
    <w:lvl w:ilvl="0">
      <w:lvlJc w:val="left"/>
      <w:lvlText w:val="(%1)"/>
      <w:numFmt w:val="lowerLetter"/>
      <w:start w:val="3"/>
    </w:lvl>
  </w:abstractNum>
  <w:abstractNum w:abstractNumId="167">
    <w:nsid w:val="10DB9DAA"/>
    <w:multiLevelType w:val="hybridMultilevel"/>
    <w:lvl w:ilvl="0">
      <w:lvlJc w:val="left"/>
      <w:lvlText w:val="(%1)"/>
      <w:numFmt w:val="lowerRoman"/>
      <w:start w:val="1"/>
    </w:lvl>
  </w:abstractNum>
  <w:abstractNum w:abstractNumId="168">
    <w:nsid w:val="697D2D2"/>
    <w:multiLevelType w:val="hybridMultilevel"/>
    <w:lvl w:ilvl="0">
      <w:lvlJc w:val="left"/>
      <w:lvlText w:val="(%1)"/>
      <w:numFmt w:val="lowerLetter"/>
      <w:start w:val="4"/>
    </w:lvl>
  </w:abstractNum>
  <w:abstractNum w:abstractNumId="169">
    <w:nsid w:val="6D68AB2"/>
    <w:multiLevelType w:val="hybridMultilevel"/>
    <w:lvl w:ilvl="0">
      <w:lvlJc w:val="left"/>
      <w:lvlText w:val="(%1)"/>
      <w:numFmt w:val="lowerRoman"/>
      <w:start w:val="1"/>
    </w:lvl>
  </w:abstractNum>
  <w:abstractNum w:abstractNumId="170">
    <w:nsid w:val="3A966CD0"/>
    <w:multiLevelType w:val="hybridMultilevel"/>
    <w:lvl w:ilvl="0">
      <w:lvlJc w:val="left"/>
      <w:lvlText w:val="(%1)"/>
      <w:numFmt w:val="lowerLetter"/>
      <w:start w:val="5"/>
    </w:lvl>
  </w:abstractNum>
  <w:abstractNum w:abstractNumId="171">
    <w:nsid w:val="63F37E85"/>
    <w:multiLevelType w:val="hybridMultilevel"/>
    <w:lvl w:ilvl="0">
      <w:lvlJc w:val="left"/>
      <w:lvlText w:val="(%1)"/>
      <w:numFmt w:val="lowerLetter"/>
      <w:start w:val="1"/>
    </w:lvl>
  </w:abstractNum>
  <w:abstractNum w:abstractNumId="172">
    <w:nsid w:val="5895F5FA"/>
    <w:multiLevelType w:val="hybridMultilevel"/>
    <w:lvl w:ilvl="0">
      <w:lvlJc w:val="left"/>
      <w:lvlText w:val="(%1)"/>
      <w:numFmt w:val="lowerRoman"/>
      <w:start w:val="1"/>
    </w:lvl>
  </w:abstractNum>
  <w:abstractNum w:abstractNumId="173">
    <w:nsid w:val="38A5D054"/>
    <w:multiLevelType w:val="hybridMultilevel"/>
    <w:lvl w:ilvl="0">
      <w:lvlJc w:val="left"/>
      <w:lvlText w:val="(%1)"/>
      <w:numFmt w:val="lowerRoman"/>
      <w:start w:val="2"/>
    </w:lvl>
  </w:abstractNum>
  <w:abstractNum w:abstractNumId="174">
    <w:nsid w:val="F3F09D8"/>
    <w:multiLevelType w:val="hybridMultilevel"/>
    <w:lvl w:ilvl="0">
      <w:lvlJc w:val="left"/>
      <w:lvlText w:val="(%1)"/>
      <w:numFmt w:val="lowerLetter"/>
      <w:start w:val="3"/>
    </w:lvl>
  </w:abstractNum>
  <w:abstractNum w:abstractNumId="175">
    <w:nsid w:val="4B793735"/>
    <w:multiLevelType w:val="hybridMultilevel"/>
    <w:lvl w:ilvl="0">
      <w:lvlJc w:val="left"/>
      <w:lvlText w:val="(%1)"/>
      <w:numFmt w:val="lowerLetter"/>
      <w:start w:val="1"/>
    </w:lvl>
  </w:abstractNum>
  <w:abstractNum w:abstractNumId="176">
    <w:nsid w:val="4A10B4E8"/>
    <w:multiLevelType w:val="hybridMultilevel"/>
    <w:lvl w:ilvl="0">
      <w:lvlJc w:val="left"/>
      <w:lvlText w:val="(%1)"/>
      <w:numFmt w:val="lowerLetter"/>
      <w:start w:val="1"/>
    </w:lvl>
  </w:abstractNum>
  <w:abstractNum w:abstractNumId="177">
    <w:nsid w:val="43D3BCD4"/>
    <w:multiLevelType w:val="hybridMultilevel"/>
    <w:lvl w:ilvl="0">
      <w:lvlJc w:val="left"/>
      <w:lvlText w:val="(%1)"/>
      <w:numFmt w:val="lowerRoman"/>
      <w:start w:val="1"/>
    </w:lvl>
  </w:abstractNum>
  <w:abstractNum w:abstractNumId="178">
    <w:nsid w:val="4C2A7166"/>
    <w:multiLevelType w:val="hybridMultilevel"/>
    <w:lvl w:ilvl="0">
      <w:lvlJc w:val="left"/>
      <w:lvlText w:val="(%1)"/>
      <w:numFmt w:val="upperLetter"/>
      <w:start w:val="1"/>
    </w:lvl>
  </w:abstractNum>
  <w:abstractNum w:abstractNumId="179">
    <w:nsid w:val="2E534A82"/>
    <w:multiLevelType w:val="hybridMultilevel"/>
    <w:lvl w:ilvl="0">
      <w:lvlJc w:val="left"/>
      <w:lvlText w:val="(%1)"/>
      <w:numFmt w:val="lowerRoman"/>
      <w:start w:val="2"/>
    </w:lvl>
  </w:abstractNum>
  <w:abstractNum w:abstractNumId="180">
    <w:nsid w:val="26F2D364"/>
    <w:multiLevelType w:val="hybridMultilevel"/>
    <w:lvl w:ilvl="0">
      <w:lvlJc w:val="left"/>
      <w:lvlText w:val="(%1)"/>
      <w:numFmt w:val="lowerLetter"/>
      <w:start w:val="2"/>
    </w:lvl>
  </w:abstractNum>
  <w:abstractNum w:abstractNumId="181">
    <w:nsid w:val="71C1AF98"/>
    <w:multiLevelType w:val="hybridMultilevel"/>
    <w:lvl w:ilvl="0">
      <w:lvlJc w:val="left"/>
      <w:lvlText w:val="(%1)"/>
      <w:numFmt w:val="lowerRoman"/>
      <w:start w:val="1"/>
    </w:lvl>
  </w:abstractNum>
  <w:abstractNum w:abstractNumId="182">
    <w:nsid w:val="3D00B9D9"/>
    <w:multiLevelType w:val="hybridMultilevel"/>
    <w:lvl w:ilvl="0">
      <w:lvlJc w:val="left"/>
      <w:lvlText w:val="(%1)"/>
      <w:numFmt w:val="upperLetter"/>
      <w:start w:val="1"/>
    </w:lvl>
  </w:abstractNum>
  <w:abstractNum w:abstractNumId="183">
    <w:nsid w:val="15BCABA8"/>
    <w:multiLevelType w:val="hybridMultilevel"/>
    <w:lvl w:ilvl="0">
      <w:lvlJc w:val="left"/>
      <w:lvlText w:val="(%1)"/>
      <w:numFmt w:val="lowerRoman"/>
      <w:start w:val="2"/>
    </w:lvl>
  </w:abstractNum>
  <w:abstractNum w:abstractNumId="184">
    <w:nsid w:val="4E0B9A87"/>
    <w:multiLevelType w:val="hybridMultilevel"/>
    <w:lvl w:ilvl="0">
      <w:lvlJc w:val="left"/>
      <w:lvlText w:val="(%1)"/>
      <w:numFmt w:val="lowerLetter"/>
      <w:start w:val="3"/>
    </w:lvl>
  </w:abstractNum>
  <w:abstractNum w:abstractNumId="185">
    <w:nsid w:val="434BAE75"/>
    <w:multiLevelType w:val="hybridMultilevel"/>
    <w:lvl w:ilvl="0">
      <w:lvlJc w:val="left"/>
      <w:lvlText w:val="(%1)"/>
      <w:numFmt w:val="lowerRoman"/>
      <w:start w:val="1"/>
    </w:lvl>
  </w:abstractNum>
  <w:abstractNum w:abstractNumId="186">
    <w:nsid w:val="4F38F265"/>
    <w:multiLevelType w:val="hybridMultilevel"/>
    <w:lvl w:ilvl="0">
      <w:lvlJc w:val="left"/>
      <w:lvlText w:val="(%1)"/>
      <w:numFmt w:val="upperLetter"/>
      <w:start w:val="1"/>
    </w:lvl>
  </w:abstractNum>
  <w:abstractNum w:abstractNumId="187">
    <w:nsid w:val="4C502870"/>
    <w:multiLevelType w:val="hybridMultilevel"/>
    <w:lvl w:ilvl="0">
      <w:lvlJc w:val="left"/>
      <w:lvlText w:val="(%1)"/>
      <w:numFmt w:val="lowerRoman"/>
      <w:start w:val="2"/>
    </w:lvl>
  </w:abstractNum>
  <w:abstractNum w:abstractNumId="188">
    <w:nsid w:val="1DE8725A"/>
    <w:multiLevelType w:val="hybridMultilevel"/>
    <w:lvl w:ilvl="0">
      <w:lvlJc w:val="left"/>
      <w:lvlText w:val="(%1)"/>
      <w:numFmt w:val="lowerLetter"/>
      <w:start w:val="4"/>
    </w:lvl>
  </w:abstractNum>
  <w:abstractNum w:abstractNumId="189">
    <w:nsid w:val="6A37288A"/>
    <w:multiLevelType w:val="hybridMultilevel"/>
    <w:lvl w:ilvl="0">
      <w:lvlJc w:val="left"/>
      <w:lvlText w:val="(%1)"/>
      <w:numFmt w:val="lowerRoman"/>
      <w:start w:val="1"/>
    </w:lvl>
  </w:abstractNum>
  <w:abstractNum w:abstractNumId="190">
    <w:nsid w:val="8F8B73F"/>
    <w:multiLevelType w:val="hybridMultilevel"/>
    <w:lvl w:ilvl="0">
      <w:lvlJc w:val="left"/>
      <w:lvlText w:val="(%1)"/>
      <w:numFmt w:val="upperLetter"/>
      <w:start w:val="1"/>
    </w:lvl>
  </w:abstractNum>
  <w:abstractNum w:abstractNumId="191">
    <w:nsid w:val="CA6B462"/>
    <w:multiLevelType w:val="hybridMultilevel"/>
    <w:lvl w:ilvl="0">
      <w:lvlJc w:val="left"/>
      <w:lvlText w:val="(%1)"/>
      <w:numFmt w:val="upperLetter"/>
      <w:start w:val="2"/>
    </w:lvl>
  </w:abstractNum>
  <w:abstractNum w:abstractNumId="192">
    <w:nsid w:val="763CB680"/>
    <w:multiLevelType w:val="hybridMultilevel"/>
    <w:lvl w:ilvl="0">
      <w:lvlJc w:val="left"/>
      <w:lvlText w:val="(%1)"/>
      <w:numFmt w:val="lowerRoman"/>
      <w:start w:val="2"/>
    </w:lvl>
  </w:abstractNum>
  <w:abstractNum w:abstractNumId="193">
    <w:nsid w:val="15B71329"/>
    <w:multiLevelType w:val="hybridMultilevel"/>
    <w:lvl w:ilvl="0">
      <w:lvlJc w:val="left"/>
      <w:lvlText w:val="(%1)"/>
      <w:numFmt w:val="upperLetter"/>
      <w:start w:val="1"/>
    </w:lvl>
  </w:abstractNum>
  <w:abstractNum w:abstractNumId="194">
    <w:nsid w:val="3DA97044"/>
    <w:multiLevelType w:val="hybridMultilevel"/>
    <w:lvl w:ilvl="0">
      <w:lvlJc w:val="left"/>
      <w:lvlText w:val="(%1)"/>
      <w:numFmt w:val="lowerRoman"/>
      <w:start w:val="3"/>
    </w:lvl>
  </w:abstractNum>
  <w:abstractNum w:abstractNumId="195">
    <w:nsid w:val="1CDCE2DE"/>
    <w:multiLevelType w:val="hybridMultilevel"/>
    <w:lvl w:ilvl="0">
      <w:lvlJc w:val="left"/>
      <w:lvlText w:val="(%1)"/>
      <w:numFmt w:val="lowerRoman"/>
      <w:start w:val="5"/>
    </w:lvl>
  </w:abstractNum>
  <w:abstractNum w:abstractNumId="196">
    <w:nsid w:val="69D3947C"/>
    <w:multiLevelType w:val="hybridMultilevel"/>
    <w:lvl w:ilvl="0">
      <w:lvlJc w:val="left"/>
      <w:lvlText w:val="(%1)"/>
      <w:numFmt w:val="upperLetter"/>
      <w:start w:val="1"/>
    </w:lvl>
  </w:abstractNum>
  <w:abstractNum w:abstractNumId="197">
    <w:nsid w:val="2539DFA5"/>
    <w:multiLevelType w:val="hybridMultilevel"/>
    <w:lvl w:ilvl="0">
      <w:lvlJc w:val="left"/>
      <w:lvlText w:val="(%1)"/>
      <w:numFmt w:val="decimal"/>
      <w:start w:val="1"/>
    </w:lvl>
  </w:abstractNum>
  <w:abstractNum w:abstractNumId="198">
    <w:nsid w:val="2DB88089"/>
    <w:multiLevelType w:val="hybridMultilevel"/>
    <w:lvl w:ilvl="0">
      <w:lvlJc w:val="left"/>
      <w:lvlText w:val="(%1)"/>
      <w:numFmt w:val="upperLetter"/>
      <w:start w:val="9"/>
    </w:lvl>
  </w:abstractNum>
  <w:abstractNum w:abstractNumId="199">
    <w:nsid w:val="706B674E"/>
    <w:multiLevelType w:val="hybridMultilevel"/>
    <w:lvl w:ilvl="0">
      <w:lvlJc w:val="left"/>
      <w:lvlText w:val="(%1)"/>
      <w:numFmt w:val="upperLetter"/>
      <w:start w:val="35"/>
    </w:lvl>
  </w:abstractNum>
  <w:abstractNum w:abstractNumId="200">
    <w:nsid w:val="2C106A57"/>
    <w:multiLevelType w:val="hybridMultilevel"/>
    <w:lvl w:ilvl="0">
      <w:lvlJc w:val="left"/>
      <w:lvlText w:val="(%1)"/>
      <w:numFmt w:val="lowerLetter"/>
      <w:start w:val="5"/>
    </w:lvl>
  </w:abstractNum>
  <w:abstractNum w:abstractNumId="201">
    <w:nsid w:val="684EED59"/>
    <w:multiLevelType w:val="hybridMultilevel"/>
    <w:lvl w:ilvl="0">
      <w:lvlJc w:val="left"/>
      <w:lvlText w:val="(%1)"/>
      <w:numFmt w:val="lowerRoman"/>
      <w:start w:val="1"/>
    </w:lvl>
  </w:abstractNum>
  <w:abstractNum w:abstractNumId="202">
    <w:nsid w:val="545EE5D3"/>
    <w:multiLevelType w:val="hybridMultilevel"/>
    <w:lvl w:ilvl="0">
      <w:lvlJc w:val="left"/>
      <w:lvlText w:val="(%1)"/>
      <w:numFmt w:val="upperLetter"/>
      <w:start w:val="1"/>
    </w:lvl>
  </w:abstractNum>
  <w:abstractNum w:abstractNumId="203">
    <w:nsid w:val="4A66051"/>
    <w:multiLevelType w:val="hybridMultilevel"/>
    <w:lvl w:ilvl="0">
      <w:lvlJc w:val="left"/>
      <w:lvlText w:val="(%1)"/>
      <w:numFmt w:val="lowerRoman"/>
      <w:start w:val="2"/>
    </w:lvl>
  </w:abstractNum>
  <w:abstractNum w:abstractNumId="204">
    <w:nsid w:val="20F4BDAD"/>
    <w:multiLevelType w:val="hybridMultilevel"/>
    <w:lvl w:ilvl="0">
      <w:lvlJc w:val="left"/>
      <w:lvlText w:val="(%1)"/>
      <w:numFmt w:val="lowerLetter"/>
      <w:start w:val="6"/>
    </w:lvl>
  </w:abstractNum>
  <w:abstractNum w:abstractNumId="205">
    <w:nsid w:val="639DEFAC"/>
    <w:multiLevelType w:val="hybridMultilevel"/>
    <w:lvl w:ilvl="0">
      <w:lvlJc w:val="left"/>
      <w:lvlText w:val="(%1)"/>
      <w:numFmt w:val="lowerRoman"/>
      <w:start w:val="1"/>
    </w:lvl>
  </w:abstractNum>
  <w:abstractNum w:abstractNumId="206">
    <w:nsid w:val="501F9786"/>
    <w:multiLevelType w:val="hybridMultilevel"/>
    <w:lvl w:ilvl="0">
      <w:lvlJc w:val="left"/>
      <w:lvlText w:val="(%1)"/>
      <w:numFmt w:val="upperLetter"/>
      <w:start w:val="1"/>
    </w:lvl>
  </w:abstractNum>
  <w:abstractNum w:abstractNumId="207">
    <w:nsid w:val="6B057295"/>
    <w:multiLevelType w:val="hybridMultilevel"/>
    <w:lvl w:ilvl="0">
      <w:lvlJc w:val="left"/>
      <w:lvlText w:val="(%1)"/>
      <w:numFmt w:val="decimal"/>
      <w:start w:val="1"/>
    </w:lvl>
  </w:abstractNum>
  <w:abstractNum w:abstractNumId="208">
    <w:nsid w:val="2771AC80"/>
    <w:multiLevelType w:val="hybridMultilevel"/>
    <w:lvl w:ilvl="0">
      <w:lvlJc w:val="left"/>
      <w:lvlText w:val="(%1)"/>
      <w:numFmt w:val="upperLetter"/>
      <w:start w:val="2"/>
    </w:lvl>
  </w:abstractNum>
  <w:abstractNum w:abstractNumId="209">
    <w:nsid w:val="1C4A08EC"/>
    <w:multiLevelType w:val="hybridMultilevel"/>
    <w:lvl w:ilvl="0">
      <w:lvlJc w:val="left"/>
      <w:lvlText w:val="(%1)"/>
      <w:numFmt w:val="decimal"/>
      <w:start w:val="1"/>
    </w:lvl>
  </w:abstractNum>
  <w:abstractNum w:abstractNumId="210">
    <w:nsid w:val="1958BD17"/>
    <w:multiLevelType w:val="hybridMultilevel"/>
    <w:lvl w:ilvl="0">
      <w:lvlJc w:val="left"/>
      <w:lvlText w:val="(%1)"/>
      <w:numFmt w:val="lowerRoman"/>
      <w:start w:val="2"/>
    </w:lvl>
  </w:abstractNum>
  <w:abstractNum w:abstractNumId="211">
    <w:nsid w:val="4E647FE4"/>
    <w:multiLevelType w:val="hybridMultilevel"/>
    <w:lvl w:ilvl="0">
      <w:lvlJc w:val="left"/>
      <w:lvlText w:val="(%1)"/>
      <w:numFmt w:val="lowerLetter"/>
      <w:start w:val="7"/>
    </w:lvl>
  </w:abstractNum>
  <w:abstractNum w:abstractNumId="212">
    <w:nsid w:val="E0BB885"/>
    <w:multiLevelType w:val="hybridMultilevel"/>
    <w:lvl w:ilvl="0">
      <w:lvlJc w:val="left"/>
      <w:lvlText w:val="(%1)"/>
      <w:numFmt w:val="lowerLetter"/>
      <w:start w:val="10"/>
    </w:lvl>
  </w:abstractNum>
  <w:abstractNum w:abstractNumId="213">
    <w:nsid w:val="565976F1"/>
    <w:multiLevelType w:val="hybridMultilevel"/>
    <w:lvl w:ilvl="0">
      <w:lvlJc w:val="left"/>
      <w:lvlText w:val="(%1)"/>
      <w:numFmt w:val="lowerRoman"/>
      <w:start w:val="1"/>
    </w:lvl>
  </w:abstractNum>
  <w:abstractNum w:abstractNumId="214">
    <w:nsid w:val="64212B8C"/>
    <w:multiLevelType w:val="hybridMultilevel"/>
    <w:lvl w:ilvl="0">
      <w:lvlJc w:val="left"/>
      <w:lvlText w:val="(%1)"/>
      <w:numFmt w:val="upperLetter"/>
      <w:start w:val="1"/>
    </w:lvl>
  </w:abstractNum>
  <w:abstractNum w:abstractNumId="215">
    <w:nsid w:val="5C17530C"/>
    <w:multiLevelType w:val="hybridMultilevel"/>
    <w:lvl w:ilvl="0">
      <w:lvlJc w:val="left"/>
      <w:lvlText w:val="(%1)"/>
      <w:numFmt w:val="upperLetter"/>
      <w:start w:val="5"/>
    </w:lvl>
  </w:abstractNum>
  <w:abstractNum w:abstractNumId="216">
    <w:nsid w:val="19A52566"/>
    <w:multiLevelType w:val="hybridMultilevel"/>
    <w:lvl w:ilvl="0">
      <w:lvlJc w:val="left"/>
      <w:lvlText w:val="(%1)"/>
      <w:numFmt w:val="lowerLetter"/>
      <w:start w:val="11"/>
    </w:lvl>
  </w:abstractNum>
  <w:abstractNum w:abstractNumId="217">
    <w:nsid w:val="335A1DF1"/>
    <w:multiLevelType w:val="hybridMultilevel"/>
    <w:lvl w:ilvl="0">
      <w:lvlJc w:val="left"/>
      <w:lvlText w:val="(%1)"/>
      <w:numFmt w:val="lowerLetter"/>
      <w:start w:val="1"/>
    </w:lvl>
    <w:lvl w:ilvl="1">
      <w:lvlJc w:val="left"/>
      <w:lvlText w:val="(%2)"/>
      <w:numFmt w:val="lowerRoman"/>
      <w:start w:val="1"/>
    </w:lvl>
  </w:abstractNum>
  <w:abstractNum w:abstractNumId="218">
    <w:nsid w:val="28677B7C"/>
    <w:multiLevelType w:val="hybridMultilevel"/>
    <w:lvl w:ilvl="0">
      <w:lvlJc w:val="left"/>
      <w:lvlText w:val="(%1)"/>
      <w:numFmt w:val="lowerLetter"/>
      <w:start w:val="2"/>
    </w:lvl>
  </w:abstractNum>
  <w:abstractNum w:abstractNumId="219">
    <w:nsid w:val="378D97C0"/>
    <w:multiLevelType w:val="hybridMultilevel"/>
    <w:lvl w:ilvl="0">
      <w:lvlJc w:val="left"/>
      <w:lvlText w:val="(%1)"/>
      <w:numFmt w:val="lowerLetter"/>
      <w:start w:val="3"/>
    </w:lvl>
  </w:abstractNum>
  <w:abstractNum w:abstractNumId="220">
    <w:nsid w:val="1D91467C"/>
    <w:multiLevelType w:val="hybridMultilevel"/>
    <w:lvl w:ilvl="0">
      <w:lvlJc w:val="left"/>
      <w:lvlText w:val="(%1)"/>
      <w:numFmt w:val="lowerLetter"/>
      <w:start w:val="1"/>
    </w:lvl>
  </w:abstractNum>
  <w:abstractNum w:abstractNumId="221">
    <w:nsid w:val="316032BB"/>
    <w:multiLevelType w:val="hybridMultilevel"/>
    <w:lvl w:ilvl="0">
      <w:lvlJc w:val="left"/>
      <w:lvlText w:val="*"/>
      <w:numFmt w:val="bullet"/>
      <w:start w:val="1"/>
    </w:lvl>
  </w:abstractNum>
  <w:abstractNum w:abstractNumId="222">
    <w:nsid w:val="44344C22"/>
    <w:multiLevelType w:val="hybridMultilevel"/>
    <w:lvl w:ilvl="0">
      <w:lvlJc w:val="left"/>
      <w:lvlText w:val="(%1)"/>
      <w:numFmt w:val="decimal"/>
      <w:start w:val="1"/>
    </w:lvl>
  </w:abstractNum>
  <w:abstractNum w:abstractNumId="223">
    <w:nsid w:val="13CDFCFC"/>
    <w:multiLevelType w:val="hybridMultilevel"/>
    <w:lvl w:ilvl="0">
      <w:lvlJc w:val="left"/>
      <w:lvlText w:val="(%1)"/>
      <w:numFmt w:val="decimal"/>
      <w:start w:val="2"/>
    </w:lvl>
  </w:abstractNum>
  <w:abstractNum w:abstractNumId="224">
    <w:nsid w:val="471745E4"/>
    <w:multiLevelType w:val="hybridMultilevel"/>
    <w:lvl w:ilvl="0">
      <w:lvlJc w:val="left"/>
      <w:lvlText w:val="(%1)"/>
      <w:numFmt w:val="decimal"/>
      <w:start w:val="3"/>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2024-04-12T07:38:18Z</dcterms:created>
  <dcterms:modified xsi:type="dcterms:W3CDTF">2024-04-12T07:38:18Z</dcterms:modified>
</cp:coreProperties>
</file>